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SentriEyebrow"/>
      </w:pPr>
      <w:r>
        <w:t>SENTRI</w:t>
      </w:r>
    </w:p>
    <w:p>
      <w:pPr>
        <w:pStyle w:val="Title"/>
      </w:pPr>
      <w:r>
        <w:t>SENTRI Documentation</w:t>
      </w:r>
    </w:p>
    <w:p>
      <w:r>
        <w:rPr>
          <w:color w:val="516251"/>
          <w:sz w:val="30"/>
        </w:rPr>
        <w:t>Chapter 1 completed · Chapters 2–6 reserved</w:t>
      </w:r>
    </w:p>
    <w:p>
      <w:r>
        <w:br/>
        <w:br/>
        <w:br/>
      </w:r>
    </w:p>
    <w:tbl>
      <w:tblPr>
        <w:tblW w:type="auto" w:w="0"/>
        <w:jc w:val="center"/>
        <w:tblLayout w:type="fixed"/>
        <w:tblLook w:firstColumn="1" w:firstRow="1" w:lastColumn="0" w:lastRow="0" w:noHBand="0" w:noVBand="1" w:val="04A0"/>
      </w:tblPr>
      <w:tblGrid>
        <w:gridCol w:w="2232"/>
        <w:gridCol w:w="6408"/>
      </w:tblGrid>
      <w:tr>
        <w:trPr>
          <w:trHeight w:val="691"/>
        </w:trPr>
        <w:tc>
          <w:tcPr>
            <w:tcW w:type="dxa" w:w="4514"/>
            <w:vAlign w:val="center"/>
            <w:tcBorders>
              <w:bottom w:val="single" w:sz="3" w:color="D9DDD5"/>
            </w:tcBorders>
          </w:tcPr>
          <w:p>
            <w:r>
              <w:rPr>
                <w:b/>
                <w:color w:val="516251"/>
                <w:sz w:val="18"/>
              </w:rPr>
              <w:t>PREPARED BY</w:t>
            </w:r>
          </w:p>
        </w:tc>
        <w:tc>
          <w:tcPr>
            <w:tcW w:type="dxa" w:w="4514"/>
            <w:vAlign w:val="center"/>
            <w:tcBorders>
              <w:bottom w:val="single" w:sz="3" w:color="D9DDD5"/>
            </w:tcBorders>
          </w:tcPr>
          <w:p>
            <w:r>
              <w:t>____________________________</w:t>
            </w:r>
          </w:p>
        </w:tc>
      </w:tr>
      <w:tr>
        <w:trPr>
          <w:trHeight w:val="691"/>
        </w:trPr>
        <w:tc>
          <w:tcPr>
            <w:tcW w:type="dxa" w:w="4514"/>
            <w:vAlign w:val="center"/>
            <w:tcBorders>
              <w:bottom w:val="single" w:sz="3" w:color="D9DDD5"/>
            </w:tcBorders>
          </w:tcPr>
          <w:p>
            <w:r>
              <w:rPr>
                <w:b/>
                <w:color w:val="516251"/>
                <w:sz w:val="18"/>
              </w:rPr>
              <w:t>VERSION</w:t>
            </w:r>
          </w:p>
        </w:tc>
        <w:tc>
          <w:tcPr>
            <w:tcW w:type="dxa" w:w="4514"/>
            <w:vAlign w:val="center"/>
            <w:tcBorders>
              <w:bottom w:val="single" w:sz="3" w:color="D9DDD5"/>
            </w:tcBorders>
          </w:tcPr>
          <w:p>
            <w:r>
              <w:t>____________________________</w:t>
            </w:r>
          </w:p>
        </w:tc>
      </w:tr>
      <w:tr>
        <w:trPr>
          <w:trHeight w:val="691"/>
        </w:trPr>
        <w:tc>
          <w:tcPr>
            <w:tcW w:type="dxa" w:w="4514"/>
            <w:vAlign w:val="center"/>
            <w:tcBorders>
              <w:bottom w:val="single" w:sz="3" w:color="D9DDD5"/>
            </w:tcBorders>
          </w:tcPr>
          <w:p>
            <w:r>
              <w:rPr>
                <w:b/>
                <w:color w:val="516251"/>
                <w:sz w:val="18"/>
              </w:rPr>
              <w:t>DATE</w:t>
            </w:r>
          </w:p>
        </w:tc>
        <w:tc>
          <w:tcPr>
            <w:tcW w:type="dxa" w:w="4514"/>
            <w:vAlign w:val="center"/>
            <w:tcBorders>
              <w:bottom w:val="single" w:sz="3" w:color="D9DDD5"/>
            </w:tcBorders>
          </w:tcPr>
          <w:p>
            <w:r>
              <w:t>____________________________</w:t>
            </w:r>
          </w:p>
        </w:tc>
      </w:tr>
    </w:tbl>
    <w:p>
      <w:r>
        <w:br w:type="page"/>
      </w:r>
    </w:p>
    <w:p>
      <w:pPr>
        <w:pStyle w:val="SentriEyebrow"/>
      </w:pPr>
      <w:r>
        <w:t>CONTENTS</w:t>
      </w:r>
    </w:p>
    <w:p>
      <w:pPr>
        <w:pStyle w:val="Heading1"/>
      </w:pPr>
      <w:r>
        <w:t>Table of Contents</w:t>
      </w:r>
    </w:p>
    <w:p>
      <w:pPr>
        <w:spacing w:before="260" w:after="260"/>
      </w:pPr>
      <w:r>
        <w:rPr>
          <w:b/>
          <w:color w:val="516251"/>
        </w:rPr>
        <w:t xml:space="preserve">01   </w:t>
      </w:r>
      <w:r>
        <w:rPr>
          <w:color w:val="1E2623"/>
        </w:rPr>
        <w:t>Introduction &amp; Background</w:t>
      </w:r>
    </w:p>
    <w:p>
      <w:pPr>
        <w:spacing w:before="260" w:after="260"/>
      </w:pPr>
      <w:r>
        <w:rPr>
          <w:b/>
          <w:color w:val="516251"/>
        </w:rPr>
        <w:t xml:space="preserve">02   </w:t>
      </w:r>
      <w:r>
        <w:rPr>
          <w:color w:val="1E2623"/>
        </w:rPr>
        <w:t>Solution Overview &amp; Market Differentiation</w:t>
      </w:r>
    </w:p>
    <w:p>
      <w:pPr>
        <w:spacing w:before="260" w:after="260"/>
      </w:pPr>
      <w:r>
        <w:rPr>
          <w:b/>
          <w:color w:val="516251"/>
        </w:rPr>
        <w:t xml:space="preserve">03   </w:t>
      </w:r>
      <w:r>
        <w:rPr>
          <w:color w:val="1E2623"/>
        </w:rPr>
        <w:t>PoC Implementation &amp; Repository Reference</w:t>
      </w:r>
    </w:p>
    <w:p>
      <w:pPr>
        <w:spacing w:before="260" w:after="260"/>
      </w:pPr>
      <w:r>
        <w:rPr>
          <w:b/>
          <w:color w:val="516251"/>
        </w:rPr>
        <w:t xml:space="preserve">04   </w:t>
      </w:r>
      <w:r>
        <w:rPr>
          <w:color w:val="1E2623"/>
        </w:rPr>
        <w:t>Technical Architecture &amp; Feasibility</w:t>
      </w:r>
    </w:p>
    <w:p>
      <w:pPr>
        <w:spacing w:before="260" w:after="260"/>
      </w:pPr>
      <w:r>
        <w:rPr>
          <w:b/>
          <w:color w:val="516251"/>
        </w:rPr>
        <w:t xml:space="preserve">05   </w:t>
      </w:r>
      <w:r>
        <w:rPr>
          <w:color w:val="1E2623"/>
        </w:rPr>
        <w:t>Security Architecture &amp; Intellectual Property Potential</w:t>
      </w:r>
    </w:p>
    <w:p>
      <w:pPr>
        <w:spacing w:before="260" w:after="260"/>
      </w:pPr>
      <w:r>
        <w:rPr>
          <w:b/>
          <w:color w:val="516251"/>
        </w:rPr>
        <w:t xml:space="preserve">06   </w:t>
      </w:r>
      <w:r>
        <w:rPr>
          <w:color w:val="1E2623"/>
        </w:rPr>
        <w:t>Scalability &amp; Deployment Readiness</w:t>
      </w:r>
    </w:p>
    <w:p>
      <w:r>
        <w:br w:type="page"/>
      </w:r>
    </w:p>
    <w:p>
      <w:pPr>
        <w:pStyle w:val="SentriEyebrow"/>
      </w:pPr>
      <w:r>
        <w:t>CHAPTER 01</w:t>
      </w:r>
    </w:p>
    <w:p>
      <w:pPr>
        <w:pStyle w:val="Heading1"/>
      </w:pPr>
      <w:r>
        <w:t>Chapter 1: Introduction &amp; Background</w:t>
      </w:r>
    </w:p>
    <w:p/>
    <w:p>
      <w:pPr>
        <w:pStyle w:val="Heading2"/>
      </w:pPr>
      <w:r>
        <w:t>1.1 Background</w:t>
      </w:r>
    </w:p>
    <w:p>
      <w:pPr>
        <w:spacing w:after="180"/>
      </w:pPr>
      <w:r>
        <w:t>Cybersecurity awareness is part of how an organization manages risk. Employees encounter requests for information, access, and action during ordinary work, and the safe response depends on the context of that request. NIST describes an effective learning program as an ongoing cycle of planning, delivery, assessment, and improvement, with practical exercises and learning that reflects different work roles [1].</w:t>
      </w:r>
    </w:p>
    <w:p>
      <w:pPr>
        <w:spacing w:after="180"/>
      </w:pPr>
      <w:r>
        <w:t>Phishing illustrates why awareness must lead to usable decisions. A message can imitate a trusted sender and ask the recipient to open a link, inspect an attachment, disclose information, or act under time pressure. CISA advises organizations to teach people to recognize suspicious messages and report them through an appropriate channel [2]. The learning goal is therefore more specific than remembering warning signs: the employee should know what to inspect, what to verify, and what to do next.</w:t>
      </w:r>
    </w:p>
    <w:p>
      <w:pPr>
        <w:pStyle w:val="Heading2"/>
      </w:pPr>
      <w:r>
        <w:t>1.2 Problem Statement</w:t>
      </w:r>
    </w:p>
    <w:p>
      <w:pPr>
        <w:spacing w:after="180"/>
      </w:pPr>
      <w:r>
        <w:t>A single generic lesson may not reflect the decisions that different employees make. Someone reviewing a message, someone handling employee records, and someone administering a technical system have different responsibilities and different cues to examine. Training also needs a way for learners to practice a decision and receive feedback, rather than only read guidance.</w:t>
      </w:r>
    </w:p>
    <w:p>
      <w:pPr>
        <w:spacing w:after="180"/>
      </w:pPr>
      <w:r>
        <w:t>For a company deploying training, the problem has two parts: prepare a relevant learning experience for employees, and administer access and progress across the organization. SENTRI addresses these as related product needs. This chapter defines that purpose; later chapters describe the implemented features, technical design, and readiness in more detail.</w:t>
      </w:r>
    </w:p>
    <w:p>
      <w:pPr>
        <w:pStyle w:val="Heading2"/>
      </w:pPr>
      <w:r>
        <w:t>1.3 SENTRI at a Glance</w:t>
      </w:r>
    </w:p>
    <w:p>
      <w:pPr>
        <w:spacing w:after="180"/>
      </w:pPr>
      <w:r>
        <w:t>SENTRI is a company-oriented cybersecurity awareness application built around short interactive tasks. In the employee application, called Dispatch, a learner investigates an email, reviews a password-related decision, or classifies information, then receives feedback and accumulates training progress. The interface presents these activities as work arriving at a dispatch desk.</w:t>
      </w:r>
    </w:p>
    <w:p>
      <w:pPr>
        <w:spacing w:after="180"/>
      </w:pPr>
      <w:r>
        <w:t>A separate Deployment application supports company registration, administrator sign-in, employee management, and creation of employee Dispatch accounts. This separation reflects two different users of the system: administrators who prepare training access and employees who complete the exercises. SENTRI also includes a chat assistant connected to a local or configured Ollama model; its role in the product is supplementary to the task flow.</w:t>
      </w:r>
    </w:p>
    <w:p>
      <w:pPr>
        <w:pStyle w:val="Heading2"/>
      </w:pPr>
      <w:r>
        <w:t>1.4 Purpose and Intended Users</w:t>
      </w:r>
    </w:p>
    <w:p>
      <w:pPr>
        <w:spacing w:after="180"/>
      </w:pPr>
      <w:r>
        <w:t>The purpose of the current proof of concept is to demonstrate a coherent path from company setup to employee practice. It is intended for company administrators evaluating deployment, employees completing cybersecurity awareness exercises, and reviewers assessing whether the product approach is technically feasible.</w:t>
      </w:r>
    </w:p>
    <w:p>
      <w:pPr>
        <w:spacing w:after="180"/>
      </w:pPr>
      <w:r>
        <w:t>This document describes the problem SENTRI addresses, the product concept, the repository implementation, the architecture and security design, and the work needed for broader deployment. It should be read as documentation of a proof of concept and its proposed direction, not as evidence that training outcomes or production scale have already been validated.</w:t>
      </w:r>
    </w:p>
    <w:p>
      <w:pPr>
        <w:pStyle w:val="Heading2"/>
      </w:pPr>
      <w:r>
        <w:t>1.5 Document Structure</w:t>
      </w:r>
    </w:p>
    <w:p>
      <w:pPr>
        <w:spacing w:after="180"/>
      </w:pPr>
      <w:r>
        <w:t>Chapter 2 presents the solution and its intended market position. Chapter 3 points to the proof of concept and repository. Chapter 4 explains the technical architecture and feasibility. Chapter 5 addresses security architecture and possible intellectual property. Chapter 6 discusses scalability and deployment readiness.</w:t>
      </w:r>
    </w:p>
    <w:p>
      <w:pPr>
        <w:pStyle w:val="Heading2"/>
      </w:pPr>
      <w:r>
        <w:t>References</w:t>
      </w:r>
    </w:p>
    <w:p>
      <w:pPr>
        <w:spacing w:after="100"/>
      </w:pPr>
      <w:r>
        <w:rPr>
          <w:color w:val="505953"/>
          <w:sz w:val="18"/>
        </w:rPr>
        <w:t>[1] NIST, Building a Cybersecurity and Privacy Learning Program, SP 800-50r1, 2024. https://doi.org/10.6028/NIST.SP.800-50r1</w:t>
      </w:r>
    </w:p>
    <w:p>
      <w:pPr>
        <w:spacing w:after="100"/>
      </w:pPr>
      <w:r>
        <w:rPr>
          <w:color w:val="505953"/>
          <w:sz w:val="18"/>
        </w:rPr>
        <w:t>[2] CISA, Avoid Phishing Scams with Three Simple Tips, 2024. https://www.cisa.gov/sites/default/files/2024-09/Secure-Our-World-Phishing-Tip-Sheet.pdf</w:t>
      </w:r>
    </w:p>
    <w:p>
      <w:r>
        <w:br w:type="page"/>
      </w:r>
    </w:p>
    <w:p>
      <w:pPr>
        <w:pStyle w:val="SentriEyebrow"/>
      </w:pPr>
      <w:r>
        <w:t>CHAPTER 02</w:t>
      </w:r>
    </w:p>
    <w:p>
      <w:pPr>
        <w:pStyle w:val="Heading1"/>
      </w:pPr>
      <w:r>
        <w:t>Chapter 2: Solution Overview &amp; Market Differentiation</w:t>
      </w:r>
    </w:p>
    <w:p/>
    <w:p>
      <w:r>
        <w:br w:type="page"/>
      </w:r>
    </w:p>
    <w:p>
      <w:pPr>
        <w:pStyle w:val="SentriEyebrow"/>
      </w:pPr>
      <w:r>
        <w:t>CHAPTER 03</w:t>
      </w:r>
    </w:p>
    <w:p>
      <w:pPr>
        <w:pStyle w:val="Heading1"/>
      </w:pPr>
      <w:r>
        <w:t>Chapter 3: PoC Implementation &amp; Repository Reference</w:t>
      </w:r>
    </w:p>
    <w:p/>
    <w:p>
      <w:r>
        <w:br w:type="page"/>
      </w:r>
    </w:p>
    <w:p>
      <w:pPr>
        <w:pStyle w:val="SentriEyebrow"/>
      </w:pPr>
      <w:r>
        <w:t>CHAPTER 04</w:t>
      </w:r>
    </w:p>
    <w:p>
      <w:pPr>
        <w:pStyle w:val="Heading1"/>
      </w:pPr>
      <w:r>
        <w:t>Chapter 4: Technical Architecture &amp; Feasibility</w:t>
      </w:r>
    </w:p>
    <w:p/>
    <w:p>
      <w:r>
        <w:br w:type="page"/>
      </w:r>
    </w:p>
    <w:p>
      <w:pPr>
        <w:pStyle w:val="SentriEyebrow"/>
      </w:pPr>
      <w:r>
        <w:t>CHAPTER 05</w:t>
      </w:r>
    </w:p>
    <w:p>
      <w:pPr>
        <w:pStyle w:val="Heading1"/>
      </w:pPr>
      <w:r>
        <w:t>Chapter 5: Security Architecture &amp; Intellectual Property Potential</w:t>
      </w:r>
    </w:p>
    <w:p/>
    <w:p>
      <w:r>
        <w:br w:type="page"/>
      </w:r>
    </w:p>
    <w:p>
      <w:pPr>
        <w:pStyle w:val="SentriEyebrow"/>
      </w:pPr>
      <w:r>
        <w:t>CHAPTER 06</w:t>
      </w:r>
    </w:p>
    <w:p>
      <w:pPr>
        <w:pStyle w:val="Heading1"/>
      </w:pPr>
      <w:r>
        <w:t>Chapter 6: Scalability &amp; Deployment Readiness</w:t>
      </w:r>
    </w:p>
    <w:p/>
    <w:sectPr w:rsidR="00FC693F" w:rsidRPr="0006063C" w:rsidSect="00034616">
      <w:footerReference w:type="default" r:id="rId9"/>
      <w:pgSz w:w="11909" w:h="16834"/>
      <w:pgMar w:top="1296" w:right="1440" w:bottom="1152" w:left="1440" w:header="648"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77F77"/>
        <w:sz w:val="16"/>
      </w:rPr>
      <w:t>SENTRI  /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88" w:lineRule="auto"/>
    </w:pPr>
    <w:rPr>
      <w:rFonts w:ascii="Aptos" w:hAnsi="Aptos"/>
      <w:color w:val="1E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300"/>
      <w:outlineLvl w:val="0"/>
    </w:pPr>
    <w:rPr>
      <w:rFonts w:asciiTheme="majorHAnsi" w:eastAsiaTheme="majorEastAsia" w:hAnsiTheme="majorHAnsi" w:cstheme="majorBidi" w:ascii="Aptos Display" w:hAnsi="Aptos Display"/>
      <w:b/>
      <w:bCs/>
      <w:color w:val="1E2623"/>
      <w:sz w:val="4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ptos Display" w:hAnsi="Aptos Display"/>
      <w:b/>
      <w:bCs/>
      <w:color w:val="51625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ptos Display" w:hAnsi="Aptos Display"/>
      <w:b/>
      <w:color w:val="1E2623"/>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ntriEyebrow">
    <w:name w:val="Sentri Eyebrow"/>
    <w:pPr>
      <w:spacing w:after="260"/>
    </w:pPr>
    <w:rPr>
      <w:rFonts w:ascii="Aptos" w:hAnsi="Aptos"/>
      <w:b/>
      <w:color w:val="516251"/>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