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01FF1" w14:textId="04AD3FC1" w:rsidR="00770D75" w:rsidRPr="008051DC" w:rsidRDefault="00FB313B" w:rsidP="00790A5F">
      <w:pPr>
        <w:pStyle w:val="Title"/>
        <w:spacing w:line="480" w:lineRule="auto"/>
        <w:jc w:val="center"/>
        <w:rPr>
          <w:rFonts w:ascii="Verdana" w:hAnsi="Verdana"/>
        </w:rPr>
      </w:pPr>
      <w:r w:rsidRPr="008051DC">
        <w:rPr>
          <w:rFonts w:ascii="Verdana" w:hAnsi="Verdana"/>
        </w:rPr>
        <w:t>The Impact of Corporate Green Bonds on Stock Returns</w:t>
      </w:r>
    </w:p>
    <w:p w14:paraId="05737721" w14:textId="39ADE051" w:rsidR="00FB313B" w:rsidRPr="008051DC" w:rsidRDefault="00FB313B" w:rsidP="00790A5F">
      <w:pPr>
        <w:spacing w:line="480" w:lineRule="auto"/>
        <w:rPr>
          <w:rFonts w:ascii="Verdana" w:hAnsi="Verdana"/>
        </w:rPr>
      </w:pPr>
    </w:p>
    <w:p w14:paraId="6AD197F1" w14:textId="77777777" w:rsidR="004A3738" w:rsidRPr="008051DC" w:rsidRDefault="004A3738" w:rsidP="00790A5F">
      <w:pPr>
        <w:spacing w:line="480" w:lineRule="auto"/>
        <w:rPr>
          <w:rFonts w:ascii="Verdana" w:hAnsi="Verdana"/>
          <w:b/>
          <w:bCs/>
        </w:rPr>
      </w:pPr>
    </w:p>
    <w:p w14:paraId="1B9B831B" w14:textId="77777777" w:rsidR="00304706" w:rsidRPr="008051DC" w:rsidRDefault="00304706" w:rsidP="00790A5F">
      <w:pPr>
        <w:spacing w:line="480" w:lineRule="auto"/>
        <w:rPr>
          <w:rFonts w:ascii="Verdana" w:hAnsi="Verdana"/>
          <w:b/>
          <w:bCs/>
        </w:rPr>
      </w:pPr>
    </w:p>
    <w:p w14:paraId="5E834729" w14:textId="7D896959" w:rsidR="00FB313B" w:rsidRPr="008051DC" w:rsidRDefault="00FB313B" w:rsidP="00790A5F">
      <w:pPr>
        <w:spacing w:line="480" w:lineRule="auto"/>
        <w:rPr>
          <w:rFonts w:ascii="Verdana" w:hAnsi="Verdana"/>
          <w:b/>
          <w:bCs/>
          <w:sz w:val="24"/>
        </w:rPr>
      </w:pPr>
      <w:r w:rsidRPr="008051DC">
        <w:rPr>
          <w:rFonts w:ascii="Verdana" w:hAnsi="Verdana"/>
          <w:b/>
          <w:bCs/>
          <w:sz w:val="24"/>
        </w:rPr>
        <w:t>Abstract</w:t>
      </w:r>
    </w:p>
    <w:p w14:paraId="3650BE7C" w14:textId="60733B03" w:rsidR="0092352F" w:rsidRPr="008051DC" w:rsidRDefault="0092352F" w:rsidP="00790A5F">
      <w:pPr>
        <w:spacing w:line="480" w:lineRule="auto"/>
        <w:rPr>
          <w:rFonts w:ascii="Verdana" w:hAnsi="Verdana"/>
          <w:sz w:val="24"/>
        </w:rPr>
      </w:pPr>
      <w:bookmarkStart w:id="0" w:name="_Hlk55128053"/>
      <w:r w:rsidRPr="008051DC">
        <w:rPr>
          <w:rFonts w:ascii="Verdana" w:hAnsi="Verdana"/>
          <w:sz w:val="24"/>
        </w:rPr>
        <w:t xml:space="preserve">I replicate with a different and bigger dataset the analysis of Flammer (2020) on financial markets’ response to the issuance of corporate green bonds, which are debt securities whose proceeds are used for projects with a positive impact on the environment and/or climate. </w:t>
      </w:r>
      <w:r w:rsidR="00FB313B" w:rsidRPr="008051DC">
        <w:rPr>
          <w:rFonts w:ascii="Verdana" w:hAnsi="Verdana"/>
          <w:sz w:val="24"/>
        </w:rPr>
        <w:t xml:space="preserve">As </w:t>
      </w:r>
      <w:r w:rsidR="00B03F56" w:rsidRPr="008051DC">
        <w:rPr>
          <w:rFonts w:ascii="Verdana" w:hAnsi="Verdana"/>
          <w:sz w:val="24"/>
        </w:rPr>
        <w:t>these</w:t>
      </w:r>
      <w:r w:rsidR="00FB313B" w:rsidRPr="008051DC">
        <w:rPr>
          <w:rFonts w:ascii="Verdana" w:hAnsi="Verdana"/>
          <w:sz w:val="24"/>
        </w:rPr>
        <w:t xml:space="preserve"> bonds </w:t>
      </w:r>
      <w:r w:rsidR="00B03F56" w:rsidRPr="008051DC">
        <w:rPr>
          <w:rFonts w:ascii="Verdana" w:hAnsi="Verdana"/>
          <w:sz w:val="24"/>
        </w:rPr>
        <w:t>are</w:t>
      </w:r>
      <w:r w:rsidR="00FB313B" w:rsidRPr="008051DC">
        <w:rPr>
          <w:rFonts w:ascii="Verdana" w:hAnsi="Verdana"/>
          <w:sz w:val="24"/>
        </w:rPr>
        <w:t xml:space="preserve"> getting more traction on </w:t>
      </w:r>
      <w:r w:rsidR="00B03F56" w:rsidRPr="008051DC">
        <w:rPr>
          <w:rFonts w:ascii="Verdana" w:hAnsi="Verdana"/>
          <w:sz w:val="24"/>
        </w:rPr>
        <w:t xml:space="preserve">the </w:t>
      </w:r>
      <w:r w:rsidR="00FB313B" w:rsidRPr="008051DC">
        <w:rPr>
          <w:rFonts w:ascii="Verdana" w:hAnsi="Verdana"/>
          <w:sz w:val="24"/>
        </w:rPr>
        <w:t>financial market</w:t>
      </w:r>
      <w:r w:rsidR="00B03F56" w:rsidRPr="008051DC">
        <w:rPr>
          <w:rFonts w:ascii="Verdana" w:hAnsi="Verdana"/>
          <w:sz w:val="24"/>
        </w:rPr>
        <w:t>s</w:t>
      </w:r>
      <w:r w:rsidR="00FB313B" w:rsidRPr="008051DC">
        <w:rPr>
          <w:rFonts w:ascii="Verdana" w:hAnsi="Verdana"/>
          <w:sz w:val="24"/>
        </w:rPr>
        <w:t xml:space="preserve">, it is </w:t>
      </w:r>
      <w:r w:rsidR="00B03F56" w:rsidRPr="008051DC">
        <w:rPr>
          <w:rFonts w:ascii="Verdana" w:hAnsi="Verdana"/>
          <w:sz w:val="24"/>
        </w:rPr>
        <w:t>interesting</w:t>
      </w:r>
      <w:r w:rsidR="00FB313B" w:rsidRPr="008051DC">
        <w:rPr>
          <w:rFonts w:ascii="Verdana" w:hAnsi="Verdana"/>
          <w:sz w:val="24"/>
        </w:rPr>
        <w:t xml:space="preserve"> to analy</w:t>
      </w:r>
      <w:r w:rsidR="00B03F56" w:rsidRPr="008051DC">
        <w:rPr>
          <w:rFonts w:ascii="Verdana" w:hAnsi="Verdana"/>
          <w:sz w:val="24"/>
        </w:rPr>
        <w:t>se their impact on the stock price</w:t>
      </w:r>
      <w:r w:rsidR="004A3738" w:rsidRPr="008051DC">
        <w:rPr>
          <w:rFonts w:ascii="Verdana" w:hAnsi="Verdana"/>
          <w:sz w:val="24"/>
        </w:rPr>
        <w:t xml:space="preserve"> of traded companies</w:t>
      </w:r>
      <w:r w:rsidR="00B03F56" w:rsidRPr="008051DC">
        <w:rPr>
          <w:rFonts w:ascii="Verdana" w:hAnsi="Verdana"/>
          <w:sz w:val="24"/>
        </w:rPr>
        <w:t>.</w:t>
      </w:r>
    </w:p>
    <w:p w14:paraId="55C1906B" w14:textId="0BAC1EEA" w:rsidR="0092352F" w:rsidRPr="008051DC" w:rsidRDefault="0092352F" w:rsidP="00790A5F">
      <w:pPr>
        <w:spacing w:line="480" w:lineRule="auto"/>
        <w:rPr>
          <w:rFonts w:ascii="Verdana" w:hAnsi="Verdana"/>
          <w:sz w:val="24"/>
        </w:rPr>
      </w:pPr>
      <w:r w:rsidRPr="008051DC">
        <w:rPr>
          <w:rFonts w:ascii="Verdana" w:hAnsi="Verdana"/>
          <w:sz w:val="24"/>
        </w:rPr>
        <w:t>L</w:t>
      </w:r>
      <w:r w:rsidR="004A3738" w:rsidRPr="008051DC">
        <w:rPr>
          <w:rFonts w:ascii="Verdana" w:hAnsi="Verdana"/>
          <w:sz w:val="24"/>
        </w:rPr>
        <w:t>ike Flammer, I find a positive response for the issuance of green bonds in the period from 5 days prior to the first announcement until 10 days following it</w:t>
      </w:r>
      <w:r w:rsidRPr="008051DC">
        <w:rPr>
          <w:rFonts w:ascii="Verdana" w:hAnsi="Verdana"/>
          <w:sz w:val="24"/>
        </w:rPr>
        <w:t>. However</w:t>
      </w:r>
      <w:r w:rsidR="004A3738" w:rsidRPr="008051DC">
        <w:rPr>
          <w:rFonts w:ascii="Verdana" w:hAnsi="Verdana"/>
          <w:sz w:val="24"/>
        </w:rPr>
        <w:t xml:space="preserve">, </w:t>
      </w:r>
      <w:r w:rsidRPr="008051DC">
        <w:rPr>
          <w:rFonts w:ascii="Verdana" w:hAnsi="Verdana"/>
          <w:sz w:val="24"/>
        </w:rPr>
        <w:t xml:space="preserve">when analysing first-time issuers separately from seasoned-time issuers, I find a bigger response for </w:t>
      </w:r>
      <w:r w:rsidR="005E3489" w:rsidRPr="008051DC">
        <w:rPr>
          <w:rFonts w:ascii="Verdana" w:hAnsi="Verdana"/>
          <w:sz w:val="24"/>
        </w:rPr>
        <w:t>the latter ones</w:t>
      </w:r>
      <w:r w:rsidRPr="008051DC">
        <w:rPr>
          <w:rFonts w:ascii="Verdana" w:hAnsi="Verdana"/>
          <w:sz w:val="24"/>
        </w:rPr>
        <w:t>, while Flammer finds no significant response for them. Moreover, for first-time issuers, I find a significant impact on a different time window, in the period from 20 to 11 days prior to the announcement.</w:t>
      </w:r>
    </w:p>
    <w:p w14:paraId="3CA41369" w14:textId="4B31DA9C" w:rsidR="00304706" w:rsidRPr="008051DC" w:rsidRDefault="0092352F" w:rsidP="00790A5F">
      <w:pPr>
        <w:spacing w:line="480" w:lineRule="auto"/>
        <w:rPr>
          <w:rFonts w:ascii="Verdana" w:eastAsiaTheme="majorEastAsia" w:hAnsi="Verdana" w:cstheme="majorBidi"/>
          <w:color w:val="2F5496" w:themeColor="accent1" w:themeShade="BF"/>
          <w:sz w:val="32"/>
          <w:szCs w:val="32"/>
        </w:rPr>
      </w:pPr>
      <w:r w:rsidRPr="008051DC">
        <w:rPr>
          <w:rFonts w:ascii="Verdana" w:hAnsi="Verdana"/>
          <w:sz w:val="24"/>
        </w:rPr>
        <w:t>I propose possible explanations for th</w:t>
      </w:r>
      <w:r w:rsidR="0070558A" w:rsidRPr="008051DC">
        <w:rPr>
          <w:rFonts w:ascii="Verdana" w:hAnsi="Verdana"/>
          <w:sz w:val="24"/>
        </w:rPr>
        <w:t>e</w:t>
      </w:r>
      <w:r w:rsidRPr="008051DC">
        <w:rPr>
          <w:rFonts w:ascii="Verdana" w:hAnsi="Verdana"/>
          <w:sz w:val="24"/>
        </w:rPr>
        <w:t xml:space="preserve"> difference in results.</w:t>
      </w:r>
      <w:bookmarkEnd w:id="0"/>
    </w:p>
    <w:p w14:paraId="0D3A9345" w14:textId="7A8432F6" w:rsidR="00FB313B" w:rsidRPr="008051DC" w:rsidRDefault="004A3738" w:rsidP="00790A5F">
      <w:pPr>
        <w:pStyle w:val="Heading1"/>
        <w:spacing w:line="480" w:lineRule="auto"/>
        <w:rPr>
          <w:rFonts w:ascii="Verdana" w:hAnsi="Verdana"/>
        </w:rPr>
      </w:pPr>
      <w:r w:rsidRPr="008051DC">
        <w:rPr>
          <w:rFonts w:ascii="Verdana" w:hAnsi="Verdana"/>
        </w:rPr>
        <w:lastRenderedPageBreak/>
        <w:t>Introduction</w:t>
      </w:r>
    </w:p>
    <w:p w14:paraId="0F0810FC" w14:textId="34E92F2B" w:rsidR="00FE5306" w:rsidRPr="008051DC" w:rsidRDefault="00FE5306" w:rsidP="00790A5F">
      <w:pPr>
        <w:spacing w:line="480" w:lineRule="auto"/>
        <w:rPr>
          <w:rFonts w:ascii="Verdana" w:hAnsi="Verdana" w:cs="Tahoma"/>
          <w:sz w:val="24"/>
          <w:szCs w:val="24"/>
        </w:rPr>
      </w:pPr>
      <w:r w:rsidRPr="008051DC">
        <w:rPr>
          <w:rFonts w:ascii="Verdana" w:hAnsi="Verdana" w:cs="Tahoma"/>
          <w:sz w:val="24"/>
          <w:szCs w:val="24"/>
        </w:rPr>
        <w:t xml:space="preserve">After the first climate-focused bond by the European Investment Bank in 2007, the World Bank issued the </w:t>
      </w:r>
      <w:r w:rsidR="00D43905" w:rsidRPr="008051DC">
        <w:rPr>
          <w:rFonts w:ascii="Verdana" w:hAnsi="Verdana" w:cs="Tahoma"/>
          <w:sz w:val="24"/>
          <w:szCs w:val="24"/>
        </w:rPr>
        <w:t xml:space="preserve">first </w:t>
      </w:r>
      <w:r w:rsidR="00217E42" w:rsidRPr="008051DC">
        <w:rPr>
          <w:rFonts w:ascii="Verdana" w:hAnsi="Verdana" w:cs="Tahoma"/>
          <w:sz w:val="24"/>
          <w:szCs w:val="24"/>
        </w:rPr>
        <w:t>“</w:t>
      </w:r>
      <w:r w:rsidR="00D43905" w:rsidRPr="008051DC">
        <w:rPr>
          <w:rFonts w:ascii="Verdana" w:hAnsi="Verdana" w:cs="Tahoma"/>
          <w:sz w:val="24"/>
          <w:szCs w:val="24"/>
        </w:rPr>
        <w:t>green</w:t>
      </w:r>
      <w:r w:rsidR="00217E42" w:rsidRPr="008051DC">
        <w:rPr>
          <w:rFonts w:ascii="Verdana" w:hAnsi="Verdana" w:cs="Tahoma"/>
          <w:sz w:val="24"/>
          <w:szCs w:val="24"/>
        </w:rPr>
        <w:t>” bond</w:t>
      </w:r>
      <w:r w:rsidR="00D43905" w:rsidRPr="008051DC">
        <w:rPr>
          <w:rFonts w:ascii="Verdana" w:hAnsi="Verdana" w:cs="Tahoma"/>
          <w:sz w:val="24"/>
          <w:szCs w:val="24"/>
        </w:rPr>
        <w:t xml:space="preserve"> in 200</w:t>
      </w:r>
      <w:r w:rsidR="00F4600E" w:rsidRPr="008051DC">
        <w:rPr>
          <w:rFonts w:ascii="Verdana" w:hAnsi="Verdana" w:cs="Tahoma"/>
          <w:sz w:val="24"/>
          <w:szCs w:val="24"/>
        </w:rPr>
        <w:t>8</w:t>
      </w:r>
      <w:r w:rsidR="00D43905" w:rsidRPr="008051DC">
        <w:rPr>
          <w:rStyle w:val="FootnoteReference"/>
          <w:rFonts w:ascii="Verdana" w:hAnsi="Verdana" w:cs="Tahoma"/>
          <w:sz w:val="24"/>
          <w:szCs w:val="24"/>
        </w:rPr>
        <w:footnoteReference w:id="1"/>
      </w:r>
      <w:r w:rsidR="00F4600E" w:rsidRPr="008051DC">
        <w:rPr>
          <w:rFonts w:ascii="Verdana" w:hAnsi="Verdana" w:cs="Tahoma"/>
          <w:sz w:val="24"/>
          <w:szCs w:val="24"/>
        </w:rPr>
        <w:t>.</w:t>
      </w:r>
      <w:r w:rsidRPr="008051DC">
        <w:rPr>
          <w:rFonts w:ascii="Verdana" w:hAnsi="Verdana" w:cs="Tahoma"/>
          <w:sz w:val="24"/>
          <w:szCs w:val="24"/>
        </w:rPr>
        <w:t xml:space="preserve"> Worth </w:t>
      </w:r>
      <w:proofErr w:type="spellStart"/>
      <w:r w:rsidRPr="008051DC">
        <w:rPr>
          <w:rFonts w:ascii="Verdana" w:hAnsi="Verdana" w:cs="Tahoma"/>
          <w:sz w:val="24"/>
          <w:szCs w:val="24"/>
        </w:rPr>
        <w:t>SKr</w:t>
      </w:r>
      <w:proofErr w:type="spellEnd"/>
      <w:r w:rsidRPr="008051DC">
        <w:rPr>
          <w:rFonts w:ascii="Verdana" w:hAnsi="Verdana" w:cs="Tahoma"/>
          <w:sz w:val="24"/>
          <w:szCs w:val="24"/>
        </w:rPr>
        <w:t xml:space="preserve"> 3.35 billion (</w:t>
      </w:r>
      <w:r w:rsidR="00217E42" w:rsidRPr="008051DC">
        <w:rPr>
          <w:rFonts w:ascii="Verdana" w:hAnsi="Verdana" w:cs="Tahoma"/>
          <w:sz w:val="24"/>
          <w:szCs w:val="24"/>
        </w:rPr>
        <w:t>USD</w:t>
      </w:r>
      <w:r w:rsidRPr="008051DC">
        <w:rPr>
          <w:rFonts w:ascii="Verdana" w:hAnsi="Verdana" w:cs="Tahoma"/>
          <w:sz w:val="24"/>
          <w:szCs w:val="24"/>
        </w:rPr>
        <w:t xml:space="preserve"> 440 million), this security was meant to:</w:t>
      </w:r>
    </w:p>
    <w:p w14:paraId="655E735D" w14:textId="51ADB40B" w:rsidR="009B254F" w:rsidRPr="008051DC" w:rsidRDefault="009B254F" w:rsidP="00790A5F">
      <w:pPr>
        <w:pStyle w:val="ListParagraph"/>
        <w:numPr>
          <w:ilvl w:val="0"/>
          <w:numId w:val="1"/>
        </w:numPr>
        <w:spacing w:line="480" w:lineRule="auto"/>
        <w:rPr>
          <w:rFonts w:ascii="Verdana" w:hAnsi="Verdana" w:cs="Tahoma"/>
          <w:sz w:val="24"/>
          <w:szCs w:val="24"/>
        </w:rPr>
      </w:pPr>
      <w:r w:rsidRPr="008051DC">
        <w:rPr>
          <w:rFonts w:ascii="Verdana" w:hAnsi="Verdana" w:cs="Tahoma"/>
          <w:sz w:val="24"/>
          <w:szCs w:val="24"/>
        </w:rPr>
        <w:t>M</w:t>
      </w:r>
      <w:r w:rsidR="00FE5306" w:rsidRPr="008051DC">
        <w:rPr>
          <w:rFonts w:ascii="Verdana" w:hAnsi="Verdana" w:cs="Tahoma"/>
          <w:sz w:val="24"/>
          <w:szCs w:val="24"/>
        </w:rPr>
        <w:t xml:space="preserve">eet the Scandinavian pension funds’ interest for </w:t>
      </w:r>
      <w:r w:rsidRPr="008051DC">
        <w:rPr>
          <w:rFonts w:ascii="Verdana" w:hAnsi="Verdana" w:cs="Tahoma"/>
          <w:sz w:val="24"/>
          <w:szCs w:val="24"/>
        </w:rPr>
        <w:t xml:space="preserve">a simple fixed-income product supporting </w:t>
      </w:r>
      <w:r w:rsidR="00FE5306" w:rsidRPr="008051DC">
        <w:rPr>
          <w:rFonts w:ascii="Verdana" w:hAnsi="Verdana" w:cs="Tahoma"/>
          <w:sz w:val="24"/>
          <w:szCs w:val="24"/>
        </w:rPr>
        <w:t>climate-focused projects</w:t>
      </w:r>
      <w:r w:rsidRPr="008051DC">
        <w:rPr>
          <w:rFonts w:ascii="Verdana" w:hAnsi="Verdana" w:cs="Tahoma"/>
          <w:sz w:val="24"/>
          <w:szCs w:val="24"/>
        </w:rPr>
        <w:t>;</w:t>
      </w:r>
    </w:p>
    <w:p w14:paraId="446AF1F5" w14:textId="6046DE5B" w:rsidR="00FE5306" w:rsidRPr="008051DC" w:rsidRDefault="009B254F" w:rsidP="00790A5F">
      <w:pPr>
        <w:pStyle w:val="ListParagraph"/>
        <w:numPr>
          <w:ilvl w:val="0"/>
          <w:numId w:val="1"/>
        </w:numPr>
        <w:spacing w:line="480" w:lineRule="auto"/>
        <w:rPr>
          <w:rFonts w:ascii="Verdana" w:hAnsi="Verdana" w:cs="Tahoma"/>
          <w:sz w:val="24"/>
          <w:szCs w:val="24"/>
        </w:rPr>
      </w:pPr>
      <w:r w:rsidRPr="008051DC">
        <w:rPr>
          <w:rFonts w:ascii="Verdana" w:hAnsi="Verdana" w:cs="Tahoma"/>
          <w:sz w:val="24"/>
          <w:szCs w:val="24"/>
        </w:rPr>
        <w:t xml:space="preserve">Attract </w:t>
      </w:r>
      <w:r w:rsidR="00FE5306" w:rsidRPr="008051DC">
        <w:rPr>
          <w:rFonts w:ascii="Verdana" w:hAnsi="Verdana" w:cs="Tahoma"/>
          <w:sz w:val="24"/>
          <w:szCs w:val="24"/>
        </w:rPr>
        <w:t xml:space="preserve">investors </w:t>
      </w:r>
      <w:r w:rsidRPr="008051DC">
        <w:rPr>
          <w:rFonts w:ascii="Verdana" w:hAnsi="Verdana" w:cs="Tahoma"/>
          <w:sz w:val="24"/>
          <w:szCs w:val="24"/>
        </w:rPr>
        <w:t>willing to invest</w:t>
      </w:r>
      <w:r w:rsidR="00FE5306" w:rsidRPr="008051DC">
        <w:rPr>
          <w:rFonts w:ascii="Verdana" w:hAnsi="Verdana" w:cs="Tahoma"/>
          <w:sz w:val="24"/>
          <w:szCs w:val="24"/>
        </w:rPr>
        <w:t xml:space="preserve"> sustainabl</w:t>
      </w:r>
      <w:r w:rsidRPr="008051DC">
        <w:rPr>
          <w:rFonts w:ascii="Verdana" w:hAnsi="Verdana" w:cs="Tahoma"/>
          <w:sz w:val="24"/>
          <w:szCs w:val="24"/>
        </w:rPr>
        <w:t>y</w:t>
      </w:r>
      <w:r w:rsidR="00FE5306" w:rsidRPr="008051DC">
        <w:rPr>
          <w:rFonts w:ascii="Verdana" w:hAnsi="Verdana" w:cs="Tahoma"/>
          <w:sz w:val="24"/>
          <w:szCs w:val="24"/>
        </w:rPr>
        <w:t xml:space="preserve"> and responsibl</w:t>
      </w:r>
      <w:r w:rsidRPr="008051DC">
        <w:rPr>
          <w:rFonts w:ascii="Verdana" w:hAnsi="Verdana" w:cs="Tahoma"/>
          <w:sz w:val="24"/>
          <w:szCs w:val="24"/>
        </w:rPr>
        <w:t>y;</w:t>
      </w:r>
    </w:p>
    <w:p w14:paraId="5D3A26B2" w14:textId="4E6EFC2F" w:rsidR="009B254F" w:rsidRPr="008051DC" w:rsidRDefault="009B254F" w:rsidP="00790A5F">
      <w:pPr>
        <w:pStyle w:val="ListParagraph"/>
        <w:numPr>
          <w:ilvl w:val="0"/>
          <w:numId w:val="1"/>
        </w:numPr>
        <w:spacing w:line="480" w:lineRule="auto"/>
        <w:rPr>
          <w:rFonts w:ascii="Verdana" w:hAnsi="Verdana" w:cs="Tahoma"/>
          <w:sz w:val="24"/>
          <w:szCs w:val="24"/>
        </w:rPr>
      </w:pPr>
      <w:r w:rsidRPr="008051DC">
        <w:rPr>
          <w:rFonts w:ascii="Verdana" w:hAnsi="Verdana" w:cs="Tahoma"/>
          <w:sz w:val="24"/>
          <w:szCs w:val="24"/>
        </w:rPr>
        <w:t xml:space="preserve">Innovate </w:t>
      </w:r>
      <w:r w:rsidR="008B347C" w:rsidRPr="008051DC">
        <w:rPr>
          <w:rFonts w:ascii="Verdana" w:hAnsi="Verdana" w:cs="Tahoma"/>
          <w:sz w:val="24"/>
          <w:szCs w:val="24"/>
        </w:rPr>
        <w:t>green</w:t>
      </w:r>
      <w:r w:rsidRPr="008051DC">
        <w:rPr>
          <w:rFonts w:ascii="Verdana" w:hAnsi="Verdana" w:cs="Tahoma"/>
          <w:sz w:val="24"/>
          <w:szCs w:val="24"/>
        </w:rPr>
        <w:t xml:space="preserve"> finance;</w:t>
      </w:r>
    </w:p>
    <w:p w14:paraId="38ECFFE8" w14:textId="18F79AC9" w:rsidR="009B254F" w:rsidRPr="008051DC" w:rsidRDefault="009B254F" w:rsidP="00790A5F">
      <w:pPr>
        <w:pStyle w:val="ListParagraph"/>
        <w:numPr>
          <w:ilvl w:val="0"/>
          <w:numId w:val="1"/>
        </w:numPr>
        <w:spacing w:line="480" w:lineRule="auto"/>
        <w:rPr>
          <w:rFonts w:ascii="Verdana" w:hAnsi="Verdana" w:cs="Tahoma"/>
          <w:sz w:val="24"/>
          <w:szCs w:val="24"/>
        </w:rPr>
      </w:pPr>
      <w:r w:rsidRPr="008051DC">
        <w:rPr>
          <w:rFonts w:ascii="Verdana" w:hAnsi="Verdana" w:cs="Tahoma"/>
          <w:sz w:val="24"/>
          <w:szCs w:val="24"/>
        </w:rPr>
        <w:t>Show financial markets that developing countries can</w:t>
      </w:r>
      <w:r w:rsidR="008B347C" w:rsidRPr="008051DC">
        <w:rPr>
          <w:rFonts w:ascii="Verdana" w:hAnsi="Verdana" w:cs="Tahoma"/>
          <w:sz w:val="24"/>
          <w:szCs w:val="24"/>
        </w:rPr>
        <w:t xml:space="preserve"> start</w:t>
      </w:r>
      <w:r w:rsidRPr="008051DC">
        <w:rPr>
          <w:rFonts w:ascii="Verdana" w:hAnsi="Verdana" w:cs="Tahoma"/>
          <w:sz w:val="24"/>
          <w:szCs w:val="24"/>
        </w:rPr>
        <w:t xml:space="preserve"> tackl</w:t>
      </w:r>
      <w:r w:rsidR="008B347C" w:rsidRPr="008051DC">
        <w:rPr>
          <w:rFonts w:ascii="Verdana" w:hAnsi="Verdana" w:cs="Tahoma"/>
          <w:sz w:val="24"/>
          <w:szCs w:val="24"/>
        </w:rPr>
        <w:t>ing climate change before it will affect them</w:t>
      </w:r>
      <w:r w:rsidRPr="008051DC">
        <w:rPr>
          <w:rFonts w:ascii="Verdana" w:hAnsi="Verdana" w:cs="Tahoma"/>
          <w:sz w:val="24"/>
          <w:szCs w:val="24"/>
        </w:rPr>
        <w:t>.</w:t>
      </w:r>
    </w:p>
    <w:p w14:paraId="02B3A34D" w14:textId="023E8742" w:rsidR="00D43905" w:rsidRPr="008051DC" w:rsidRDefault="00FE5306" w:rsidP="00790A5F">
      <w:pPr>
        <w:spacing w:line="480" w:lineRule="auto"/>
        <w:rPr>
          <w:rFonts w:ascii="Verdana" w:hAnsi="Verdana" w:cs="Tahoma"/>
          <w:sz w:val="24"/>
          <w:szCs w:val="24"/>
        </w:rPr>
      </w:pPr>
      <w:r w:rsidRPr="008051DC">
        <w:rPr>
          <w:rFonts w:ascii="Verdana" w:hAnsi="Verdana" w:cs="Tahoma"/>
          <w:sz w:val="24"/>
          <w:szCs w:val="24"/>
        </w:rPr>
        <w:t xml:space="preserve">In 2010, another member of the World Bank, the International Finance Corporation, and other public entities such as municipalities, governments and agencies issued </w:t>
      </w:r>
      <w:r w:rsidR="00217E42" w:rsidRPr="008051DC">
        <w:rPr>
          <w:rFonts w:ascii="Verdana" w:hAnsi="Verdana" w:cs="Tahoma"/>
          <w:sz w:val="24"/>
          <w:szCs w:val="24"/>
        </w:rPr>
        <w:t>USD</w:t>
      </w:r>
      <w:r w:rsidRPr="008051DC">
        <w:rPr>
          <w:rFonts w:ascii="Verdana" w:hAnsi="Verdana" w:cs="Tahoma"/>
          <w:sz w:val="24"/>
          <w:szCs w:val="24"/>
        </w:rPr>
        <w:t xml:space="preserve"> 4 billion of green bonds. </w:t>
      </w:r>
      <w:r w:rsidR="008B347C" w:rsidRPr="008051DC">
        <w:rPr>
          <w:rFonts w:ascii="Verdana" w:hAnsi="Verdana" w:cs="Tahoma"/>
          <w:sz w:val="24"/>
          <w:szCs w:val="24"/>
        </w:rPr>
        <w:t>Only three years later, i</w:t>
      </w:r>
      <w:r w:rsidRPr="008051DC">
        <w:rPr>
          <w:rFonts w:ascii="Verdana" w:hAnsi="Verdana" w:cs="Tahoma"/>
          <w:sz w:val="24"/>
          <w:szCs w:val="24"/>
        </w:rPr>
        <w:t>n 2013, private corporations started issuing this kind of debt securities</w:t>
      </w:r>
      <w:r w:rsidR="00A55B3A" w:rsidRPr="008051DC">
        <w:rPr>
          <w:rFonts w:ascii="Verdana" w:hAnsi="Verdana" w:cs="Tahoma"/>
          <w:sz w:val="24"/>
          <w:szCs w:val="24"/>
        </w:rPr>
        <w:t xml:space="preserve"> too</w:t>
      </w:r>
      <w:r w:rsidRPr="008051DC">
        <w:rPr>
          <w:rFonts w:ascii="Verdana" w:hAnsi="Verdana" w:cs="Tahoma"/>
          <w:sz w:val="24"/>
          <w:szCs w:val="24"/>
        </w:rPr>
        <w:t xml:space="preserve">, </w:t>
      </w:r>
      <w:r w:rsidR="00DC4210" w:rsidRPr="008051DC">
        <w:rPr>
          <w:rFonts w:ascii="Verdana" w:hAnsi="Verdana" w:cs="Tahoma"/>
          <w:sz w:val="24"/>
          <w:szCs w:val="24"/>
        </w:rPr>
        <w:t>resulting in</w:t>
      </w:r>
      <w:r w:rsidRPr="008051DC">
        <w:rPr>
          <w:rFonts w:ascii="Verdana" w:hAnsi="Verdana" w:cs="Tahoma"/>
          <w:sz w:val="24"/>
          <w:szCs w:val="24"/>
        </w:rPr>
        <w:t xml:space="preserve"> </w:t>
      </w:r>
      <w:r w:rsidR="00217E42" w:rsidRPr="008051DC">
        <w:rPr>
          <w:rFonts w:ascii="Verdana" w:hAnsi="Verdana" w:cs="Tahoma"/>
          <w:sz w:val="24"/>
          <w:szCs w:val="24"/>
        </w:rPr>
        <w:t>USD</w:t>
      </w:r>
      <w:r w:rsidRPr="008051DC">
        <w:rPr>
          <w:rFonts w:ascii="Verdana" w:hAnsi="Verdana" w:cs="Tahoma"/>
          <w:sz w:val="24"/>
          <w:szCs w:val="24"/>
        </w:rPr>
        <w:t xml:space="preserve"> 10 billion of green bonds issued </w:t>
      </w:r>
      <w:r w:rsidR="00DC4210" w:rsidRPr="008051DC">
        <w:rPr>
          <w:rFonts w:ascii="Verdana" w:hAnsi="Verdana" w:cs="Tahoma"/>
          <w:sz w:val="24"/>
          <w:szCs w:val="24"/>
        </w:rPr>
        <w:t>worldwide during</w:t>
      </w:r>
      <w:r w:rsidRPr="008051DC">
        <w:rPr>
          <w:rFonts w:ascii="Verdana" w:hAnsi="Verdana" w:cs="Tahoma"/>
          <w:sz w:val="24"/>
          <w:szCs w:val="24"/>
        </w:rPr>
        <w:t xml:space="preserve"> that year alone.</w:t>
      </w:r>
    </w:p>
    <w:p w14:paraId="6F60C251" w14:textId="2348D115" w:rsidR="00304706" w:rsidRPr="008051DC" w:rsidRDefault="00DC4210" w:rsidP="00790A5F">
      <w:pPr>
        <w:spacing w:line="480" w:lineRule="auto"/>
        <w:rPr>
          <w:rFonts w:ascii="Verdana" w:hAnsi="Verdana" w:cs="Tahoma"/>
          <w:sz w:val="24"/>
          <w:szCs w:val="24"/>
        </w:rPr>
      </w:pPr>
      <w:r w:rsidRPr="008051DC">
        <w:rPr>
          <w:rFonts w:ascii="Verdana" w:hAnsi="Verdana" w:cs="Tahoma"/>
          <w:sz w:val="24"/>
          <w:szCs w:val="24"/>
        </w:rPr>
        <w:t xml:space="preserve">After starting this new trend across financial markets, the World Bank is </w:t>
      </w:r>
      <w:bookmarkStart w:id="1" w:name="_Hlk55132446"/>
      <w:r w:rsidRPr="008051DC">
        <w:rPr>
          <w:rFonts w:ascii="Verdana" w:hAnsi="Verdana" w:cs="Tahoma"/>
          <w:sz w:val="24"/>
          <w:szCs w:val="24"/>
        </w:rPr>
        <w:t xml:space="preserve">now a small player in a sector that is expected to </w:t>
      </w:r>
      <w:r w:rsidR="00217E42" w:rsidRPr="008051DC">
        <w:rPr>
          <w:rFonts w:ascii="Verdana" w:hAnsi="Verdana" w:cs="Tahoma"/>
          <w:sz w:val="24"/>
          <w:szCs w:val="24"/>
        </w:rPr>
        <w:t>raise USD 250 billion in 2020</w:t>
      </w:r>
      <w:r w:rsidR="00217E42" w:rsidRPr="008051DC">
        <w:rPr>
          <w:rStyle w:val="FootnoteReference"/>
          <w:rFonts w:ascii="Verdana" w:hAnsi="Verdana" w:cs="Tahoma"/>
          <w:sz w:val="24"/>
          <w:szCs w:val="24"/>
        </w:rPr>
        <w:footnoteReference w:id="2"/>
      </w:r>
      <w:bookmarkEnd w:id="1"/>
      <w:r w:rsidR="00217E42" w:rsidRPr="008051DC">
        <w:rPr>
          <w:rFonts w:ascii="Verdana" w:hAnsi="Verdana" w:cs="Tahoma"/>
          <w:sz w:val="24"/>
          <w:szCs w:val="24"/>
        </w:rPr>
        <w:t>, notwithstanding the impact of the pandemic on the bond market and without considering other USD 70 billion of social and sustainability bonds in the same year.</w:t>
      </w:r>
      <w:r w:rsidR="00304706" w:rsidRPr="008051DC">
        <w:rPr>
          <w:rFonts w:ascii="Verdana" w:hAnsi="Verdana" w:cs="Tahoma"/>
          <w:sz w:val="24"/>
          <w:szCs w:val="24"/>
        </w:rPr>
        <w:t xml:space="preserve"> </w:t>
      </w:r>
    </w:p>
    <w:p w14:paraId="28B67EA3" w14:textId="77777777" w:rsidR="005E7A49" w:rsidRPr="008051DC" w:rsidRDefault="005E7A49" w:rsidP="00790A5F">
      <w:pPr>
        <w:spacing w:line="480" w:lineRule="auto"/>
        <w:rPr>
          <w:rFonts w:ascii="Verdana" w:hAnsi="Verdana" w:cs="Tahoma"/>
          <w:sz w:val="24"/>
          <w:szCs w:val="24"/>
        </w:rPr>
      </w:pPr>
      <w:r w:rsidRPr="008051DC">
        <w:rPr>
          <w:rFonts w:ascii="Verdana" w:hAnsi="Verdana" w:cs="Tahoma"/>
          <w:sz w:val="24"/>
          <w:szCs w:val="24"/>
        </w:rPr>
        <w:lastRenderedPageBreak/>
        <w:t>In January 2014, the International Capital Markets Association introduced some principles that “recommend transparency, disclosure and reporting” for the issuance of green bonds in order to provide markets with the information and transparency that are required for these financial products. According to the Green Bond guidelines provided by the International Capital Markets Association, the four components of a green bond are:</w:t>
      </w:r>
    </w:p>
    <w:p w14:paraId="7C24F2AD" w14:textId="77777777" w:rsidR="005E7A49" w:rsidRPr="008051DC" w:rsidRDefault="005E7A49" w:rsidP="00790A5F">
      <w:pPr>
        <w:pStyle w:val="ListParagraph"/>
        <w:numPr>
          <w:ilvl w:val="0"/>
          <w:numId w:val="3"/>
        </w:numPr>
        <w:spacing w:line="480" w:lineRule="auto"/>
        <w:rPr>
          <w:rFonts w:ascii="Verdana" w:hAnsi="Verdana" w:cs="Tahoma"/>
          <w:sz w:val="24"/>
          <w:szCs w:val="24"/>
        </w:rPr>
      </w:pPr>
      <w:r w:rsidRPr="008051DC">
        <w:rPr>
          <w:rFonts w:ascii="Verdana" w:hAnsi="Verdana" w:cs="Tahoma"/>
          <w:sz w:val="24"/>
          <w:szCs w:val="24"/>
        </w:rPr>
        <w:t>Use of Proceeds: definition and description of the eligible project categories</w:t>
      </w:r>
    </w:p>
    <w:p w14:paraId="307ED148" w14:textId="77777777" w:rsidR="005E7A49" w:rsidRPr="008051DC" w:rsidRDefault="005E7A49" w:rsidP="00790A5F">
      <w:pPr>
        <w:pStyle w:val="ListParagraph"/>
        <w:numPr>
          <w:ilvl w:val="0"/>
          <w:numId w:val="3"/>
        </w:numPr>
        <w:spacing w:line="480" w:lineRule="auto"/>
        <w:rPr>
          <w:rFonts w:ascii="Verdana" w:hAnsi="Verdana" w:cs="Tahoma"/>
          <w:sz w:val="24"/>
          <w:szCs w:val="24"/>
        </w:rPr>
      </w:pPr>
      <w:r w:rsidRPr="008051DC">
        <w:rPr>
          <w:rFonts w:ascii="Verdana" w:hAnsi="Verdana" w:cs="Tahoma"/>
          <w:sz w:val="24"/>
          <w:szCs w:val="24"/>
        </w:rPr>
        <w:t>Project evaluation and selection: description of the decision-making processes</w:t>
      </w:r>
    </w:p>
    <w:p w14:paraId="0C2F8982" w14:textId="77777777" w:rsidR="005E7A49" w:rsidRPr="008051DC" w:rsidRDefault="005E7A49" w:rsidP="00790A5F">
      <w:pPr>
        <w:pStyle w:val="ListParagraph"/>
        <w:numPr>
          <w:ilvl w:val="0"/>
          <w:numId w:val="3"/>
        </w:numPr>
        <w:spacing w:line="480" w:lineRule="auto"/>
        <w:rPr>
          <w:rFonts w:ascii="Verdana" w:hAnsi="Verdana" w:cs="Tahoma"/>
          <w:sz w:val="24"/>
          <w:szCs w:val="24"/>
        </w:rPr>
      </w:pPr>
      <w:r w:rsidRPr="008051DC">
        <w:rPr>
          <w:rFonts w:ascii="Verdana" w:hAnsi="Verdana" w:cs="Tahoma"/>
          <w:sz w:val="24"/>
          <w:szCs w:val="24"/>
        </w:rPr>
        <w:t>Management of Proceeds: guaranteeing that no projects or assets that do not comply with the stated use of proceeds will be financed nor refinanced</w:t>
      </w:r>
    </w:p>
    <w:p w14:paraId="16BAE53E" w14:textId="77777777" w:rsidR="005E7A49" w:rsidRPr="008051DC" w:rsidRDefault="005E7A49" w:rsidP="00790A5F">
      <w:pPr>
        <w:pStyle w:val="ListParagraph"/>
        <w:numPr>
          <w:ilvl w:val="0"/>
          <w:numId w:val="3"/>
        </w:numPr>
        <w:spacing w:line="480" w:lineRule="auto"/>
        <w:rPr>
          <w:rFonts w:ascii="Verdana" w:hAnsi="Verdana" w:cs="Tahoma"/>
          <w:sz w:val="24"/>
          <w:szCs w:val="24"/>
        </w:rPr>
      </w:pPr>
      <w:r w:rsidRPr="008051DC">
        <w:rPr>
          <w:rFonts w:ascii="Verdana" w:hAnsi="Verdana" w:cs="Tahoma"/>
          <w:sz w:val="24"/>
          <w:szCs w:val="24"/>
        </w:rPr>
        <w:t>Reporting: description of reporting intentions, including impact reporting</w:t>
      </w:r>
    </w:p>
    <w:p w14:paraId="1AF94B06" w14:textId="29B88BA5" w:rsidR="005E7A49" w:rsidRPr="008051DC" w:rsidRDefault="00741FBE" w:rsidP="00790A5F">
      <w:pPr>
        <w:spacing w:line="480" w:lineRule="auto"/>
        <w:rPr>
          <w:rFonts w:ascii="Verdana" w:hAnsi="Verdana" w:cs="Tahoma"/>
          <w:sz w:val="24"/>
          <w:szCs w:val="24"/>
        </w:rPr>
      </w:pPr>
      <w:r w:rsidRPr="008051DC">
        <w:rPr>
          <w:rFonts w:ascii="Verdana" w:hAnsi="Verdana" w:cs="Tahoma"/>
          <w:sz w:val="24"/>
          <w:szCs w:val="24"/>
        </w:rPr>
        <w:t>T</w:t>
      </w:r>
      <w:r w:rsidR="005E7A49" w:rsidRPr="008051DC">
        <w:rPr>
          <w:rFonts w:ascii="Verdana" w:hAnsi="Verdana" w:cs="Tahoma"/>
          <w:sz w:val="24"/>
          <w:szCs w:val="24"/>
        </w:rPr>
        <w:t>he International Capital Markets Association</w:t>
      </w:r>
      <w:r w:rsidRPr="008051DC">
        <w:rPr>
          <w:rFonts w:ascii="Verdana" w:hAnsi="Verdana" w:cs="Tahoma"/>
          <w:sz w:val="24"/>
          <w:szCs w:val="24"/>
        </w:rPr>
        <w:t xml:space="preserve"> clarifies that</w:t>
      </w:r>
      <w:r w:rsidR="005E7A49" w:rsidRPr="008051DC">
        <w:rPr>
          <w:rFonts w:ascii="Verdana" w:hAnsi="Verdana" w:cs="Tahoma"/>
          <w:sz w:val="24"/>
          <w:szCs w:val="24"/>
        </w:rPr>
        <w:t xml:space="preserve"> projects financed through the issue of green bonds should provide “clear environmental benefits” that must be quantified by the issuer whenever feasible.</w:t>
      </w:r>
    </w:p>
    <w:p w14:paraId="68BFF44D" w14:textId="529CA4DF" w:rsidR="005E7A49" w:rsidRPr="008051DC" w:rsidRDefault="005E7A49" w:rsidP="00790A5F">
      <w:pPr>
        <w:spacing w:line="480" w:lineRule="auto"/>
        <w:rPr>
          <w:rFonts w:ascii="Verdana" w:hAnsi="Verdana" w:cs="Tahoma"/>
          <w:sz w:val="24"/>
          <w:szCs w:val="24"/>
        </w:rPr>
      </w:pPr>
      <w:r w:rsidRPr="008051DC">
        <w:rPr>
          <w:rFonts w:ascii="Verdana" w:hAnsi="Verdana" w:cs="Tahoma"/>
          <w:sz w:val="24"/>
          <w:szCs w:val="24"/>
        </w:rPr>
        <w:t>In order to give a clearer picture of the possible categories under which the use of green bonds’ proceeds can fall, the International Capital Markets Association specifies that green projects include:</w:t>
      </w:r>
    </w:p>
    <w:p w14:paraId="270C26FC" w14:textId="6DE19B53" w:rsidR="005E7A49" w:rsidRPr="008051DC" w:rsidRDefault="005E7A49" w:rsidP="00790A5F">
      <w:pPr>
        <w:pStyle w:val="ListParagraph"/>
        <w:numPr>
          <w:ilvl w:val="0"/>
          <w:numId w:val="9"/>
        </w:numPr>
        <w:spacing w:line="480" w:lineRule="auto"/>
        <w:rPr>
          <w:rFonts w:ascii="Verdana" w:hAnsi="Verdana" w:cs="Tahoma"/>
          <w:sz w:val="24"/>
          <w:szCs w:val="24"/>
        </w:rPr>
      </w:pPr>
      <w:r w:rsidRPr="008051DC">
        <w:rPr>
          <w:rFonts w:ascii="Verdana" w:hAnsi="Verdana" w:cs="Tahoma"/>
          <w:sz w:val="24"/>
          <w:szCs w:val="24"/>
        </w:rPr>
        <w:lastRenderedPageBreak/>
        <w:t>renewable energy;</w:t>
      </w:r>
    </w:p>
    <w:p w14:paraId="18405270" w14:textId="71D6A3D9" w:rsidR="005E7A49" w:rsidRPr="008051DC" w:rsidRDefault="005E7A49" w:rsidP="00790A5F">
      <w:pPr>
        <w:pStyle w:val="ListParagraph"/>
        <w:numPr>
          <w:ilvl w:val="0"/>
          <w:numId w:val="9"/>
        </w:numPr>
        <w:spacing w:line="480" w:lineRule="auto"/>
        <w:rPr>
          <w:rFonts w:ascii="Verdana" w:hAnsi="Verdana" w:cs="Tahoma"/>
          <w:sz w:val="24"/>
          <w:szCs w:val="24"/>
        </w:rPr>
      </w:pPr>
      <w:r w:rsidRPr="008051DC">
        <w:rPr>
          <w:rFonts w:ascii="Verdana" w:hAnsi="Verdana" w:cs="Tahoma"/>
          <w:sz w:val="24"/>
          <w:szCs w:val="24"/>
        </w:rPr>
        <w:t>energy efficiency</w:t>
      </w:r>
      <w:r w:rsidR="00DE07C4" w:rsidRPr="008051DC">
        <w:rPr>
          <w:rFonts w:ascii="Verdana" w:hAnsi="Verdana" w:cs="Tahoma"/>
          <w:sz w:val="24"/>
          <w:szCs w:val="24"/>
        </w:rPr>
        <w:t>;</w:t>
      </w:r>
    </w:p>
    <w:p w14:paraId="76A751B3" w14:textId="6CA8148A" w:rsidR="005E7A49" w:rsidRPr="008051DC" w:rsidRDefault="005E7A49" w:rsidP="00790A5F">
      <w:pPr>
        <w:pStyle w:val="ListParagraph"/>
        <w:numPr>
          <w:ilvl w:val="0"/>
          <w:numId w:val="9"/>
        </w:numPr>
        <w:spacing w:line="480" w:lineRule="auto"/>
        <w:rPr>
          <w:rFonts w:ascii="Verdana" w:hAnsi="Verdana" w:cs="Tahoma"/>
          <w:sz w:val="24"/>
          <w:szCs w:val="24"/>
        </w:rPr>
      </w:pPr>
      <w:r w:rsidRPr="008051DC">
        <w:rPr>
          <w:rFonts w:ascii="Verdana" w:hAnsi="Verdana" w:cs="Tahoma"/>
          <w:sz w:val="24"/>
          <w:szCs w:val="24"/>
        </w:rPr>
        <w:t>pollution prevention and control;</w:t>
      </w:r>
    </w:p>
    <w:p w14:paraId="0BF63704" w14:textId="538237AC" w:rsidR="005E7A49" w:rsidRPr="008051DC" w:rsidRDefault="005E7A49" w:rsidP="00790A5F">
      <w:pPr>
        <w:pStyle w:val="ListParagraph"/>
        <w:numPr>
          <w:ilvl w:val="0"/>
          <w:numId w:val="9"/>
        </w:numPr>
        <w:spacing w:line="480" w:lineRule="auto"/>
        <w:rPr>
          <w:rFonts w:ascii="Verdana" w:hAnsi="Verdana" w:cs="Tahoma"/>
          <w:sz w:val="24"/>
          <w:szCs w:val="24"/>
        </w:rPr>
      </w:pPr>
      <w:r w:rsidRPr="008051DC">
        <w:rPr>
          <w:rFonts w:ascii="Verdana" w:hAnsi="Verdana" w:cs="Tahoma"/>
          <w:sz w:val="24"/>
          <w:szCs w:val="24"/>
        </w:rPr>
        <w:t>environmentally sustainable management of living natural resources and land use;</w:t>
      </w:r>
    </w:p>
    <w:p w14:paraId="7FA95902" w14:textId="56A7DAB8" w:rsidR="005E7A49" w:rsidRPr="008051DC" w:rsidRDefault="005E7A49" w:rsidP="00790A5F">
      <w:pPr>
        <w:pStyle w:val="ListParagraph"/>
        <w:numPr>
          <w:ilvl w:val="0"/>
          <w:numId w:val="9"/>
        </w:numPr>
        <w:spacing w:line="480" w:lineRule="auto"/>
        <w:rPr>
          <w:rFonts w:ascii="Verdana" w:hAnsi="Verdana" w:cs="Tahoma"/>
          <w:sz w:val="24"/>
          <w:szCs w:val="24"/>
        </w:rPr>
      </w:pPr>
      <w:r w:rsidRPr="008051DC">
        <w:rPr>
          <w:rFonts w:ascii="Verdana" w:hAnsi="Verdana" w:cs="Tahoma"/>
          <w:sz w:val="24"/>
          <w:szCs w:val="24"/>
        </w:rPr>
        <w:t>terrestrial and aquatic biodiversity conservation</w:t>
      </w:r>
      <w:r w:rsidR="00DE07C4" w:rsidRPr="008051DC">
        <w:rPr>
          <w:rFonts w:ascii="Verdana" w:hAnsi="Verdana" w:cs="Tahoma"/>
          <w:sz w:val="24"/>
          <w:szCs w:val="24"/>
        </w:rPr>
        <w:t>;</w:t>
      </w:r>
    </w:p>
    <w:p w14:paraId="1EC8A9A6" w14:textId="44A06BDC" w:rsidR="005E7A49" w:rsidRPr="008051DC" w:rsidRDefault="005E7A49" w:rsidP="00790A5F">
      <w:pPr>
        <w:pStyle w:val="ListParagraph"/>
        <w:numPr>
          <w:ilvl w:val="0"/>
          <w:numId w:val="9"/>
        </w:numPr>
        <w:spacing w:line="480" w:lineRule="auto"/>
        <w:rPr>
          <w:rFonts w:ascii="Verdana" w:hAnsi="Verdana" w:cs="Tahoma"/>
          <w:sz w:val="24"/>
          <w:szCs w:val="24"/>
        </w:rPr>
      </w:pPr>
      <w:r w:rsidRPr="008051DC">
        <w:rPr>
          <w:rFonts w:ascii="Verdana" w:hAnsi="Verdana" w:cs="Tahoma"/>
          <w:sz w:val="24"/>
          <w:szCs w:val="24"/>
        </w:rPr>
        <w:t>clean transportation;</w:t>
      </w:r>
    </w:p>
    <w:p w14:paraId="13210BF7" w14:textId="20BFE683" w:rsidR="005E7A49" w:rsidRPr="008051DC" w:rsidRDefault="005E7A49" w:rsidP="00790A5F">
      <w:pPr>
        <w:pStyle w:val="ListParagraph"/>
        <w:numPr>
          <w:ilvl w:val="0"/>
          <w:numId w:val="9"/>
        </w:numPr>
        <w:spacing w:line="480" w:lineRule="auto"/>
        <w:rPr>
          <w:rFonts w:ascii="Verdana" w:hAnsi="Verdana" w:cs="Tahoma"/>
          <w:sz w:val="24"/>
          <w:szCs w:val="24"/>
        </w:rPr>
      </w:pPr>
      <w:r w:rsidRPr="008051DC">
        <w:rPr>
          <w:rFonts w:ascii="Verdana" w:hAnsi="Verdana" w:cs="Tahoma"/>
          <w:sz w:val="24"/>
          <w:szCs w:val="24"/>
        </w:rPr>
        <w:t xml:space="preserve">sustainable water and wastewater </w:t>
      </w:r>
      <w:r w:rsidR="00DE07C4" w:rsidRPr="008051DC">
        <w:rPr>
          <w:rFonts w:ascii="Verdana" w:hAnsi="Verdana" w:cs="Tahoma"/>
          <w:sz w:val="24"/>
          <w:szCs w:val="24"/>
        </w:rPr>
        <w:t>management</w:t>
      </w:r>
      <w:r w:rsidRPr="008051DC">
        <w:rPr>
          <w:rFonts w:ascii="Verdana" w:hAnsi="Verdana" w:cs="Tahoma"/>
          <w:sz w:val="24"/>
          <w:szCs w:val="24"/>
        </w:rPr>
        <w:t>;</w:t>
      </w:r>
    </w:p>
    <w:p w14:paraId="75D4C138" w14:textId="711FBDA0" w:rsidR="005E7A49" w:rsidRPr="008051DC" w:rsidRDefault="005E7A49" w:rsidP="00790A5F">
      <w:pPr>
        <w:pStyle w:val="ListParagraph"/>
        <w:numPr>
          <w:ilvl w:val="0"/>
          <w:numId w:val="9"/>
        </w:numPr>
        <w:spacing w:line="480" w:lineRule="auto"/>
        <w:rPr>
          <w:rFonts w:ascii="Verdana" w:hAnsi="Verdana" w:cs="Tahoma"/>
          <w:sz w:val="24"/>
          <w:szCs w:val="24"/>
        </w:rPr>
      </w:pPr>
      <w:r w:rsidRPr="008051DC">
        <w:rPr>
          <w:rFonts w:ascii="Verdana" w:hAnsi="Verdana" w:cs="Tahoma"/>
          <w:sz w:val="24"/>
          <w:szCs w:val="24"/>
        </w:rPr>
        <w:t>climate change adaptation;</w:t>
      </w:r>
    </w:p>
    <w:p w14:paraId="7E056DE9" w14:textId="4DACDA2E" w:rsidR="005E7A49" w:rsidRPr="008051DC" w:rsidRDefault="005E7A49" w:rsidP="00790A5F">
      <w:pPr>
        <w:pStyle w:val="ListParagraph"/>
        <w:numPr>
          <w:ilvl w:val="0"/>
          <w:numId w:val="9"/>
        </w:numPr>
        <w:spacing w:line="480" w:lineRule="auto"/>
        <w:rPr>
          <w:rFonts w:ascii="Verdana" w:hAnsi="Verdana" w:cs="Tahoma"/>
          <w:sz w:val="24"/>
          <w:szCs w:val="24"/>
        </w:rPr>
      </w:pPr>
      <w:r w:rsidRPr="008051DC">
        <w:rPr>
          <w:rFonts w:ascii="Verdana" w:hAnsi="Verdana" w:cs="Tahoma"/>
          <w:sz w:val="24"/>
          <w:szCs w:val="24"/>
        </w:rPr>
        <w:t>eco-efficient and/or circular economy adapted products, production technologies and processes</w:t>
      </w:r>
      <w:r w:rsidR="00DE07C4" w:rsidRPr="008051DC">
        <w:rPr>
          <w:rFonts w:ascii="Verdana" w:hAnsi="Verdana" w:cs="Tahoma"/>
          <w:sz w:val="24"/>
          <w:szCs w:val="24"/>
        </w:rPr>
        <w:t>;</w:t>
      </w:r>
    </w:p>
    <w:p w14:paraId="31568B7E" w14:textId="213F0B0B" w:rsidR="005E7A49" w:rsidRPr="008051DC" w:rsidRDefault="005E7A49" w:rsidP="00790A5F">
      <w:pPr>
        <w:pStyle w:val="ListParagraph"/>
        <w:numPr>
          <w:ilvl w:val="0"/>
          <w:numId w:val="9"/>
        </w:numPr>
        <w:spacing w:line="480" w:lineRule="auto"/>
        <w:rPr>
          <w:rFonts w:ascii="Verdana" w:hAnsi="Verdana" w:cs="Tahoma"/>
          <w:sz w:val="24"/>
          <w:szCs w:val="24"/>
        </w:rPr>
      </w:pPr>
      <w:r w:rsidRPr="008051DC">
        <w:rPr>
          <w:rFonts w:ascii="Verdana" w:hAnsi="Verdana" w:cs="Tahoma"/>
          <w:sz w:val="24"/>
          <w:szCs w:val="24"/>
        </w:rPr>
        <w:t>green buildings which meet regional, national or internationally recognised standards or certifications.</w:t>
      </w:r>
    </w:p>
    <w:p w14:paraId="60322063" w14:textId="1B3EABC3" w:rsidR="005E7A49" w:rsidRPr="008051DC" w:rsidRDefault="005E7A49" w:rsidP="00790A5F">
      <w:pPr>
        <w:spacing w:line="480" w:lineRule="auto"/>
        <w:rPr>
          <w:rFonts w:ascii="Verdana" w:hAnsi="Verdana" w:cs="Tahoma"/>
          <w:sz w:val="24"/>
          <w:szCs w:val="24"/>
        </w:rPr>
      </w:pPr>
      <w:r w:rsidRPr="008051DC">
        <w:rPr>
          <w:rFonts w:ascii="Verdana" w:hAnsi="Verdana" w:cs="Tahoma"/>
          <w:sz w:val="24"/>
          <w:szCs w:val="24"/>
        </w:rPr>
        <w:t xml:space="preserve">From this list of green projects categories, we can confirm that companies choosing to issue green bonds are </w:t>
      </w:r>
      <w:r w:rsidR="00741FBE" w:rsidRPr="008051DC">
        <w:rPr>
          <w:rFonts w:ascii="Verdana" w:hAnsi="Verdana" w:cs="Tahoma"/>
          <w:sz w:val="24"/>
          <w:szCs w:val="24"/>
        </w:rPr>
        <w:t xml:space="preserve">supposedly </w:t>
      </w:r>
      <w:r w:rsidRPr="008051DC">
        <w:rPr>
          <w:rFonts w:ascii="Verdana" w:hAnsi="Verdana" w:cs="Tahoma"/>
          <w:sz w:val="24"/>
          <w:szCs w:val="24"/>
        </w:rPr>
        <w:t xml:space="preserve">constrained </w:t>
      </w:r>
      <w:r w:rsidR="00265AB4" w:rsidRPr="008051DC">
        <w:rPr>
          <w:rFonts w:ascii="Verdana" w:hAnsi="Verdana" w:cs="Tahoma"/>
          <w:sz w:val="24"/>
          <w:szCs w:val="24"/>
        </w:rPr>
        <w:t>in regard to</w:t>
      </w:r>
      <w:r w:rsidRPr="008051DC">
        <w:rPr>
          <w:rFonts w:ascii="Verdana" w:hAnsi="Verdana" w:cs="Tahoma"/>
          <w:sz w:val="24"/>
          <w:szCs w:val="24"/>
        </w:rPr>
        <w:t xml:space="preserve"> the projects they choose to finance.</w:t>
      </w:r>
    </w:p>
    <w:p w14:paraId="3F8C8BBD" w14:textId="77777777" w:rsidR="00741FBE" w:rsidRPr="008051DC" w:rsidRDefault="00741FBE" w:rsidP="00790A5F">
      <w:pPr>
        <w:spacing w:line="480" w:lineRule="auto"/>
        <w:rPr>
          <w:rFonts w:ascii="Verdana" w:hAnsi="Verdana" w:cs="Tahoma"/>
          <w:sz w:val="24"/>
          <w:szCs w:val="24"/>
        </w:rPr>
      </w:pPr>
      <w:r w:rsidRPr="008051DC">
        <w:rPr>
          <w:rFonts w:ascii="Verdana" w:hAnsi="Verdana" w:cs="Tahoma"/>
          <w:sz w:val="24"/>
          <w:szCs w:val="24"/>
        </w:rPr>
        <w:t>Flammer identifies two possible rationales for the increased administrative and compliance costs due to issuing a certified or uncertified green bond:</w:t>
      </w:r>
    </w:p>
    <w:p w14:paraId="0DD9B5C5" w14:textId="58760910" w:rsidR="00741FBE" w:rsidRPr="008051DC" w:rsidRDefault="00741FBE" w:rsidP="00790A5F">
      <w:pPr>
        <w:pStyle w:val="ListParagraph"/>
        <w:numPr>
          <w:ilvl w:val="0"/>
          <w:numId w:val="7"/>
        </w:numPr>
        <w:spacing w:line="480" w:lineRule="auto"/>
        <w:rPr>
          <w:rFonts w:ascii="Verdana" w:hAnsi="Verdana" w:cs="Tahoma"/>
          <w:sz w:val="24"/>
          <w:szCs w:val="24"/>
        </w:rPr>
      </w:pPr>
      <w:r w:rsidRPr="008051DC">
        <w:rPr>
          <w:rFonts w:ascii="Verdana" w:hAnsi="Verdana" w:cs="Tahoma"/>
          <w:sz w:val="24"/>
          <w:szCs w:val="24"/>
        </w:rPr>
        <w:t>communicating the (sincere or disingenuous) issuer’s interest for the environment;</w:t>
      </w:r>
    </w:p>
    <w:p w14:paraId="47C08107" w14:textId="43A546F0" w:rsidR="00741FBE" w:rsidRPr="008051DC" w:rsidRDefault="00741FBE" w:rsidP="00790A5F">
      <w:pPr>
        <w:pStyle w:val="ListParagraph"/>
        <w:numPr>
          <w:ilvl w:val="0"/>
          <w:numId w:val="7"/>
        </w:numPr>
        <w:spacing w:line="480" w:lineRule="auto"/>
        <w:rPr>
          <w:rFonts w:ascii="Verdana" w:hAnsi="Verdana" w:cs="Tahoma"/>
          <w:sz w:val="24"/>
          <w:szCs w:val="24"/>
        </w:rPr>
      </w:pPr>
      <w:r w:rsidRPr="008051DC">
        <w:rPr>
          <w:rFonts w:ascii="Verdana" w:hAnsi="Verdana" w:cs="Tahoma"/>
          <w:sz w:val="24"/>
          <w:szCs w:val="24"/>
        </w:rPr>
        <w:t>obtaining cheaper financing.</w:t>
      </w:r>
    </w:p>
    <w:p w14:paraId="4E500835" w14:textId="18B85BF0" w:rsidR="00741FBE" w:rsidRPr="008051DC" w:rsidRDefault="00741FBE" w:rsidP="00790A5F">
      <w:pPr>
        <w:spacing w:line="480" w:lineRule="auto"/>
        <w:rPr>
          <w:rFonts w:ascii="Verdana" w:hAnsi="Verdana" w:cs="Tahoma"/>
          <w:sz w:val="24"/>
          <w:szCs w:val="24"/>
        </w:rPr>
      </w:pPr>
      <w:r w:rsidRPr="008051DC">
        <w:rPr>
          <w:rFonts w:ascii="Verdana" w:hAnsi="Verdana" w:cs="Tahoma"/>
          <w:sz w:val="24"/>
          <w:szCs w:val="24"/>
        </w:rPr>
        <w:t xml:space="preserve">As a matter of fact, if green bonds brought no benefit, companies would refrain from issuing this kind of security, as it entails a greater level of </w:t>
      </w:r>
      <w:r w:rsidRPr="008051DC">
        <w:rPr>
          <w:rFonts w:ascii="Verdana" w:hAnsi="Verdana" w:cs="Tahoma"/>
          <w:sz w:val="24"/>
          <w:szCs w:val="24"/>
        </w:rPr>
        <w:lastRenderedPageBreak/>
        <w:t xml:space="preserve">transparency and costs together with a binding restriction on the use of proceeds. Flammer even argues that if this were the case, companies would be better off by investing in green projects without labelling their bonds as ‘green’. </w:t>
      </w:r>
      <w:r w:rsidR="00110F41" w:rsidRPr="008051DC">
        <w:rPr>
          <w:rFonts w:ascii="Verdana" w:hAnsi="Verdana" w:cs="Tahoma"/>
          <w:sz w:val="24"/>
          <w:szCs w:val="24"/>
        </w:rPr>
        <w:t>By doing so</w:t>
      </w:r>
      <w:r w:rsidRPr="008051DC">
        <w:rPr>
          <w:rFonts w:ascii="Verdana" w:hAnsi="Verdana" w:cs="Tahoma"/>
          <w:sz w:val="24"/>
          <w:szCs w:val="24"/>
        </w:rPr>
        <w:t>, they would face an unconstrained optimization problem rather than a constrained one, which yields to a weakly inferior optimum.</w:t>
      </w:r>
    </w:p>
    <w:p w14:paraId="7E1157F8" w14:textId="22F719F1" w:rsidR="005E7A49" w:rsidRPr="008051DC" w:rsidRDefault="005E7A49" w:rsidP="00790A5F">
      <w:pPr>
        <w:spacing w:line="480" w:lineRule="auto"/>
        <w:rPr>
          <w:rFonts w:ascii="Verdana" w:hAnsi="Verdana" w:cs="Tahoma"/>
          <w:sz w:val="24"/>
          <w:szCs w:val="24"/>
        </w:rPr>
      </w:pPr>
      <w:r w:rsidRPr="008051DC">
        <w:rPr>
          <w:rFonts w:ascii="Verdana" w:hAnsi="Verdana" w:cs="Tahoma"/>
          <w:sz w:val="24"/>
          <w:szCs w:val="24"/>
        </w:rPr>
        <w:t xml:space="preserve">Given the need of transparency and in order to ensure </w:t>
      </w:r>
      <w:r w:rsidR="00265AB4" w:rsidRPr="008051DC">
        <w:rPr>
          <w:rFonts w:ascii="Verdana" w:hAnsi="Verdana" w:cs="Tahoma"/>
          <w:sz w:val="24"/>
          <w:szCs w:val="24"/>
        </w:rPr>
        <w:t xml:space="preserve">investors </w:t>
      </w:r>
      <w:r w:rsidRPr="008051DC">
        <w:rPr>
          <w:rFonts w:ascii="Verdana" w:hAnsi="Verdana" w:cs="Tahoma"/>
          <w:sz w:val="24"/>
          <w:szCs w:val="24"/>
        </w:rPr>
        <w:t>that the criteria for a green bond are met, corporations can obtain a certification from a third party that ensures the proceeds finance only green projects.</w:t>
      </w:r>
    </w:p>
    <w:p w14:paraId="5384BEF4" w14:textId="4592145C" w:rsidR="00493422" w:rsidRPr="008051DC" w:rsidRDefault="00E42BBA" w:rsidP="00790A5F">
      <w:pPr>
        <w:spacing w:line="480" w:lineRule="auto"/>
        <w:rPr>
          <w:rFonts w:ascii="Verdana" w:hAnsi="Verdana" w:cs="Tahoma"/>
          <w:sz w:val="24"/>
          <w:szCs w:val="24"/>
        </w:rPr>
      </w:pPr>
      <w:r w:rsidRPr="008051DC">
        <w:rPr>
          <w:rFonts w:ascii="Verdana" w:hAnsi="Verdana" w:cs="Tahoma"/>
          <w:sz w:val="24"/>
          <w:szCs w:val="24"/>
        </w:rPr>
        <w:t>The Climate Bonds Initiative</w:t>
      </w:r>
      <w:r w:rsidR="007838C1" w:rsidRPr="008051DC">
        <w:rPr>
          <w:rFonts w:ascii="Verdana" w:hAnsi="Verdana" w:cs="Tahoma"/>
          <w:sz w:val="24"/>
          <w:szCs w:val="24"/>
        </w:rPr>
        <w:t xml:space="preserve"> (CBI)</w:t>
      </w:r>
      <w:r w:rsidR="00AC4E23" w:rsidRPr="008051DC">
        <w:rPr>
          <w:rFonts w:ascii="Verdana" w:hAnsi="Verdana" w:cs="Tahoma"/>
          <w:sz w:val="24"/>
          <w:szCs w:val="24"/>
        </w:rPr>
        <w:t>, the leading organization for green bonds,</w:t>
      </w:r>
      <w:r w:rsidRPr="008051DC">
        <w:rPr>
          <w:rFonts w:ascii="Verdana" w:hAnsi="Verdana" w:cs="Tahoma"/>
          <w:sz w:val="24"/>
          <w:szCs w:val="24"/>
        </w:rPr>
        <w:t xml:space="preserve"> is an international not-for-profit organization that issues rigorous scientific criteria </w:t>
      </w:r>
      <w:r w:rsidR="008B347C" w:rsidRPr="008051DC">
        <w:rPr>
          <w:rFonts w:ascii="Verdana" w:hAnsi="Verdana" w:cs="Tahoma"/>
          <w:sz w:val="24"/>
          <w:szCs w:val="24"/>
        </w:rPr>
        <w:t>that corporations can meet in order to</w:t>
      </w:r>
      <w:r w:rsidRPr="008051DC">
        <w:rPr>
          <w:rFonts w:ascii="Verdana" w:hAnsi="Verdana" w:cs="Tahoma"/>
          <w:sz w:val="24"/>
          <w:szCs w:val="24"/>
        </w:rPr>
        <w:t xml:space="preserve"> </w:t>
      </w:r>
      <w:r w:rsidR="008B347C" w:rsidRPr="008051DC">
        <w:rPr>
          <w:rFonts w:ascii="Verdana" w:hAnsi="Verdana" w:cs="Tahoma"/>
          <w:sz w:val="24"/>
          <w:szCs w:val="24"/>
        </w:rPr>
        <w:t>certif</w:t>
      </w:r>
      <w:r w:rsidR="00AC4E23" w:rsidRPr="008051DC">
        <w:rPr>
          <w:rFonts w:ascii="Verdana" w:hAnsi="Verdana" w:cs="Tahoma"/>
          <w:sz w:val="24"/>
          <w:szCs w:val="24"/>
        </w:rPr>
        <w:t>y</w:t>
      </w:r>
      <w:r w:rsidR="008B347C" w:rsidRPr="008051DC">
        <w:rPr>
          <w:rFonts w:ascii="Verdana" w:hAnsi="Verdana" w:cs="Tahoma"/>
          <w:sz w:val="24"/>
          <w:szCs w:val="24"/>
        </w:rPr>
        <w:t xml:space="preserve"> and label their securities as “Certified Climate Bonds”. </w:t>
      </w:r>
      <w:r w:rsidR="007838C1" w:rsidRPr="008051DC">
        <w:rPr>
          <w:rFonts w:ascii="Verdana" w:hAnsi="Verdana" w:cs="Tahoma"/>
          <w:sz w:val="24"/>
          <w:szCs w:val="24"/>
        </w:rPr>
        <w:t>In order to receive the Climate Bonds Initiative’s certification, public and private entities must appoint a third party that has been recognized by the CBI as an Approved Verifier</w:t>
      </w:r>
      <w:r w:rsidR="00BE6774" w:rsidRPr="008051DC">
        <w:rPr>
          <w:rFonts w:ascii="Verdana" w:hAnsi="Verdana" w:cs="Tahoma"/>
          <w:sz w:val="24"/>
          <w:szCs w:val="24"/>
        </w:rPr>
        <w:t xml:space="preserve"> for both their geographical area and sector criteria. This third party</w:t>
      </w:r>
      <w:r w:rsidR="007838C1" w:rsidRPr="008051DC">
        <w:rPr>
          <w:rFonts w:ascii="Verdana" w:hAnsi="Verdana" w:cs="Tahoma"/>
          <w:sz w:val="24"/>
          <w:szCs w:val="24"/>
        </w:rPr>
        <w:t xml:space="preserve"> will ensure that the bond </w:t>
      </w:r>
      <w:r w:rsidR="00BE6774" w:rsidRPr="008051DC">
        <w:rPr>
          <w:rFonts w:ascii="Verdana" w:hAnsi="Verdana" w:cs="Tahoma"/>
          <w:sz w:val="24"/>
          <w:szCs w:val="24"/>
        </w:rPr>
        <w:t>conforms with the Climate Bonds Standard, which are aligned with the Paris Agreement and its efforts not to exceed a global average warming of 2 degrees Celsius.</w:t>
      </w:r>
      <w:r w:rsidR="007838C1" w:rsidRPr="008051DC">
        <w:rPr>
          <w:rFonts w:ascii="Verdana" w:hAnsi="Verdana" w:cs="Tahoma"/>
          <w:sz w:val="24"/>
          <w:szCs w:val="24"/>
        </w:rPr>
        <w:t xml:space="preserve"> </w:t>
      </w:r>
      <w:r w:rsidR="00493422" w:rsidRPr="008051DC">
        <w:rPr>
          <w:rFonts w:ascii="Verdana" w:hAnsi="Verdana" w:cs="Tahoma"/>
          <w:sz w:val="24"/>
          <w:szCs w:val="24"/>
        </w:rPr>
        <w:t xml:space="preserve">Approved Verifiers include audit and legal services company, with the notable inclusion of globally recognized firms such as Deloitte, Ernst &amp; Young, KPMG and PricewaterhouseCoopers. After verification of the requirements by the Approved Verifier, </w:t>
      </w:r>
      <w:r w:rsidR="007838C1" w:rsidRPr="008051DC">
        <w:rPr>
          <w:rFonts w:ascii="Verdana" w:hAnsi="Verdana" w:cs="Tahoma"/>
          <w:sz w:val="24"/>
          <w:szCs w:val="24"/>
        </w:rPr>
        <w:t xml:space="preserve">the bond will be subject to final confirmation by </w:t>
      </w:r>
      <w:r w:rsidR="007838C1" w:rsidRPr="008051DC">
        <w:rPr>
          <w:rFonts w:ascii="Verdana" w:hAnsi="Verdana" w:cs="Tahoma"/>
          <w:sz w:val="24"/>
          <w:szCs w:val="24"/>
        </w:rPr>
        <w:lastRenderedPageBreak/>
        <w:t>the Climate Bonds Standard Board</w:t>
      </w:r>
      <w:r w:rsidR="00493422" w:rsidRPr="008051DC">
        <w:rPr>
          <w:rFonts w:ascii="Verdana" w:hAnsi="Verdana" w:cs="Tahoma"/>
          <w:sz w:val="24"/>
          <w:szCs w:val="24"/>
        </w:rPr>
        <w:t>, that is composed by the representatives of several not-for-profit organizations that manage USD 51 trillion of assets in total</w:t>
      </w:r>
      <w:r w:rsidR="00493422" w:rsidRPr="008051DC">
        <w:rPr>
          <w:rStyle w:val="FootnoteReference"/>
          <w:rFonts w:ascii="Verdana" w:hAnsi="Verdana" w:cs="Tahoma"/>
          <w:sz w:val="24"/>
          <w:szCs w:val="24"/>
        </w:rPr>
        <w:footnoteReference w:id="3"/>
      </w:r>
      <w:r w:rsidR="00493422" w:rsidRPr="008051DC">
        <w:rPr>
          <w:rFonts w:ascii="Verdana" w:hAnsi="Verdana" w:cs="Tahoma"/>
          <w:sz w:val="24"/>
          <w:szCs w:val="24"/>
        </w:rPr>
        <w:t>.</w:t>
      </w:r>
    </w:p>
    <w:p w14:paraId="13F330F2" w14:textId="78DF9914" w:rsidR="00493422" w:rsidRPr="008051DC" w:rsidRDefault="00493422" w:rsidP="00790A5F">
      <w:pPr>
        <w:spacing w:line="480" w:lineRule="auto"/>
        <w:rPr>
          <w:rFonts w:ascii="Verdana" w:hAnsi="Verdana" w:cs="Tahoma"/>
          <w:sz w:val="24"/>
          <w:szCs w:val="24"/>
        </w:rPr>
      </w:pPr>
      <w:r w:rsidRPr="008051DC">
        <w:rPr>
          <w:rFonts w:ascii="Verdana" w:hAnsi="Verdana" w:cs="Tahoma"/>
          <w:sz w:val="24"/>
          <w:szCs w:val="24"/>
        </w:rPr>
        <w:t xml:space="preserve">The certification can be completed prior to the security’s issuance, giving </w:t>
      </w:r>
      <w:r w:rsidR="002F21E5" w:rsidRPr="008051DC">
        <w:rPr>
          <w:rFonts w:ascii="Verdana" w:hAnsi="Verdana" w:cs="Tahoma"/>
          <w:sz w:val="24"/>
          <w:szCs w:val="24"/>
        </w:rPr>
        <w:t xml:space="preserve">to the issuer </w:t>
      </w:r>
      <w:r w:rsidRPr="008051DC">
        <w:rPr>
          <w:rFonts w:ascii="Verdana" w:hAnsi="Verdana" w:cs="Tahoma"/>
          <w:sz w:val="24"/>
          <w:szCs w:val="24"/>
        </w:rPr>
        <w:t xml:space="preserve">the opportunity </w:t>
      </w:r>
      <w:r w:rsidR="002F21E5" w:rsidRPr="008051DC">
        <w:rPr>
          <w:rFonts w:ascii="Verdana" w:hAnsi="Verdana" w:cs="Tahoma"/>
          <w:sz w:val="24"/>
          <w:szCs w:val="24"/>
        </w:rPr>
        <w:t>of</w:t>
      </w:r>
      <w:r w:rsidRPr="008051DC">
        <w:rPr>
          <w:rFonts w:ascii="Verdana" w:hAnsi="Verdana" w:cs="Tahoma"/>
          <w:sz w:val="24"/>
          <w:szCs w:val="24"/>
        </w:rPr>
        <w:t xml:space="preserve"> us</w:t>
      </w:r>
      <w:r w:rsidR="002F21E5" w:rsidRPr="008051DC">
        <w:rPr>
          <w:rFonts w:ascii="Verdana" w:hAnsi="Verdana" w:cs="Tahoma"/>
          <w:sz w:val="24"/>
          <w:szCs w:val="24"/>
        </w:rPr>
        <w:t>ing</w:t>
      </w:r>
      <w:r w:rsidRPr="008051DC">
        <w:rPr>
          <w:rFonts w:ascii="Verdana" w:hAnsi="Verdana" w:cs="Tahoma"/>
          <w:sz w:val="24"/>
          <w:szCs w:val="24"/>
        </w:rPr>
        <w:t xml:space="preserve"> the Climate Bonds Certification Mark when presenting </w:t>
      </w:r>
      <w:r w:rsidR="00481638" w:rsidRPr="008051DC">
        <w:rPr>
          <w:rFonts w:ascii="Verdana" w:hAnsi="Verdana" w:cs="Tahoma"/>
          <w:sz w:val="24"/>
          <w:szCs w:val="24"/>
        </w:rPr>
        <w:t>the bond to prospect investors.</w:t>
      </w:r>
    </w:p>
    <w:p w14:paraId="0589B75B" w14:textId="69D75851" w:rsidR="00E42BBA" w:rsidRPr="008051DC" w:rsidRDefault="00BE6774" w:rsidP="00790A5F">
      <w:pPr>
        <w:spacing w:line="480" w:lineRule="auto"/>
        <w:rPr>
          <w:rFonts w:ascii="Verdana" w:hAnsi="Verdana" w:cs="Tahoma"/>
          <w:sz w:val="24"/>
          <w:szCs w:val="24"/>
        </w:rPr>
      </w:pPr>
      <w:r w:rsidRPr="008051DC">
        <w:rPr>
          <w:rFonts w:ascii="Verdana" w:hAnsi="Verdana" w:cs="Tahoma"/>
          <w:sz w:val="24"/>
          <w:szCs w:val="24"/>
        </w:rPr>
        <w:t>After incurring t</w:t>
      </w:r>
      <w:r w:rsidR="00962CFA" w:rsidRPr="008051DC">
        <w:rPr>
          <w:rFonts w:ascii="Verdana" w:hAnsi="Verdana" w:cs="Tahoma"/>
          <w:sz w:val="24"/>
          <w:szCs w:val="24"/>
        </w:rPr>
        <w:t xml:space="preserve">he cost </w:t>
      </w:r>
      <w:r w:rsidRPr="008051DC">
        <w:rPr>
          <w:rFonts w:ascii="Verdana" w:hAnsi="Verdana" w:cs="Tahoma"/>
          <w:sz w:val="24"/>
          <w:szCs w:val="24"/>
        </w:rPr>
        <w:t xml:space="preserve">of the verification process, </w:t>
      </w:r>
      <w:r w:rsidR="00DE07C4" w:rsidRPr="008051DC">
        <w:rPr>
          <w:rFonts w:ascii="Verdana" w:hAnsi="Verdana" w:cs="Tahoma"/>
          <w:sz w:val="24"/>
          <w:szCs w:val="24"/>
        </w:rPr>
        <w:t xml:space="preserve">which may vary depending on the agreement between verifier and issuer, </w:t>
      </w:r>
      <w:r w:rsidRPr="008051DC">
        <w:rPr>
          <w:rFonts w:ascii="Verdana" w:hAnsi="Verdana" w:cs="Tahoma"/>
          <w:sz w:val="24"/>
          <w:szCs w:val="24"/>
        </w:rPr>
        <w:t xml:space="preserve">the </w:t>
      </w:r>
      <w:r w:rsidR="00DE07C4" w:rsidRPr="008051DC">
        <w:rPr>
          <w:rFonts w:ascii="Verdana" w:hAnsi="Verdana" w:cs="Tahoma"/>
          <w:sz w:val="24"/>
          <w:szCs w:val="24"/>
        </w:rPr>
        <w:t>latter</w:t>
      </w:r>
      <w:r w:rsidRPr="008051DC">
        <w:rPr>
          <w:rFonts w:ascii="Verdana" w:hAnsi="Verdana" w:cs="Tahoma"/>
          <w:sz w:val="24"/>
          <w:szCs w:val="24"/>
        </w:rPr>
        <w:t xml:space="preserve"> must pay </w:t>
      </w:r>
      <w:r w:rsidR="00962CFA" w:rsidRPr="008051DC">
        <w:rPr>
          <w:rFonts w:ascii="Verdana" w:hAnsi="Verdana" w:cs="Tahoma"/>
          <w:sz w:val="24"/>
          <w:szCs w:val="24"/>
        </w:rPr>
        <w:t>1/10th of a basis point of the bond principal</w:t>
      </w:r>
      <w:r w:rsidRPr="008051DC">
        <w:rPr>
          <w:rFonts w:ascii="Verdana" w:hAnsi="Verdana" w:cs="Tahoma"/>
          <w:sz w:val="24"/>
          <w:szCs w:val="24"/>
        </w:rPr>
        <w:t xml:space="preserve"> </w:t>
      </w:r>
      <w:r w:rsidR="00265AB4" w:rsidRPr="008051DC">
        <w:rPr>
          <w:rFonts w:ascii="Verdana" w:hAnsi="Verdana" w:cs="Tahoma"/>
          <w:sz w:val="24"/>
          <w:szCs w:val="24"/>
        </w:rPr>
        <w:t>in order to get the final</w:t>
      </w:r>
      <w:r w:rsidRPr="008051DC">
        <w:rPr>
          <w:rFonts w:ascii="Verdana" w:hAnsi="Verdana" w:cs="Tahoma"/>
          <w:sz w:val="24"/>
          <w:szCs w:val="24"/>
        </w:rPr>
        <w:t xml:space="preserve"> certification</w:t>
      </w:r>
      <w:r w:rsidR="00962CFA" w:rsidRPr="008051DC">
        <w:rPr>
          <w:rFonts w:ascii="Verdana" w:hAnsi="Verdana" w:cs="Tahoma"/>
          <w:sz w:val="24"/>
          <w:szCs w:val="24"/>
        </w:rPr>
        <w:t xml:space="preserve">. </w:t>
      </w:r>
      <w:r w:rsidRPr="008051DC">
        <w:rPr>
          <w:rFonts w:ascii="Verdana" w:hAnsi="Verdana" w:cs="Tahoma"/>
          <w:sz w:val="24"/>
          <w:szCs w:val="24"/>
        </w:rPr>
        <w:t xml:space="preserve">This means that for a </w:t>
      </w:r>
      <w:r w:rsidR="00962CFA" w:rsidRPr="008051DC">
        <w:rPr>
          <w:rFonts w:ascii="Verdana" w:hAnsi="Verdana" w:cs="Tahoma"/>
          <w:sz w:val="24"/>
          <w:szCs w:val="24"/>
        </w:rPr>
        <w:t xml:space="preserve">USD </w:t>
      </w:r>
      <w:r w:rsidRPr="008051DC">
        <w:rPr>
          <w:rFonts w:ascii="Verdana" w:hAnsi="Verdana" w:cs="Tahoma"/>
          <w:sz w:val="24"/>
          <w:szCs w:val="24"/>
        </w:rPr>
        <w:t>25</w:t>
      </w:r>
      <w:r w:rsidR="00962CFA" w:rsidRPr="008051DC">
        <w:rPr>
          <w:rFonts w:ascii="Verdana" w:hAnsi="Verdana" w:cs="Tahoma"/>
          <w:sz w:val="24"/>
          <w:szCs w:val="24"/>
        </w:rPr>
        <w:t xml:space="preserve">0 million bond, </w:t>
      </w:r>
      <w:r w:rsidRPr="008051DC">
        <w:rPr>
          <w:rFonts w:ascii="Verdana" w:hAnsi="Verdana" w:cs="Tahoma"/>
          <w:sz w:val="24"/>
          <w:szCs w:val="24"/>
        </w:rPr>
        <w:t>the fee would be</w:t>
      </w:r>
      <w:r w:rsidR="00962CFA" w:rsidRPr="008051DC">
        <w:rPr>
          <w:rFonts w:ascii="Verdana" w:hAnsi="Verdana" w:cs="Tahoma"/>
          <w:sz w:val="24"/>
          <w:szCs w:val="24"/>
        </w:rPr>
        <w:t xml:space="preserve"> USD </w:t>
      </w:r>
      <w:r w:rsidRPr="008051DC">
        <w:rPr>
          <w:rFonts w:ascii="Verdana" w:hAnsi="Verdana" w:cs="Tahoma"/>
          <w:sz w:val="24"/>
          <w:szCs w:val="24"/>
        </w:rPr>
        <w:t>2</w:t>
      </w:r>
      <w:r w:rsidR="00962CFA" w:rsidRPr="008051DC">
        <w:rPr>
          <w:rFonts w:ascii="Verdana" w:hAnsi="Verdana" w:cs="Tahoma"/>
          <w:sz w:val="24"/>
          <w:szCs w:val="24"/>
        </w:rPr>
        <w:t>,</w:t>
      </w:r>
      <w:r w:rsidRPr="008051DC">
        <w:rPr>
          <w:rFonts w:ascii="Verdana" w:hAnsi="Verdana" w:cs="Tahoma"/>
          <w:sz w:val="24"/>
          <w:szCs w:val="24"/>
        </w:rPr>
        <w:t>5</w:t>
      </w:r>
      <w:r w:rsidR="00962CFA" w:rsidRPr="008051DC">
        <w:rPr>
          <w:rFonts w:ascii="Verdana" w:hAnsi="Verdana" w:cs="Tahoma"/>
          <w:sz w:val="24"/>
          <w:szCs w:val="24"/>
        </w:rPr>
        <w:t>00.</w:t>
      </w:r>
    </w:p>
    <w:p w14:paraId="0F0E4787" w14:textId="0F8B2445" w:rsidR="00832756" w:rsidRPr="008051DC" w:rsidRDefault="00E01745" w:rsidP="00790A5F">
      <w:pPr>
        <w:spacing w:line="480" w:lineRule="auto"/>
        <w:rPr>
          <w:rFonts w:ascii="Verdana" w:hAnsi="Verdana" w:cs="Tahoma"/>
          <w:sz w:val="24"/>
          <w:szCs w:val="24"/>
        </w:rPr>
      </w:pPr>
      <w:r w:rsidRPr="008051DC">
        <w:rPr>
          <w:rFonts w:ascii="Verdana" w:hAnsi="Verdana" w:cs="Tahoma"/>
          <w:sz w:val="24"/>
          <w:szCs w:val="24"/>
        </w:rPr>
        <w:t>In case the bond fails to respect the Climate Bonds Standard after receiving the certification, the bond incurs in what is defined as ‘green default’. In case the issuer</w:t>
      </w:r>
      <w:r w:rsidR="009D6D33" w:rsidRPr="008051DC">
        <w:rPr>
          <w:rFonts w:ascii="Verdana" w:hAnsi="Verdana" w:cs="Tahoma"/>
          <w:sz w:val="24"/>
          <w:szCs w:val="24"/>
        </w:rPr>
        <w:t xml:space="preserve"> learns that the security does not adhere to the guidelines anymore, it</w:t>
      </w:r>
      <w:r w:rsidRPr="008051DC">
        <w:rPr>
          <w:rFonts w:ascii="Verdana" w:hAnsi="Verdana" w:cs="Tahoma"/>
          <w:sz w:val="24"/>
          <w:szCs w:val="24"/>
        </w:rPr>
        <w:t xml:space="preserve"> must communicate the event to the Climate Bonds Initiative Board</w:t>
      </w:r>
      <w:r w:rsidR="009D6D33" w:rsidRPr="008051DC">
        <w:rPr>
          <w:rFonts w:ascii="Verdana" w:hAnsi="Verdana" w:cs="Tahoma"/>
          <w:sz w:val="24"/>
          <w:szCs w:val="24"/>
        </w:rPr>
        <w:t xml:space="preserve"> within one month. The latter might suggest a strategy for making the bond compliant again </w:t>
      </w:r>
      <w:r w:rsidR="00DE07C4" w:rsidRPr="008051DC">
        <w:rPr>
          <w:rFonts w:ascii="Verdana" w:hAnsi="Verdana" w:cs="Tahoma"/>
          <w:sz w:val="24"/>
          <w:szCs w:val="24"/>
        </w:rPr>
        <w:t>but, in case</w:t>
      </w:r>
      <w:r w:rsidR="009D6D33" w:rsidRPr="008051DC">
        <w:rPr>
          <w:rFonts w:ascii="Verdana" w:hAnsi="Verdana" w:cs="Tahoma"/>
          <w:sz w:val="24"/>
          <w:szCs w:val="24"/>
        </w:rPr>
        <w:t xml:space="preserve"> the conformance will not be restored in a timely manner, the Climate Bonds Initiative Board might even revoke the </w:t>
      </w:r>
      <w:proofErr w:type="spellStart"/>
      <w:r w:rsidR="009D6D33" w:rsidRPr="008051DC">
        <w:rPr>
          <w:rFonts w:ascii="Verdana" w:hAnsi="Verdana" w:cs="Tahoma"/>
          <w:sz w:val="24"/>
          <w:szCs w:val="24"/>
        </w:rPr>
        <w:t>the</w:t>
      </w:r>
      <w:proofErr w:type="spellEnd"/>
      <w:r w:rsidR="009D6D33" w:rsidRPr="008051DC">
        <w:rPr>
          <w:rFonts w:ascii="Verdana" w:hAnsi="Verdana" w:cs="Tahoma"/>
          <w:sz w:val="24"/>
          <w:szCs w:val="24"/>
        </w:rPr>
        <w:t xml:space="preserve"> Climate Bonds Certification Mark. In this case, the issuer will need to remove the bond from the Climate Bond listing, stop </w:t>
      </w:r>
      <w:r w:rsidR="009D6D33" w:rsidRPr="008051DC">
        <w:rPr>
          <w:rFonts w:ascii="Verdana" w:hAnsi="Verdana" w:cs="Tahoma"/>
          <w:sz w:val="24"/>
          <w:szCs w:val="24"/>
        </w:rPr>
        <w:lastRenderedPageBreak/>
        <w:t xml:space="preserve">using the Climate Bond Certification Mark and inform </w:t>
      </w:r>
      <w:r w:rsidR="00BB2F3E" w:rsidRPr="008051DC">
        <w:rPr>
          <w:rFonts w:ascii="Verdana" w:hAnsi="Verdana" w:cs="Tahoma"/>
          <w:sz w:val="24"/>
          <w:szCs w:val="24"/>
        </w:rPr>
        <w:t xml:space="preserve">both </w:t>
      </w:r>
      <w:r w:rsidR="009D6D33" w:rsidRPr="008051DC">
        <w:rPr>
          <w:rFonts w:ascii="Verdana" w:hAnsi="Verdana" w:cs="Tahoma"/>
          <w:sz w:val="24"/>
          <w:szCs w:val="24"/>
        </w:rPr>
        <w:t>financial markets and bond holders</w:t>
      </w:r>
      <w:r w:rsidR="00BB2F3E" w:rsidRPr="008051DC">
        <w:rPr>
          <w:rFonts w:ascii="Verdana" w:hAnsi="Verdana" w:cs="Tahoma"/>
          <w:sz w:val="24"/>
          <w:szCs w:val="24"/>
        </w:rPr>
        <w:t xml:space="preserve"> about</w:t>
      </w:r>
      <w:r w:rsidR="009D6D33" w:rsidRPr="008051DC">
        <w:rPr>
          <w:rFonts w:ascii="Verdana" w:hAnsi="Verdana" w:cs="Tahoma"/>
          <w:sz w:val="24"/>
          <w:szCs w:val="24"/>
        </w:rPr>
        <w:t xml:space="preserve"> the loss of certification.</w:t>
      </w:r>
    </w:p>
    <w:p w14:paraId="19D60860" w14:textId="1FD7E8C0" w:rsidR="00E01745" w:rsidRPr="008051DC" w:rsidRDefault="00BB2F3E" w:rsidP="00790A5F">
      <w:pPr>
        <w:spacing w:line="480" w:lineRule="auto"/>
        <w:rPr>
          <w:rFonts w:ascii="Verdana" w:hAnsi="Verdana" w:cs="Tahoma"/>
          <w:sz w:val="24"/>
          <w:szCs w:val="24"/>
        </w:rPr>
      </w:pPr>
      <w:bookmarkStart w:id="2" w:name="_Hlk55122350"/>
      <w:proofErr w:type="spellStart"/>
      <w:r w:rsidRPr="008051DC">
        <w:rPr>
          <w:rFonts w:ascii="Verdana" w:hAnsi="Verdana" w:cs="Tahoma"/>
          <w:sz w:val="24"/>
          <w:szCs w:val="24"/>
        </w:rPr>
        <w:t>Corke</w:t>
      </w:r>
      <w:proofErr w:type="spellEnd"/>
      <w:r w:rsidRPr="008051DC">
        <w:rPr>
          <w:rFonts w:ascii="Verdana" w:hAnsi="Verdana" w:cs="Tahoma"/>
          <w:sz w:val="24"/>
          <w:szCs w:val="24"/>
        </w:rPr>
        <w:t xml:space="preserve"> and Myers (2019) </w:t>
      </w:r>
      <w:bookmarkEnd w:id="2"/>
      <w:r w:rsidRPr="008051DC">
        <w:rPr>
          <w:rFonts w:ascii="Verdana" w:hAnsi="Verdana" w:cs="Tahoma"/>
          <w:sz w:val="24"/>
          <w:szCs w:val="24"/>
        </w:rPr>
        <w:t>find this process “</w:t>
      </w:r>
      <w:r w:rsidR="00E01745" w:rsidRPr="008051DC">
        <w:rPr>
          <w:rFonts w:ascii="Verdana" w:hAnsi="Verdana" w:cs="Tahoma"/>
          <w:sz w:val="24"/>
          <w:szCs w:val="24"/>
        </w:rPr>
        <w:t>discretionary and uncertain</w:t>
      </w:r>
      <w:r w:rsidRPr="008051DC">
        <w:rPr>
          <w:rFonts w:ascii="Verdana" w:hAnsi="Verdana" w:cs="Tahoma"/>
          <w:sz w:val="24"/>
          <w:szCs w:val="24"/>
        </w:rPr>
        <w:t xml:space="preserve">” </w:t>
      </w:r>
      <w:r w:rsidR="00E01745" w:rsidRPr="008051DC">
        <w:rPr>
          <w:rFonts w:ascii="Verdana" w:hAnsi="Verdana" w:cs="Tahoma"/>
          <w:sz w:val="24"/>
          <w:szCs w:val="24"/>
        </w:rPr>
        <w:t xml:space="preserve">and </w:t>
      </w:r>
      <w:r w:rsidRPr="008051DC">
        <w:rPr>
          <w:rFonts w:ascii="Verdana" w:hAnsi="Verdana" w:cs="Tahoma"/>
          <w:sz w:val="24"/>
          <w:szCs w:val="24"/>
        </w:rPr>
        <w:t>underline the fact that it entails no fine</w:t>
      </w:r>
      <w:r w:rsidR="00490541" w:rsidRPr="008051DC">
        <w:rPr>
          <w:rFonts w:ascii="Verdana" w:hAnsi="Verdana" w:cs="Tahoma"/>
          <w:sz w:val="24"/>
          <w:szCs w:val="24"/>
        </w:rPr>
        <w:t>,</w:t>
      </w:r>
      <w:r w:rsidRPr="008051DC">
        <w:rPr>
          <w:rFonts w:ascii="Verdana" w:hAnsi="Verdana" w:cs="Tahoma"/>
          <w:sz w:val="24"/>
          <w:szCs w:val="24"/>
        </w:rPr>
        <w:t xml:space="preserve"> but </w:t>
      </w:r>
      <w:r w:rsidR="00490541" w:rsidRPr="008051DC">
        <w:rPr>
          <w:rFonts w:ascii="Verdana" w:hAnsi="Verdana" w:cs="Tahoma"/>
          <w:sz w:val="24"/>
          <w:szCs w:val="24"/>
        </w:rPr>
        <w:t>the mere</w:t>
      </w:r>
      <w:r w:rsidR="00E01745" w:rsidRPr="008051DC">
        <w:rPr>
          <w:rFonts w:ascii="Verdana" w:hAnsi="Verdana" w:cs="Tahoma"/>
          <w:sz w:val="24"/>
          <w:szCs w:val="24"/>
        </w:rPr>
        <w:t xml:space="preserve"> loss of certification.</w:t>
      </w:r>
      <w:r w:rsidRPr="008051DC">
        <w:rPr>
          <w:rFonts w:ascii="Verdana" w:hAnsi="Verdana" w:cs="Tahoma"/>
          <w:sz w:val="24"/>
          <w:szCs w:val="24"/>
        </w:rPr>
        <w:t xml:space="preserve"> Moreover, investors are not protected in case of a green default, as the usual market practice consist of stating that “a loss of certification does not constitute an event of default and bondholders cannot exercise redemption rights or take any other action”</w:t>
      </w:r>
      <w:r w:rsidRPr="008051DC">
        <w:rPr>
          <w:rStyle w:val="FootnoteReference"/>
          <w:rFonts w:ascii="Verdana" w:hAnsi="Verdana" w:cs="Tahoma"/>
          <w:sz w:val="24"/>
          <w:szCs w:val="24"/>
        </w:rPr>
        <w:footnoteReference w:id="4"/>
      </w:r>
      <w:r w:rsidR="00832756" w:rsidRPr="008051DC">
        <w:rPr>
          <w:rFonts w:ascii="Verdana" w:hAnsi="Verdana" w:cs="Tahoma"/>
          <w:sz w:val="24"/>
          <w:szCs w:val="24"/>
        </w:rPr>
        <w:t xml:space="preserve"> .</w:t>
      </w:r>
    </w:p>
    <w:p w14:paraId="1259DDD1" w14:textId="03051E25" w:rsidR="00E01745" w:rsidRPr="008051DC" w:rsidRDefault="00832756" w:rsidP="00790A5F">
      <w:pPr>
        <w:spacing w:line="480" w:lineRule="auto"/>
        <w:rPr>
          <w:rFonts w:ascii="Verdana" w:hAnsi="Verdana" w:cs="Tahoma"/>
          <w:sz w:val="24"/>
          <w:szCs w:val="24"/>
        </w:rPr>
      </w:pPr>
      <w:r w:rsidRPr="008051DC">
        <w:rPr>
          <w:rFonts w:ascii="Verdana" w:hAnsi="Verdana" w:cs="Tahoma"/>
          <w:sz w:val="24"/>
          <w:szCs w:val="24"/>
        </w:rPr>
        <w:t>Additionally</w:t>
      </w:r>
      <w:r w:rsidR="00E01745" w:rsidRPr="008051DC">
        <w:rPr>
          <w:rFonts w:ascii="Verdana" w:hAnsi="Verdana" w:cs="Tahoma"/>
          <w:sz w:val="24"/>
          <w:szCs w:val="24"/>
        </w:rPr>
        <w:t xml:space="preserve">, Ehlers and Packer (2017) </w:t>
      </w:r>
      <w:r w:rsidR="00490541" w:rsidRPr="008051DC">
        <w:rPr>
          <w:rFonts w:ascii="Verdana" w:hAnsi="Verdana" w:cs="Tahoma"/>
          <w:sz w:val="24"/>
          <w:szCs w:val="24"/>
        </w:rPr>
        <w:t>notice</w:t>
      </w:r>
      <w:r w:rsidR="00E01745" w:rsidRPr="008051DC">
        <w:rPr>
          <w:rFonts w:ascii="Verdana" w:hAnsi="Verdana" w:cs="Tahoma"/>
          <w:sz w:val="24"/>
          <w:szCs w:val="24"/>
        </w:rPr>
        <w:t xml:space="preserve"> that green bond certifications usually lack assessments after the issuance of the certification. </w:t>
      </w:r>
      <w:r w:rsidR="00490541" w:rsidRPr="008051DC">
        <w:rPr>
          <w:rFonts w:ascii="Verdana" w:hAnsi="Verdana" w:cs="Tahoma"/>
          <w:sz w:val="24"/>
          <w:szCs w:val="24"/>
        </w:rPr>
        <w:t>For instance</w:t>
      </w:r>
      <w:r w:rsidR="00E01745" w:rsidRPr="008051DC">
        <w:rPr>
          <w:rFonts w:ascii="Verdana" w:hAnsi="Verdana" w:cs="Tahoma"/>
          <w:sz w:val="24"/>
          <w:szCs w:val="24"/>
        </w:rPr>
        <w:t>, the</w:t>
      </w:r>
      <w:r w:rsidR="00490541" w:rsidRPr="008051DC">
        <w:rPr>
          <w:rFonts w:ascii="Verdana" w:hAnsi="Verdana" w:cs="Tahoma"/>
          <w:sz w:val="24"/>
          <w:szCs w:val="24"/>
        </w:rPr>
        <w:t>y find</w:t>
      </w:r>
      <w:r w:rsidR="00E01745" w:rsidRPr="008051DC">
        <w:rPr>
          <w:rFonts w:ascii="Verdana" w:hAnsi="Verdana" w:cs="Tahoma"/>
          <w:sz w:val="24"/>
          <w:szCs w:val="24"/>
        </w:rPr>
        <w:t xml:space="preserve"> that </w:t>
      </w:r>
      <w:r w:rsidR="00490541" w:rsidRPr="008051DC">
        <w:rPr>
          <w:rFonts w:ascii="Verdana" w:hAnsi="Verdana" w:cs="Tahoma"/>
          <w:sz w:val="24"/>
          <w:szCs w:val="24"/>
        </w:rPr>
        <w:t xml:space="preserve">neither </w:t>
      </w:r>
      <w:r w:rsidR="00E01745" w:rsidRPr="008051DC">
        <w:rPr>
          <w:rFonts w:ascii="Verdana" w:hAnsi="Verdana" w:cs="Tahoma"/>
          <w:sz w:val="24"/>
          <w:szCs w:val="24"/>
        </w:rPr>
        <w:t xml:space="preserve">CICERO </w:t>
      </w:r>
      <w:r w:rsidR="00490541" w:rsidRPr="008051DC">
        <w:rPr>
          <w:rFonts w:ascii="Verdana" w:hAnsi="Verdana" w:cs="Tahoma"/>
          <w:sz w:val="24"/>
          <w:szCs w:val="24"/>
        </w:rPr>
        <w:t>nor</w:t>
      </w:r>
      <w:r w:rsidR="00E01745" w:rsidRPr="008051DC">
        <w:rPr>
          <w:rFonts w:ascii="Verdana" w:hAnsi="Verdana" w:cs="Tahoma"/>
          <w:sz w:val="24"/>
          <w:szCs w:val="24"/>
        </w:rPr>
        <w:t xml:space="preserve"> Standard &amp; Poor's Green Evaluations do not verify “green compliance” after the initial assessment, while for Moody’s Green Bond Assessments “regular review is anticipated”</w:t>
      </w:r>
      <w:r w:rsidR="00E01745" w:rsidRPr="008051DC">
        <w:rPr>
          <w:rStyle w:val="FootnoteReference"/>
          <w:rFonts w:ascii="Verdana" w:hAnsi="Verdana" w:cs="Tahoma"/>
          <w:sz w:val="24"/>
          <w:szCs w:val="24"/>
        </w:rPr>
        <w:footnoteReference w:id="5"/>
      </w:r>
      <w:r w:rsidR="00E01745" w:rsidRPr="008051DC">
        <w:rPr>
          <w:rFonts w:ascii="Verdana" w:hAnsi="Verdana" w:cs="Tahoma"/>
          <w:sz w:val="24"/>
          <w:szCs w:val="24"/>
        </w:rPr>
        <w:t>.</w:t>
      </w:r>
    </w:p>
    <w:p w14:paraId="3E87B53F" w14:textId="75990B44" w:rsidR="00832756" w:rsidRPr="008051DC" w:rsidRDefault="00832756" w:rsidP="00790A5F">
      <w:pPr>
        <w:spacing w:line="480" w:lineRule="auto"/>
        <w:rPr>
          <w:rFonts w:ascii="Verdana" w:hAnsi="Verdana" w:cs="Tahoma"/>
          <w:sz w:val="24"/>
          <w:szCs w:val="24"/>
        </w:rPr>
      </w:pPr>
      <w:r w:rsidRPr="008051DC">
        <w:rPr>
          <w:rFonts w:ascii="Verdana" w:hAnsi="Verdana" w:cs="Tahoma"/>
          <w:sz w:val="24"/>
          <w:szCs w:val="24"/>
        </w:rPr>
        <w:t>The lack of review after certification and processes solely based on self-reports are the main reason why literature</w:t>
      </w:r>
      <w:r w:rsidRPr="008051DC">
        <w:rPr>
          <w:rStyle w:val="FootnoteReference"/>
          <w:rFonts w:ascii="Verdana" w:hAnsi="Verdana" w:cs="Tahoma"/>
          <w:sz w:val="24"/>
          <w:szCs w:val="24"/>
        </w:rPr>
        <w:footnoteReference w:id="6"/>
      </w:r>
      <w:r w:rsidRPr="008051DC">
        <w:rPr>
          <w:rFonts w:ascii="Verdana" w:hAnsi="Verdana" w:cs="Tahoma"/>
          <w:sz w:val="24"/>
          <w:szCs w:val="24"/>
        </w:rPr>
        <w:t xml:space="preserve"> identifies “greenwashing” as a possible rationale for the issuance of green bonds. Companies can issue a green bond and even get a </w:t>
      </w:r>
      <w:r w:rsidR="00490541" w:rsidRPr="008051DC">
        <w:rPr>
          <w:rFonts w:ascii="Verdana" w:hAnsi="Verdana" w:cs="Tahoma"/>
          <w:sz w:val="24"/>
          <w:szCs w:val="24"/>
        </w:rPr>
        <w:t>third-party</w:t>
      </w:r>
      <w:r w:rsidRPr="008051DC">
        <w:rPr>
          <w:rFonts w:ascii="Verdana" w:hAnsi="Verdana" w:cs="Tahoma"/>
          <w:sz w:val="24"/>
          <w:szCs w:val="24"/>
        </w:rPr>
        <w:t xml:space="preserve"> certification without</w:t>
      </w:r>
      <w:r w:rsidR="000D43D0" w:rsidRPr="008051DC">
        <w:rPr>
          <w:rFonts w:ascii="Verdana" w:hAnsi="Verdana" w:cs="Tahoma"/>
          <w:sz w:val="24"/>
          <w:szCs w:val="24"/>
        </w:rPr>
        <w:t xml:space="preserve"> receiving high scrutiny in the following years.</w:t>
      </w:r>
    </w:p>
    <w:p w14:paraId="4BF0A6D2" w14:textId="4FC7C048" w:rsidR="00490541" w:rsidRPr="008051DC" w:rsidRDefault="00490541" w:rsidP="00790A5F">
      <w:pPr>
        <w:spacing w:line="480" w:lineRule="auto"/>
        <w:rPr>
          <w:rFonts w:ascii="Verdana" w:hAnsi="Verdana" w:cs="Tahoma"/>
          <w:sz w:val="24"/>
          <w:szCs w:val="24"/>
        </w:rPr>
      </w:pPr>
      <w:r w:rsidRPr="008051DC">
        <w:rPr>
          <w:rFonts w:ascii="Verdana" w:hAnsi="Verdana" w:cs="Tahoma"/>
          <w:sz w:val="24"/>
          <w:szCs w:val="24"/>
        </w:rPr>
        <w:t xml:space="preserve">In order to better understand why companies would decide to issue green bonds, I replicate with a different and bigger dataset the analysis of </w:t>
      </w:r>
      <w:r w:rsidRPr="008051DC">
        <w:rPr>
          <w:rFonts w:ascii="Verdana" w:hAnsi="Verdana" w:cs="Tahoma"/>
          <w:sz w:val="24"/>
          <w:szCs w:val="24"/>
        </w:rPr>
        <w:lastRenderedPageBreak/>
        <w:t>Flammer (2020) on financial markets’ response to the issuance of corporate green bonds.</w:t>
      </w:r>
    </w:p>
    <w:p w14:paraId="5C7D6DC2" w14:textId="4889EE30" w:rsidR="00490541" w:rsidRPr="008051DC" w:rsidRDefault="00490541" w:rsidP="00790A5F">
      <w:pPr>
        <w:spacing w:after="0" w:line="480" w:lineRule="auto"/>
        <w:rPr>
          <w:rFonts w:ascii="Verdana" w:hAnsi="Verdana" w:cs="Tahoma"/>
          <w:sz w:val="24"/>
          <w:szCs w:val="24"/>
        </w:rPr>
      </w:pPr>
      <w:r w:rsidRPr="008051DC">
        <w:rPr>
          <w:rFonts w:ascii="Verdana" w:hAnsi="Verdana" w:cs="Tahoma"/>
          <w:sz w:val="24"/>
          <w:szCs w:val="24"/>
        </w:rPr>
        <w:t>Like Flammer, I find a positive response for the issuance of green bonds in the period from 5 days prior to the first announcement until 10 days following it. However, when analysing first-time issuers separately from seasoned-time issuers, Flammer finds no significant response for the latter ones, while I find a bigger response for them. Moreover, for first-time issuers, I find a significant impact on a different time window from 20 to 11 days prior to the announcement and not in the same one of first-time issuers.</w:t>
      </w:r>
    </w:p>
    <w:p w14:paraId="73E5A27E" w14:textId="051E92B8" w:rsidR="00490541" w:rsidRPr="008051DC" w:rsidRDefault="00490541" w:rsidP="00790A5F">
      <w:pPr>
        <w:spacing w:line="480" w:lineRule="auto"/>
        <w:rPr>
          <w:rFonts w:ascii="Verdana" w:hAnsi="Verdana" w:cs="Tahoma"/>
          <w:sz w:val="24"/>
          <w:szCs w:val="24"/>
        </w:rPr>
      </w:pPr>
      <w:r w:rsidRPr="008051DC">
        <w:rPr>
          <w:rFonts w:ascii="Verdana" w:hAnsi="Verdana" w:cs="Tahoma"/>
          <w:sz w:val="24"/>
          <w:szCs w:val="24"/>
        </w:rPr>
        <w:t>This analysis brings a contribution to the green bond market literature, showing that more data and more studies are required before reaching clear conclusions.</w:t>
      </w:r>
    </w:p>
    <w:p w14:paraId="1E0461C7" w14:textId="77777777" w:rsidR="005E7A49" w:rsidRPr="008051DC" w:rsidRDefault="005E7A49" w:rsidP="00790A5F">
      <w:pPr>
        <w:pStyle w:val="Heading1"/>
        <w:spacing w:line="480" w:lineRule="auto"/>
        <w:rPr>
          <w:rFonts w:ascii="Verdana" w:hAnsi="Verdana"/>
        </w:rPr>
      </w:pPr>
      <w:r w:rsidRPr="008051DC">
        <w:rPr>
          <w:rFonts w:ascii="Verdana" w:hAnsi="Verdana"/>
        </w:rPr>
        <w:t>The dataset</w:t>
      </w:r>
    </w:p>
    <w:p w14:paraId="414182B0" w14:textId="558EE923" w:rsidR="00A106BD" w:rsidRPr="008051DC" w:rsidRDefault="009F1190" w:rsidP="00790A5F">
      <w:pPr>
        <w:spacing w:line="480" w:lineRule="auto"/>
        <w:rPr>
          <w:rFonts w:ascii="Verdana" w:hAnsi="Verdana" w:cs="Tahoma"/>
          <w:sz w:val="24"/>
          <w:szCs w:val="24"/>
        </w:rPr>
      </w:pPr>
      <w:r w:rsidRPr="008051DC">
        <w:rPr>
          <w:rFonts w:ascii="Verdana" w:hAnsi="Verdana" w:cs="Tahoma"/>
          <w:sz w:val="24"/>
          <w:szCs w:val="24"/>
        </w:rPr>
        <w:t xml:space="preserve">While Flammer (2020) uses Bloomberg as data source, </w:t>
      </w:r>
      <w:r w:rsidR="005E7A49" w:rsidRPr="008051DC">
        <w:rPr>
          <w:rFonts w:ascii="Verdana" w:hAnsi="Verdana" w:cs="Tahoma"/>
          <w:sz w:val="24"/>
          <w:szCs w:val="24"/>
        </w:rPr>
        <w:t xml:space="preserve">I </w:t>
      </w:r>
      <w:r w:rsidR="00AC4E23" w:rsidRPr="008051DC">
        <w:rPr>
          <w:rFonts w:ascii="Verdana" w:hAnsi="Verdana" w:cs="Tahoma"/>
          <w:sz w:val="24"/>
          <w:szCs w:val="24"/>
        </w:rPr>
        <w:t>download</w:t>
      </w:r>
      <w:r w:rsidR="005E7A49" w:rsidRPr="008051DC">
        <w:rPr>
          <w:rFonts w:ascii="Verdana" w:hAnsi="Verdana" w:cs="Tahoma"/>
          <w:sz w:val="24"/>
          <w:szCs w:val="24"/>
        </w:rPr>
        <w:t xml:space="preserve"> the entirety of </w:t>
      </w:r>
      <w:r w:rsidR="0024571F" w:rsidRPr="008051DC">
        <w:rPr>
          <w:rFonts w:ascii="Verdana" w:hAnsi="Verdana" w:cs="Tahoma"/>
          <w:sz w:val="24"/>
          <w:szCs w:val="24"/>
        </w:rPr>
        <w:t xml:space="preserve">corporate </w:t>
      </w:r>
      <w:r w:rsidR="005E7A49" w:rsidRPr="008051DC">
        <w:rPr>
          <w:rFonts w:ascii="Verdana" w:hAnsi="Verdana" w:cs="Tahoma"/>
          <w:sz w:val="24"/>
          <w:szCs w:val="24"/>
        </w:rPr>
        <w:t xml:space="preserve">green bonds available on Refinitiv’s database </w:t>
      </w:r>
      <w:r w:rsidR="005B785E" w:rsidRPr="008051DC">
        <w:rPr>
          <w:rFonts w:ascii="Verdana" w:hAnsi="Verdana" w:cs="Tahoma"/>
          <w:sz w:val="24"/>
          <w:szCs w:val="24"/>
        </w:rPr>
        <w:t>f</w:t>
      </w:r>
      <w:r w:rsidR="005E7A49" w:rsidRPr="008051DC">
        <w:rPr>
          <w:rFonts w:ascii="Verdana" w:hAnsi="Verdana" w:cs="Tahoma"/>
          <w:sz w:val="24"/>
          <w:szCs w:val="24"/>
        </w:rPr>
        <w:t xml:space="preserve">rom 2013 to 2019, in order to have the biggest possible data set from the beginning of the issuance of green bonds </w:t>
      </w:r>
      <w:r w:rsidR="00AC4E23" w:rsidRPr="008051DC">
        <w:rPr>
          <w:rFonts w:ascii="Verdana" w:hAnsi="Verdana" w:cs="Tahoma"/>
          <w:sz w:val="24"/>
          <w:szCs w:val="24"/>
        </w:rPr>
        <w:t>by non</w:t>
      </w:r>
      <w:r w:rsidR="005B785E" w:rsidRPr="008051DC">
        <w:rPr>
          <w:rFonts w:ascii="Verdana" w:hAnsi="Verdana" w:cs="Tahoma"/>
          <w:sz w:val="24"/>
          <w:szCs w:val="24"/>
        </w:rPr>
        <w:t>-</w:t>
      </w:r>
      <w:r w:rsidR="00AC4E23" w:rsidRPr="008051DC">
        <w:rPr>
          <w:rFonts w:ascii="Verdana" w:hAnsi="Verdana" w:cs="Tahoma"/>
          <w:sz w:val="24"/>
          <w:szCs w:val="24"/>
        </w:rPr>
        <w:t>statal corporations</w:t>
      </w:r>
      <w:r w:rsidR="005E7A49" w:rsidRPr="008051DC">
        <w:rPr>
          <w:rFonts w:ascii="Verdana" w:hAnsi="Verdana" w:cs="Tahoma"/>
          <w:sz w:val="24"/>
          <w:szCs w:val="24"/>
        </w:rPr>
        <w:t xml:space="preserve"> until the last complete financial year</w:t>
      </w:r>
      <w:r w:rsidR="00AC4E23" w:rsidRPr="008051DC">
        <w:rPr>
          <w:rFonts w:ascii="Verdana" w:hAnsi="Verdana" w:cs="Tahoma"/>
          <w:sz w:val="24"/>
          <w:szCs w:val="24"/>
        </w:rPr>
        <w:t xml:space="preserve">. I </w:t>
      </w:r>
      <w:r w:rsidR="008051DC" w:rsidRPr="008051DC">
        <w:rPr>
          <w:rFonts w:ascii="Verdana" w:hAnsi="Verdana" w:cs="Tahoma"/>
          <w:sz w:val="24"/>
          <w:szCs w:val="24"/>
        </w:rPr>
        <w:t>do not consider</w:t>
      </w:r>
      <w:r w:rsidR="0024571F" w:rsidRPr="008051DC">
        <w:rPr>
          <w:rFonts w:ascii="Verdana" w:hAnsi="Verdana" w:cs="Tahoma"/>
          <w:sz w:val="24"/>
          <w:szCs w:val="24"/>
        </w:rPr>
        <w:t xml:space="preserve"> bonds issued in</w:t>
      </w:r>
      <w:r w:rsidR="00AC4E23" w:rsidRPr="008051DC">
        <w:rPr>
          <w:rFonts w:ascii="Verdana" w:hAnsi="Verdana" w:cs="Tahoma"/>
          <w:sz w:val="24"/>
          <w:szCs w:val="24"/>
        </w:rPr>
        <w:t xml:space="preserve"> 2020</w:t>
      </w:r>
      <w:r w:rsidR="008051DC" w:rsidRPr="008051DC">
        <w:rPr>
          <w:rFonts w:ascii="Verdana" w:hAnsi="Verdana" w:cs="Tahoma"/>
          <w:sz w:val="24"/>
          <w:szCs w:val="24"/>
        </w:rPr>
        <w:t xml:space="preserve"> also</w:t>
      </w:r>
      <w:r w:rsidR="00AC4E23" w:rsidRPr="008051DC">
        <w:rPr>
          <w:rFonts w:ascii="Verdana" w:hAnsi="Verdana" w:cs="Tahoma"/>
          <w:sz w:val="24"/>
          <w:szCs w:val="24"/>
        </w:rPr>
        <w:t xml:space="preserve"> in order to avoid</w:t>
      </w:r>
      <w:r w:rsidR="005B785E" w:rsidRPr="008051DC">
        <w:rPr>
          <w:rFonts w:ascii="Verdana" w:hAnsi="Verdana" w:cs="Tahoma"/>
          <w:sz w:val="24"/>
          <w:szCs w:val="24"/>
        </w:rPr>
        <w:t xml:space="preserve"> polluting the results due to the impact</w:t>
      </w:r>
      <w:r w:rsidRPr="008051DC">
        <w:rPr>
          <w:rFonts w:ascii="Verdana" w:hAnsi="Verdana" w:cs="Tahoma"/>
          <w:sz w:val="24"/>
          <w:szCs w:val="24"/>
        </w:rPr>
        <w:t>s</w:t>
      </w:r>
      <w:r w:rsidR="005B785E" w:rsidRPr="008051DC">
        <w:rPr>
          <w:rFonts w:ascii="Verdana" w:hAnsi="Verdana" w:cs="Tahoma"/>
          <w:sz w:val="24"/>
          <w:szCs w:val="24"/>
        </w:rPr>
        <w:t xml:space="preserve"> of the COVID-19 pandemic on financial markets.</w:t>
      </w:r>
      <w:r w:rsidRPr="008051DC">
        <w:rPr>
          <w:rFonts w:ascii="Verdana" w:hAnsi="Verdana" w:cs="Tahoma"/>
          <w:sz w:val="24"/>
          <w:szCs w:val="24"/>
        </w:rPr>
        <w:t xml:space="preserve"> </w:t>
      </w:r>
      <w:r w:rsidR="0024571F" w:rsidRPr="008051DC">
        <w:rPr>
          <w:rFonts w:ascii="Verdana" w:hAnsi="Verdana" w:cs="Tahoma"/>
          <w:sz w:val="24"/>
          <w:szCs w:val="24"/>
        </w:rPr>
        <w:t xml:space="preserve">I then exclude bonds with 'Issuer Type' labelled as 'Non-US </w:t>
      </w:r>
      <w:proofErr w:type="spellStart"/>
      <w:r w:rsidR="0024571F" w:rsidRPr="008051DC">
        <w:rPr>
          <w:rFonts w:ascii="Verdana" w:hAnsi="Verdana" w:cs="Tahoma"/>
          <w:sz w:val="24"/>
          <w:szCs w:val="24"/>
        </w:rPr>
        <w:t>Munis'</w:t>
      </w:r>
      <w:proofErr w:type="spellEnd"/>
      <w:r w:rsidR="0024571F" w:rsidRPr="008051DC">
        <w:rPr>
          <w:rFonts w:ascii="Verdana" w:hAnsi="Verdana" w:cs="Tahoma"/>
          <w:sz w:val="24"/>
          <w:szCs w:val="24"/>
        </w:rPr>
        <w:t xml:space="preserve"> because they are formed by </w:t>
      </w:r>
      <w:r w:rsidR="0024571F" w:rsidRPr="008051DC">
        <w:rPr>
          <w:rFonts w:ascii="Verdana" w:hAnsi="Verdana" w:cs="Tahoma"/>
          <w:sz w:val="24"/>
          <w:szCs w:val="24"/>
        </w:rPr>
        <w:lastRenderedPageBreak/>
        <w:t>government entities like municipalities and regional governments, which are not corporations.</w:t>
      </w:r>
    </w:p>
    <w:p w14:paraId="2927C0AC" w14:textId="111FD78D" w:rsidR="005E7A49" w:rsidRPr="008051DC" w:rsidRDefault="009F1190" w:rsidP="00790A5F">
      <w:pPr>
        <w:spacing w:line="480" w:lineRule="auto"/>
        <w:rPr>
          <w:rFonts w:ascii="Verdana" w:hAnsi="Verdana" w:cs="Tahoma"/>
          <w:sz w:val="24"/>
          <w:szCs w:val="24"/>
        </w:rPr>
      </w:pPr>
      <w:r w:rsidRPr="008051DC">
        <w:rPr>
          <w:rFonts w:ascii="Verdana" w:hAnsi="Verdana" w:cs="Tahoma"/>
          <w:sz w:val="24"/>
          <w:szCs w:val="24"/>
        </w:rPr>
        <w:t>While Flammer (2020) declares that her dataset likely maps</w:t>
      </w:r>
      <w:r w:rsidR="00AD2A90" w:rsidRPr="008051DC">
        <w:rPr>
          <w:rFonts w:ascii="Verdana" w:hAnsi="Verdana" w:cs="Tahoma"/>
          <w:sz w:val="24"/>
          <w:szCs w:val="24"/>
        </w:rPr>
        <w:t xml:space="preserve"> closely the market for corporate green bonds, following </w:t>
      </w:r>
      <w:r w:rsidR="0093285D" w:rsidRPr="008051DC">
        <w:rPr>
          <w:rFonts w:ascii="Verdana" w:hAnsi="Verdana" w:cs="Tahoma"/>
          <w:sz w:val="24"/>
          <w:szCs w:val="24"/>
        </w:rPr>
        <w:t xml:space="preserve">the analysis by </w:t>
      </w:r>
      <w:r w:rsidR="00AD2A90" w:rsidRPr="008051DC">
        <w:rPr>
          <w:rFonts w:ascii="Verdana" w:hAnsi="Verdana" w:cs="Tahoma"/>
          <w:sz w:val="24"/>
          <w:szCs w:val="24"/>
        </w:rPr>
        <w:t>Ehlers and Packer (2017)</w:t>
      </w:r>
      <w:r w:rsidR="0093285D" w:rsidRPr="008051DC">
        <w:rPr>
          <w:rFonts w:ascii="Verdana" w:hAnsi="Verdana" w:cs="Tahoma"/>
          <w:sz w:val="24"/>
          <w:szCs w:val="24"/>
        </w:rPr>
        <w:t xml:space="preserve"> on the differences between </w:t>
      </w:r>
      <w:r w:rsidR="00A106BD" w:rsidRPr="008051DC">
        <w:rPr>
          <w:rFonts w:ascii="Verdana" w:hAnsi="Verdana" w:cs="Tahoma"/>
          <w:sz w:val="24"/>
          <w:szCs w:val="24"/>
        </w:rPr>
        <w:t xml:space="preserve">The Climate Bond Initiative and Bloomberg’s datasets for green bonds, I </w:t>
      </w:r>
      <w:r w:rsidR="008503C3" w:rsidRPr="008051DC">
        <w:rPr>
          <w:rFonts w:ascii="Verdana" w:hAnsi="Verdana" w:cs="Tahoma"/>
          <w:sz w:val="24"/>
          <w:szCs w:val="24"/>
        </w:rPr>
        <w:t>expect</w:t>
      </w:r>
      <w:r w:rsidR="00A106BD" w:rsidRPr="008051DC">
        <w:rPr>
          <w:rFonts w:ascii="Verdana" w:hAnsi="Verdana" w:cs="Tahoma"/>
          <w:sz w:val="24"/>
          <w:szCs w:val="24"/>
        </w:rPr>
        <w:t xml:space="preserve"> there is no comprehensive dataset on green bonds. In particular, </w:t>
      </w:r>
      <w:bookmarkStart w:id="3" w:name="_Hlk55132164"/>
      <w:r w:rsidR="00A106BD" w:rsidRPr="008051DC">
        <w:rPr>
          <w:rFonts w:ascii="Verdana" w:hAnsi="Verdana" w:cs="Tahoma"/>
          <w:sz w:val="24"/>
          <w:szCs w:val="24"/>
        </w:rPr>
        <w:t xml:space="preserve">Ehlers and Packer (2017) </w:t>
      </w:r>
      <w:bookmarkEnd w:id="3"/>
      <w:r w:rsidR="00A106BD" w:rsidRPr="008051DC">
        <w:rPr>
          <w:rFonts w:ascii="Verdana" w:hAnsi="Verdana" w:cs="Tahoma"/>
          <w:sz w:val="24"/>
          <w:szCs w:val="24"/>
        </w:rPr>
        <w:t xml:space="preserve">find that only 624 bonds raising USD 169 billion are on both the CBI and Bloomberg’s databases. While the CBI </w:t>
      </w:r>
      <w:r w:rsidR="008503C3" w:rsidRPr="008051DC">
        <w:rPr>
          <w:rFonts w:ascii="Verdana" w:hAnsi="Verdana" w:cs="Tahoma"/>
          <w:sz w:val="24"/>
          <w:szCs w:val="24"/>
        </w:rPr>
        <w:t>contains 1,092 bonds for USD 234 billion, Bloomberg lists 779 bonds worth USD 216 billion for the examined period</w:t>
      </w:r>
      <w:r w:rsidR="008503C3" w:rsidRPr="008051DC">
        <w:rPr>
          <w:rFonts w:ascii="Verdana" w:hAnsi="Verdana" w:cs="Tahoma"/>
          <w:sz w:val="24"/>
          <w:szCs w:val="24"/>
        </w:rPr>
        <w:footnoteReference w:id="7"/>
      </w:r>
      <w:r w:rsidR="008503C3" w:rsidRPr="008051DC">
        <w:rPr>
          <w:rFonts w:ascii="Verdana" w:hAnsi="Verdana" w:cs="Tahoma"/>
          <w:sz w:val="24"/>
          <w:szCs w:val="24"/>
        </w:rPr>
        <w:t>.</w:t>
      </w:r>
    </w:p>
    <w:p w14:paraId="35673D4E" w14:textId="489CA8A6" w:rsidR="00AD2A90" w:rsidRPr="008051DC" w:rsidRDefault="008503C3" w:rsidP="00790A5F">
      <w:pPr>
        <w:spacing w:line="480" w:lineRule="auto"/>
        <w:rPr>
          <w:rFonts w:ascii="Verdana" w:hAnsi="Verdana" w:cs="Tahoma"/>
          <w:sz w:val="24"/>
          <w:szCs w:val="24"/>
        </w:rPr>
      </w:pPr>
      <w:r w:rsidRPr="008051DC">
        <w:rPr>
          <w:rFonts w:ascii="Verdana" w:hAnsi="Verdana" w:cs="Tahoma"/>
          <w:sz w:val="24"/>
          <w:szCs w:val="24"/>
        </w:rPr>
        <w:t xml:space="preserve">I therefore expect Refinitiv not to contain the entirety of </w:t>
      </w:r>
      <w:r w:rsidR="0024571F" w:rsidRPr="008051DC">
        <w:rPr>
          <w:rFonts w:ascii="Verdana" w:hAnsi="Verdana" w:cs="Tahoma"/>
          <w:sz w:val="24"/>
          <w:szCs w:val="24"/>
        </w:rPr>
        <w:t xml:space="preserve">corporate </w:t>
      </w:r>
      <w:r w:rsidRPr="008051DC">
        <w:rPr>
          <w:rFonts w:ascii="Verdana" w:hAnsi="Verdana" w:cs="Tahoma"/>
          <w:sz w:val="24"/>
          <w:szCs w:val="24"/>
        </w:rPr>
        <w:t xml:space="preserve">green bonds, but to </w:t>
      </w:r>
      <w:r w:rsidR="000E32F3">
        <w:rPr>
          <w:rFonts w:ascii="Verdana" w:hAnsi="Verdana" w:cs="Tahoma"/>
          <w:sz w:val="24"/>
          <w:szCs w:val="24"/>
        </w:rPr>
        <w:t xml:space="preserve">rather </w:t>
      </w:r>
      <w:r w:rsidRPr="008051DC">
        <w:rPr>
          <w:rFonts w:ascii="Verdana" w:hAnsi="Verdana" w:cs="Tahoma"/>
          <w:sz w:val="24"/>
          <w:szCs w:val="24"/>
        </w:rPr>
        <w:t>be a representative sample for those emitted by corporations.</w:t>
      </w:r>
    </w:p>
    <w:p w14:paraId="0C84953D" w14:textId="77777777" w:rsidR="008523DB" w:rsidRPr="008051DC" w:rsidRDefault="008523DB" w:rsidP="00790A5F">
      <w:pPr>
        <w:spacing w:line="480" w:lineRule="auto"/>
        <w:rPr>
          <w:rFonts w:ascii="Verdana" w:hAnsi="Verdana" w:cs="Tahoma"/>
          <w:sz w:val="24"/>
          <w:szCs w:val="24"/>
        </w:rPr>
      </w:pPr>
      <w:r w:rsidRPr="008051DC">
        <w:rPr>
          <w:rFonts w:ascii="Verdana" w:hAnsi="Verdana" w:cs="Tahoma"/>
          <w:sz w:val="24"/>
          <w:szCs w:val="24"/>
        </w:rPr>
        <w:br w:type="page"/>
      </w:r>
    </w:p>
    <w:p w14:paraId="3C75C1CE" w14:textId="25C238B7" w:rsidR="0024571F" w:rsidRPr="008051DC" w:rsidRDefault="008503C3" w:rsidP="00790A5F">
      <w:pPr>
        <w:spacing w:line="480" w:lineRule="auto"/>
        <w:rPr>
          <w:rFonts w:ascii="Verdana" w:hAnsi="Verdana" w:cs="Tahoma"/>
          <w:sz w:val="24"/>
          <w:szCs w:val="24"/>
        </w:rPr>
      </w:pPr>
      <w:r w:rsidRPr="008051DC">
        <w:rPr>
          <w:rFonts w:ascii="Verdana" w:hAnsi="Verdana" w:cs="Tahoma"/>
          <w:sz w:val="24"/>
          <w:szCs w:val="24"/>
        </w:rPr>
        <w:lastRenderedPageBreak/>
        <w:t>Table 1 reports the increase in market size for green bonds according to Refinitiv’s database in the examined period. Like Flammer (2020), I find an explosive</w:t>
      </w:r>
      <w:r w:rsidR="008523DB" w:rsidRPr="008051DC">
        <w:rPr>
          <w:rFonts w:ascii="Verdana" w:hAnsi="Verdana" w:cs="Tahoma"/>
          <w:sz w:val="24"/>
          <w:szCs w:val="24"/>
        </w:rPr>
        <w:t xml:space="preserve"> growth from 2013 to 2019. From the mere 20 bonds of 2013, Refinitiv lists 630 green bonds in 2019, totalling USD 195 billion. The market is expected to raise other USD 250 billion in 2020</w:t>
      </w:r>
      <w:r w:rsidR="008523DB" w:rsidRPr="008051DC">
        <w:rPr>
          <w:rFonts w:ascii="Verdana" w:hAnsi="Verdana" w:cs="Tahoma"/>
          <w:sz w:val="24"/>
          <w:szCs w:val="24"/>
        </w:rPr>
        <w:footnoteReference w:id="8"/>
      </w:r>
      <w:r w:rsidR="0024571F" w:rsidRPr="008051DC">
        <w:rPr>
          <w:rFonts w:ascii="Verdana" w:hAnsi="Verdana" w:cs="Tahoma"/>
          <w:sz w:val="24"/>
          <w:szCs w:val="24"/>
        </w:rPr>
        <w:t>.</w:t>
      </w:r>
    </w:p>
    <w:p w14:paraId="27067ACE" w14:textId="77777777" w:rsidR="00E62FB9" w:rsidRPr="008051DC" w:rsidRDefault="00E62FB9" w:rsidP="00790A5F">
      <w:pPr>
        <w:spacing w:line="480" w:lineRule="auto"/>
        <w:rPr>
          <w:rFonts w:ascii="Verdana" w:hAnsi="Verdana"/>
        </w:rPr>
      </w:pPr>
    </w:p>
    <w:p w14:paraId="7EFFFF69" w14:textId="328EA7A5" w:rsidR="008503C3" w:rsidRPr="008051DC" w:rsidRDefault="0024571F" w:rsidP="00790A5F">
      <w:pPr>
        <w:spacing w:line="480" w:lineRule="auto"/>
        <w:rPr>
          <w:rFonts w:ascii="Verdana" w:hAnsi="Verdana"/>
        </w:rPr>
      </w:pPr>
      <w:r w:rsidRPr="008051DC">
        <w:rPr>
          <w:rFonts w:ascii="Verdana" w:hAnsi="Verdana"/>
          <w:b/>
          <w:bCs/>
        </w:rPr>
        <w:t>Table 1</w:t>
      </w:r>
      <w:r w:rsidR="00E62FB9" w:rsidRPr="008051DC">
        <w:rPr>
          <w:rFonts w:ascii="Verdana" w:hAnsi="Verdana"/>
          <w:b/>
          <w:bCs/>
        </w:rPr>
        <w:t>. Corporate Green Bonds Over Time</w:t>
      </w:r>
      <w:r w:rsidR="00E62FB9" w:rsidRPr="008051DC">
        <w:rPr>
          <w:rFonts w:ascii="Verdana" w:hAnsi="Verdana"/>
        </w:rPr>
        <w:t>.</w:t>
      </w:r>
      <w:r w:rsidR="008503C3" w:rsidRPr="008051DC">
        <w:rPr>
          <w:rFonts w:ascii="Verdana" w:hAnsi="Verdana"/>
        </w:rPr>
        <w:fldChar w:fldCharType="begin"/>
      </w:r>
      <w:r w:rsidR="008503C3" w:rsidRPr="008051DC">
        <w:rPr>
          <w:rFonts w:ascii="Verdana" w:hAnsi="Verdana"/>
        </w:rPr>
        <w:instrText xml:space="preserve"> LINK Excel.Sheet.12 "C:\\Users\\Lorenzo\\Desktop\\MyStuff\\Thesis\\Dist\\Results\\Table1.xlsx" "MyTable1!R1C1:R8C3" \a \f 5 \h  \* MERGEFORMAT </w:instrText>
      </w:r>
      <w:r w:rsidR="008503C3" w:rsidRPr="008051DC">
        <w:rPr>
          <w:rFonts w:ascii="Verdana" w:hAnsi="Verdana"/>
        </w:rPr>
        <w:fldChar w:fldCharType="separate"/>
      </w:r>
    </w:p>
    <w:tbl>
      <w:tblPr>
        <w:tblStyle w:val="TableGrid"/>
        <w:tblW w:w="4945" w:type="dxa"/>
        <w:jc w:val="center"/>
        <w:tblLook w:val="04A0" w:firstRow="1" w:lastRow="0" w:firstColumn="1" w:lastColumn="0" w:noHBand="0" w:noVBand="1"/>
      </w:tblPr>
      <w:tblGrid>
        <w:gridCol w:w="842"/>
        <w:gridCol w:w="1403"/>
        <w:gridCol w:w="2700"/>
      </w:tblGrid>
      <w:tr w:rsidR="008503C3" w:rsidRPr="008051DC" w14:paraId="1AE9FBC7" w14:textId="77777777" w:rsidTr="008503C3">
        <w:trPr>
          <w:trHeight w:val="300"/>
          <w:jc w:val="center"/>
        </w:trPr>
        <w:tc>
          <w:tcPr>
            <w:tcW w:w="842" w:type="dxa"/>
            <w:noWrap/>
            <w:hideMark/>
          </w:tcPr>
          <w:p w14:paraId="72FAD7E3" w14:textId="2D9D1A20" w:rsidR="008503C3" w:rsidRPr="008051DC" w:rsidRDefault="008503C3" w:rsidP="00790A5F">
            <w:pPr>
              <w:spacing w:line="480" w:lineRule="auto"/>
              <w:rPr>
                <w:rFonts w:ascii="Verdana" w:hAnsi="Verdana"/>
                <w:b/>
                <w:bCs/>
              </w:rPr>
            </w:pPr>
            <w:r w:rsidRPr="008051DC">
              <w:rPr>
                <w:rFonts w:ascii="Verdana" w:hAnsi="Verdana"/>
                <w:b/>
                <w:bCs/>
              </w:rPr>
              <w:t>Year</w:t>
            </w:r>
          </w:p>
        </w:tc>
        <w:tc>
          <w:tcPr>
            <w:tcW w:w="1403" w:type="dxa"/>
            <w:noWrap/>
            <w:hideMark/>
          </w:tcPr>
          <w:p w14:paraId="1C3919C0" w14:textId="77777777" w:rsidR="008503C3" w:rsidRPr="008051DC" w:rsidRDefault="008503C3" w:rsidP="00790A5F">
            <w:pPr>
              <w:spacing w:line="480" w:lineRule="auto"/>
              <w:rPr>
                <w:rFonts w:ascii="Verdana" w:hAnsi="Verdana"/>
                <w:b/>
                <w:bCs/>
              </w:rPr>
            </w:pPr>
            <w:r w:rsidRPr="008051DC">
              <w:rPr>
                <w:rFonts w:ascii="Verdana" w:hAnsi="Verdana"/>
                <w:b/>
                <w:bCs/>
              </w:rPr>
              <w:t># Bonds</w:t>
            </w:r>
          </w:p>
        </w:tc>
        <w:tc>
          <w:tcPr>
            <w:tcW w:w="2700" w:type="dxa"/>
            <w:noWrap/>
            <w:hideMark/>
          </w:tcPr>
          <w:p w14:paraId="559D9F02" w14:textId="77777777" w:rsidR="008503C3" w:rsidRPr="008051DC" w:rsidRDefault="008503C3" w:rsidP="00790A5F">
            <w:pPr>
              <w:spacing w:line="480" w:lineRule="auto"/>
              <w:rPr>
                <w:rFonts w:ascii="Verdana" w:hAnsi="Verdana"/>
                <w:b/>
                <w:bCs/>
              </w:rPr>
            </w:pPr>
            <w:r w:rsidRPr="008051DC">
              <w:rPr>
                <w:rFonts w:ascii="Verdana" w:hAnsi="Verdana"/>
                <w:b/>
                <w:bCs/>
              </w:rPr>
              <w:t>$ Amount (billion)</w:t>
            </w:r>
          </w:p>
        </w:tc>
      </w:tr>
      <w:tr w:rsidR="008503C3" w:rsidRPr="008051DC" w14:paraId="1391C3D2" w14:textId="77777777" w:rsidTr="008503C3">
        <w:trPr>
          <w:trHeight w:val="300"/>
          <w:jc w:val="center"/>
        </w:trPr>
        <w:tc>
          <w:tcPr>
            <w:tcW w:w="842" w:type="dxa"/>
            <w:noWrap/>
            <w:hideMark/>
          </w:tcPr>
          <w:p w14:paraId="1D6CB1ED" w14:textId="77777777" w:rsidR="008503C3" w:rsidRPr="008051DC" w:rsidRDefault="008503C3" w:rsidP="00790A5F">
            <w:pPr>
              <w:spacing w:line="480" w:lineRule="auto"/>
              <w:rPr>
                <w:rFonts w:ascii="Verdana" w:hAnsi="Verdana"/>
                <w:b/>
                <w:bCs/>
              </w:rPr>
            </w:pPr>
            <w:r w:rsidRPr="008051DC">
              <w:rPr>
                <w:rFonts w:ascii="Verdana" w:hAnsi="Verdana"/>
                <w:b/>
                <w:bCs/>
              </w:rPr>
              <w:t>2013</w:t>
            </w:r>
          </w:p>
        </w:tc>
        <w:tc>
          <w:tcPr>
            <w:tcW w:w="1403" w:type="dxa"/>
            <w:noWrap/>
            <w:hideMark/>
          </w:tcPr>
          <w:p w14:paraId="6DF28026" w14:textId="77777777" w:rsidR="008503C3" w:rsidRPr="008051DC" w:rsidRDefault="008503C3" w:rsidP="00790A5F">
            <w:pPr>
              <w:spacing w:line="480" w:lineRule="auto"/>
              <w:rPr>
                <w:rFonts w:ascii="Verdana" w:hAnsi="Verdana"/>
              </w:rPr>
            </w:pPr>
            <w:r w:rsidRPr="008051DC">
              <w:rPr>
                <w:rFonts w:ascii="Verdana" w:hAnsi="Verdana"/>
              </w:rPr>
              <w:t>20</w:t>
            </w:r>
          </w:p>
        </w:tc>
        <w:tc>
          <w:tcPr>
            <w:tcW w:w="2700" w:type="dxa"/>
            <w:noWrap/>
            <w:hideMark/>
          </w:tcPr>
          <w:p w14:paraId="0B2B34B5" w14:textId="77777777" w:rsidR="008503C3" w:rsidRPr="008051DC" w:rsidRDefault="008503C3" w:rsidP="00790A5F">
            <w:pPr>
              <w:spacing w:line="480" w:lineRule="auto"/>
              <w:rPr>
                <w:rFonts w:ascii="Verdana" w:hAnsi="Verdana"/>
              </w:rPr>
            </w:pPr>
            <w:r w:rsidRPr="008051DC">
              <w:rPr>
                <w:rFonts w:ascii="Verdana" w:hAnsi="Verdana"/>
              </w:rPr>
              <w:t>4.45</w:t>
            </w:r>
          </w:p>
        </w:tc>
      </w:tr>
      <w:tr w:rsidR="008503C3" w:rsidRPr="008051DC" w14:paraId="2170F8DD" w14:textId="77777777" w:rsidTr="008503C3">
        <w:trPr>
          <w:trHeight w:val="300"/>
          <w:jc w:val="center"/>
        </w:trPr>
        <w:tc>
          <w:tcPr>
            <w:tcW w:w="842" w:type="dxa"/>
            <w:noWrap/>
            <w:hideMark/>
          </w:tcPr>
          <w:p w14:paraId="5A120E61" w14:textId="77777777" w:rsidR="008503C3" w:rsidRPr="008051DC" w:rsidRDefault="008503C3" w:rsidP="00790A5F">
            <w:pPr>
              <w:spacing w:line="480" w:lineRule="auto"/>
              <w:rPr>
                <w:rFonts w:ascii="Verdana" w:hAnsi="Verdana"/>
                <w:b/>
                <w:bCs/>
              </w:rPr>
            </w:pPr>
            <w:r w:rsidRPr="008051DC">
              <w:rPr>
                <w:rFonts w:ascii="Verdana" w:hAnsi="Verdana"/>
                <w:b/>
                <w:bCs/>
              </w:rPr>
              <w:t>2014</w:t>
            </w:r>
          </w:p>
        </w:tc>
        <w:tc>
          <w:tcPr>
            <w:tcW w:w="1403" w:type="dxa"/>
            <w:noWrap/>
            <w:hideMark/>
          </w:tcPr>
          <w:p w14:paraId="01BE76D5" w14:textId="77777777" w:rsidR="008503C3" w:rsidRPr="008051DC" w:rsidRDefault="008503C3" w:rsidP="00790A5F">
            <w:pPr>
              <w:spacing w:line="480" w:lineRule="auto"/>
              <w:rPr>
                <w:rFonts w:ascii="Verdana" w:hAnsi="Verdana"/>
              </w:rPr>
            </w:pPr>
            <w:r w:rsidRPr="008051DC">
              <w:rPr>
                <w:rFonts w:ascii="Verdana" w:hAnsi="Verdana"/>
              </w:rPr>
              <w:t>85</w:t>
            </w:r>
          </w:p>
        </w:tc>
        <w:tc>
          <w:tcPr>
            <w:tcW w:w="2700" w:type="dxa"/>
            <w:noWrap/>
            <w:hideMark/>
          </w:tcPr>
          <w:p w14:paraId="02E189D2" w14:textId="77777777" w:rsidR="008503C3" w:rsidRPr="008051DC" w:rsidRDefault="008503C3" w:rsidP="00790A5F">
            <w:pPr>
              <w:spacing w:line="480" w:lineRule="auto"/>
              <w:rPr>
                <w:rFonts w:ascii="Verdana" w:hAnsi="Verdana"/>
              </w:rPr>
            </w:pPr>
            <w:r w:rsidRPr="008051DC">
              <w:rPr>
                <w:rFonts w:ascii="Verdana" w:hAnsi="Verdana"/>
              </w:rPr>
              <w:t>19.78</w:t>
            </w:r>
          </w:p>
        </w:tc>
      </w:tr>
      <w:tr w:rsidR="008503C3" w:rsidRPr="008051DC" w14:paraId="7C64CC05" w14:textId="77777777" w:rsidTr="008503C3">
        <w:trPr>
          <w:trHeight w:val="300"/>
          <w:jc w:val="center"/>
        </w:trPr>
        <w:tc>
          <w:tcPr>
            <w:tcW w:w="842" w:type="dxa"/>
            <w:noWrap/>
            <w:hideMark/>
          </w:tcPr>
          <w:p w14:paraId="0607E9E9" w14:textId="77777777" w:rsidR="008503C3" w:rsidRPr="008051DC" w:rsidRDefault="008503C3" w:rsidP="00790A5F">
            <w:pPr>
              <w:spacing w:line="480" w:lineRule="auto"/>
              <w:rPr>
                <w:rFonts w:ascii="Verdana" w:hAnsi="Verdana"/>
                <w:b/>
                <w:bCs/>
              </w:rPr>
            </w:pPr>
            <w:r w:rsidRPr="008051DC">
              <w:rPr>
                <w:rFonts w:ascii="Verdana" w:hAnsi="Verdana"/>
                <w:b/>
                <w:bCs/>
              </w:rPr>
              <w:t>2015</w:t>
            </w:r>
          </w:p>
        </w:tc>
        <w:tc>
          <w:tcPr>
            <w:tcW w:w="1403" w:type="dxa"/>
            <w:noWrap/>
            <w:hideMark/>
          </w:tcPr>
          <w:p w14:paraId="78A5413E" w14:textId="77777777" w:rsidR="008503C3" w:rsidRPr="008051DC" w:rsidRDefault="008503C3" w:rsidP="00790A5F">
            <w:pPr>
              <w:spacing w:line="480" w:lineRule="auto"/>
              <w:rPr>
                <w:rFonts w:ascii="Verdana" w:hAnsi="Verdana"/>
              </w:rPr>
            </w:pPr>
            <w:r w:rsidRPr="008051DC">
              <w:rPr>
                <w:rFonts w:ascii="Verdana" w:hAnsi="Verdana"/>
              </w:rPr>
              <w:t>225</w:t>
            </w:r>
          </w:p>
        </w:tc>
        <w:tc>
          <w:tcPr>
            <w:tcW w:w="2700" w:type="dxa"/>
            <w:noWrap/>
            <w:hideMark/>
          </w:tcPr>
          <w:p w14:paraId="76C4F12A" w14:textId="77777777" w:rsidR="008503C3" w:rsidRPr="008051DC" w:rsidRDefault="008503C3" w:rsidP="00790A5F">
            <w:pPr>
              <w:spacing w:line="480" w:lineRule="auto"/>
              <w:rPr>
                <w:rFonts w:ascii="Verdana" w:hAnsi="Verdana"/>
              </w:rPr>
            </w:pPr>
            <w:r w:rsidRPr="008051DC">
              <w:rPr>
                <w:rFonts w:ascii="Verdana" w:hAnsi="Verdana"/>
              </w:rPr>
              <w:t>37.10</w:t>
            </w:r>
          </w:p>
        </w:tc>
      </w:tr>
      <w:tr w:rsidR="008503C3" w:rsidRPr="008051DC" w14:paraId="40C793E0" w14:textId="77777777" w:rsidTr="008503C3">
        <w:trPr>
          <w:trHeight w:val="300"/>
          <w:jc w:val="center"/>
        </w:trPr>
        <w:tc>
          <w:tcPr>
            <w:tcW w:w="842" w:type="dxa"/>
            <w:noWrap/>
            <w:hideMark/>
          </w:tcPr>
          <w:p w14:paraId="41F3CE15" w14:textId="77777777" w:rsidR="008503C3" w:rsidRPr="008051DC" w:rsidRDefault="008503C3" w:rsidP="00790A5F">
            <w:pPr>
              <w:spacing w:line="480" w:lineRule="auto"/>
              <w:rPr>
                <w:rFonts w:ascii="Verdana" w:hAnsi="Verdana"/>
                <w:b/>
                <w:bCs/>
              </w:rPr>
            </w:pPr>
            <w:r w:rsidRPr="008051DC">
              <w:rPr>
                <w:rFonts w:ascii="Verdana" w:hAnsi="Verdana"/>
                <w:b/>
                <w:bCs/>
              </w:rPr>
              <w:t>2016</w:t>
            </w:r>
          </w:p>
        </w:tc>
        <w:tc>
          <w:tcPr>
            <w:tcW w:w="1403" w:type="dxa"/>
            <w:noWrap/>
            <w:hideMark/>
          </w:tcPr>
          <w:p w14:paraId="4135D59E" w14:textId="77777777" w:rsidR="008503C3" w:rsidRPr="008051DC" w:rsidRDefault="008503C3" w:rsidP="00790A5F">
            <w:pPr>
              <w:spacing w:line="480" w:lineRule="auto"/>
              <w:rPr>
                <w:rFonts w:ascii="Verdana" w:hAnsi="Verdana"/>
              </w:rPr>
            </w:pPr>
            <w:r w:rsidRPr="008051DC">
              <w:rPr>
                <w:rFonts w:ascii="Verdana" w:hAnsi="Verdana"/>
              </w:rPr>
              <w:t>156</w:t>
            </w:r>
          </w:p>
        </w:tc>
        <w:tc>
          <w:tcPr>
            <w:tcW w:w="2700" w:type="dxa"/>
            <w:noWrap/>
            <w:hideMark/>
          </w:tcPr>
          <w:p w14:paraId="4950EE02" w14:textId="77777777" w:rsidR="008503C3" w:rsidRPr="008051DC" w:rsidRDefault="008503C3" w:rsidP="00790A5F">
            <w:pPr>
              <w:spacing w:line="480" w:lineRule="auto"/>
              <w:rPr>
                <w:rFonts w:ascii="Verdana" w:hAnsi="Verdana"/>
              </w:rPr>
            </w:pPr>
            <w:r w:rsidRPr="008051DC">
              <w:rPr>
                <w:rFonts w:ascii="Verdana" w:hAnsi="Verdana"/>
              </w:rPr>
              <w:t>59.48</w:t>
            </w:r>
          </w:p>
        </w:tc>
      </w:tr>
      <w:tr w:rsidR="008503C3" w:rsidRPr="008051DC" w14:paraId="4507E146" w14:textId="77777777" w:rsidTr="008503C3">
        <w:trPr>
          <w:trHeight w:val="300"/>
          <w:jc w:val="center"/>
        </w:trPr>
        <w:tc>
          <w:tcPr>
            <w:tcW w:w="842" w:type="dxa"/>
            <w:noWrap/>
            <w:hideMark/>
          </w:tcPr>
          <w:p w14:paraId="4380C759" w14:textId="77777777" w:rsidR="008503C3" w:rsidRPr="008051DC" w:rsidRDefault="008503C3" w:rsidP="00790A5F">
            <w:pPr>
              <w:spacing w:line="480" w:lineRule="auto"/>
              <w:rPr>
                <w:rFonts w:ascii="Verdana" w:hAnsi="Verdana"/>
                <w:b/>
                <w:bCs/>
              </w:rPr>
            </w:pPr>
            <w:r w:rsidRPr="008051DC">
              <w:rPr>
                <w:rFonts w:ascii="Verdana" w:hAnsi="Verdana"/>
                <w:b/>
                <w:bCs/>
              </w:rPr>
              <w:t>2017</w:t>
            </w:r>
          </w:p>
        </w:tc>
        <w:tc>
          <w:tcPr>
            <w:tcW w:w="1403" w:type="dxa"/>
            <w:noWrap/>
            <w:hideMark/>
          </w:tcPr>
          <w:p w14:paraId="3E6C8C68" w14:textId="77777777" w:rsidR="008503C3" w:rsidRPr="008051DC" w:rsidRDefault="008503C3" w:rsidP="00790A5F">
            <w:pPr>
              <w:spacing w:line="480" w:lineRule="auto"/>
              <w:rPr>
                <w:rFonts w:ascii="Verdana" w:hAnsi="Verdana"/>
              </w:rPr>
            </w:pPr>
            <w:r w:rsidRPr="008051DC">
              <w:rPr>
                <w:rFonts w:ascii="Verdana" w:hAnsi="Verdana"/>
              </w:rPr>
              <w:t>312</w:t>
            </w:r>
          </w:p>
        </w:tc>
        <w:tc>
          <w:tcPr>
            <w:tcW w:w="2700" w:type="dxa"/>
            <w:noWrap/>
            <w:hideMark/>
          </w:tcPr>
          <w:p w14:paraId="65533AE9" w14:textId="77777777" w:rsidR="008503C3" w:rsidRPr="008051DC" w:rsidRDefault="008503C3" w:rsidP="00790A5F">
            <w:pPr>
              <w:spacing w:line="480" w:lineRule="auto"/>
              <w:rPr>
                <w:rFonts w:ascii="Verdana" w:hAnsi="Verdana"/>
              </w:rPr>
            </w:pPr>
            <w:r w:rsidRPr="008051DC">
              <w:rPr>
                <w:rFonts w:ascii="Verdana" w:hAnsi="Verdana"/>
              </w:rPr>
              <w:t>86.89</w:t>
            </w:r>
          </w:p>
        </w:tc>
      </w:tr>
      <w:tr w:rsidR="008503C3" w:rsidRPr="008051DC" w14:paraId="0AFF7312" w14:textId="77777777" w:rsidTr="008503C3">
        <w:trPr>
          <w:trHeight w:val="300"/>
          <w:jc w:val="center"/>
        </w:trPr>
        <w:tc>
          <w:tcPr>
            <w:tcW w:w="842" w:type="dxa"/>
            <w:noWrap/>
            <w:hideMark/>
          </w:tcPr>
          <w:p w14:paraId="5A5A1218" w14:textId="77777777" w:rsidR="008503C3" w:rsidRPr="008051DC" w:rsidRDefault="008503C3" w:rsidP="00790A5F">
            <w:pPr>
              <w:spacing w:line="480" w:lineRule="auto"/>
              <w:rPr>
                <w:rFonts w:ascii="Verdana" w:hAnsi="Verdana"/>
                <w:b/>
                <w:bCs/>
              </w:rPr>
            </w:pPr>
            <w:r w:rsidRPr="008051DC">
              <w:rPr>
                <w:rFonts w:ascii="Verdana" w:hAnsi="Verdana"/>
                <w:b/>
                <w:bCs/>
              </w:rPr>
              <w:t>2018</w:t>
            </w:r>
          </w:p>
        </w:tc>
        <w:tc>
          <w:tcPr>
            <w:tcW w:w="1403" w:type="dxa"/>
            <w:noWrap/>
            <w:hideMark/>
          </w:tcPr>
          <w:p w14:paraId="4C75107D" w14:textId="77777777" w:rsidR="008503C3" w:rsidRPr="008051DC" w:rsidRDefault="008503C3" w:rsidP="00790A5F">
            <w:pPr>
              <w:spacing w:line="480" w:lineRule="auto"/>
              <w:rPr>
                <w:rFonts w:ascii="Verdana" w:hAnsi="Verdana"/>
              </w:rPr>
            </w:pPr>
            <w:r w:rsidRPr="008051DC">
              <w:rPr>
                <w:rFonts w:ascii="Verdana" w:hAnsi="Verdana"/>
              </w:rPr>
              <w:t>377</w:t>
            </w:r>
          </w:p>
        </w:tc>
        <w:tc>
          <w:tcPr>
            <w:tcW w:w="2700" w:type="dxa"/>
            <w:noWrap/>
            <w:hideMark/>
          </w:tcPr>
          <w:p w14:paraId="42066938" w14:textId="77777777" w:rsidR="008503C3" w:rsidRPr="008051DC" w:rsidRDefault="008503C3" w:rsidP="00790A5F">
            <w:pPr>
              <w:spacing w:line="480" w:lineRule="auto"/>
              <w:rPr>
                <w:rFonts w:ascii="Verdana" w:hAnsi="Verdana"/>
              </w:rPr>
            </w:pPr>
            <w:r w:rsidRPr="008051DC">
              <w:rPr>
                <w:rFonts w:ascii="Verdana" w:hAnsi="Verdana"/>
              </w:rPr>
              <w:t>106.30</w:t>
            </w:r>
          </w:p>
        </w:tc>
      </w:tr>
      <w:tr w:rsidR="008503C3" w:rsidRPr="008051DC" w14:paraId="3E4E8B4C" w14:textId="77777777" w:rsidTr="008503C3">
        <w:trPr>
          <w:trHeight w:val="300"/>
          <w:jc w:val="center"/>
        </w:trPr>
        <w:tc>
          <w:tcPr>
            <w:tcW w:w="842" w:type="dxa"/>
            <w:noWrap/>
            <w:hideMark/>
          </w:tcPr>
          <w:p w14:paraId="04EE3855" w14:textId="77777777" w:rsidR="008503C3" w:rsidRPr="008051DC" w:rsidRDefault="008503C3" w:rsidP="00790A5F">
            <w:pPr>
              <w:spacing w:line="480" w:lineRule="auto"/>
              <w:rPr>
                <w:rFonts w:ascii="Verdana" w:hAnsi="Verdana"/>
                <w:b/>
                <w:bCs/>
              </w:rPr>
            </w:pPr>
            <w:r w:rsidRPr="008051DC">
              <w:rPr>
                <w:rFonts w:ascii="Verdana" w:hAnsi="Verdana"/>
                <w:b/>
                <w:bCs/>
              </w:rPr>
              <w:t>2019</w:t>
            </w:r>
          </w:p>
        </w:tc>
        <w:tc>
          <w:tcPr>
            <w:tcW w:w="1403" w:type="dxa"/>
            <w:noWrap/>
            <w:hideMark/>
          </w:tcPr>
          <w:p w14:paraId="41F3D099" w14:textId="77777777" w:rsidR="008503C3" w:rsidRPr="008051DC" w:rsidRDefault="008503C3" w:rsidP="00790A5F">
            <w:pPr>
              <w:spacing w:line="480" w:lineRule="auto"/>
              <w:rPr>
                <w:rFonts w:ascii="Verdana" w:hAnsi="Verdana"/>
              </w:rPr>
            </w:pPr>
            <w:r w:rsidRPr="008051DC">
              <w:rPr>
                <w:rFonts w:ascii="Verdana" w:hAnsi="Verdana"/>
              </w:rPr>
              <w:t>630</w:t>
            </w:r>
          </w:p>
        </w:tc>
        <w:tc>
          <w:tcPr>
            <w:tcW w:w="2700" w:type="dxa"/>
            <w:noWrap/>
            <w:hideMark/>
          </w:tcPr>
          <w:p w14:paraId="41964E81" w14:textId="77777777" w:rsidR="008503C3" w:rsidRPr="008051DC" w:rsidRDefault="008503C3" w:rsidP="00790A5F">
            <w:pPr>
              <w:spacing w:line="480" w:lineRule="auto"/>
              <w:rPr>
                <w:rFonts w:ascii="Verdana" w:hAnsi="Verdana"/>
              </w:rPr>
            </w:pPr>
            <w:r w:rsidRPr="008051DC">
              <w:rPr>
                <w:rFonts w:ascii="Verdana" w:hAnsi="Verdana"/>
              </w:rPr>
              <w:t>195.05</w:t>
            </w:r>
          </w:p>
        </w:tc>
      </w:tr>
    </w:tbl>
    <w:p w14:paraId="25AB058C" w14:textId="03DFC8BE" w:rsidR="008503C3" w:rsidRPr="008051DC" w:rsidRDefault="008503C3" w:rsidP="00790A5F">
      <w:pPr>
        <w:spacing w:line="480" w:lineRule="auto"/>
        <w:rPr>
          <w:rFonts w:ascii="Verdana" w:hAnsi="Verdana"/>
        </w:rPr>
      </w:pPr>
      <w:r w:rsidRPr="008051DC">
        <w:rPr>
          <w:rFonts w:ascii="Verdana" w:hAnsi="Verdana"/>
        </w:rPr>
        <w:fldChar w:fldCharType="end"/>
      </w:r>
    </w:p>
    <w:p w14:paraId="5E614CD2" w14:textId="77777777" w:rsidR="006F362D" w:rsidRPr="008051DC" w:rsidRDefault="006F362D" w:rsidP="00790A5F">
      <w:pPr>
        <w:spacing w:line="480" w:lineRule="auto"/>
        <w:rPr>
          <w:rFonts w:ascii="Verdana" w:hAnsi="Verdana" w:cs="Tahoma"/>
          <w:sz w:val="24"/>
          <w:szCs w:val="24"/>
        </w:rPr>
      </w:pPr>
    </w:p>
    <w:p w14:paraId="7191F6EF" w14:textId="33248C4F" w:rsidR="006F362D" w:rsidRPr="008051DC" w:rsidRDefault="00E62FB9" w:rsidP="00790A5F">
      <w:pPr>
        <w:spacing w:line="480" w:lineRule="auto"/>
        <w:rPr>
          <w:rFonts w:ascii="Verdana" w:hAnsi="Verdana" w:cs="Tahoma"/>
          <w:sz w:val="24"/>
          <w:szCs w:val="24"/>
        </w:rPr>
      </w:pPr>
      <w:r w:rsidRPr="008051DC">
        <w:rPr>
          <w:rFonts w:ascii="Verdana" w:hAnsi="Verdana" w:cs="Tahoma"/>
          <w:sz w:val="24"/>
          <w:szCs w:val="24"/>
        </w:rPr>
        <w:t xml:space="preserve">Figure 1 and Figure 2 plot the results showed by Table 1. Figure </w:t>
      </w:r>
      <w:r w:rsidR="00CE370C" w:rsidRPr="008051DC">
        <w:rPr>
          <w:rFonts w:ascii="Verdana" w:hAnsi="Verdana" w:cs="Tahoma"/>
          <w:sz w:val="24"/>
          <w:szCs w:val="24"/>
        </w:rPr>
        <w:t>2</w:t>
      </w:r>
      <w:r w:rsidRPr="008051DC">
        <w:rPr>
          <w:rFonts w:ascii="Verdana" w:hAnsi="Verdana" w:cs="Tahoma"/>
          <w:sz w:val="24"/>
          <w:szCs w:val="24"/>
        </w:rPr>
        <w:t xml:space="preserve"> clearly shows the spike in the number of green bonds issued in 2015</w:t>
      </w:r>
      <w:r w:rsidR="00B62F17" w:rsidRPr="008051DC">
        <w:rPr>
          <w:rFonts w:ascii="Verdana" w:hAnsi="Verdana" w:cs="Tahoma"/>
          <w:sz w:val="24"/>
          <w:szCs w:val="24"/>
        </w:rPr>
        <w:t>. While Flammer (2020) finds 131 bonds issued by Tesla as the cause of the spike in that year</w:t>
      </w:r>
      <w:r w:rsidRPr="008051DC">
        <w:rPr>
          <w:rFonts w:ascii="Verdana" w:hAnsi="Verdana" w:cs="Tahoma"/>
          <w:sz w:val="24"/>
          <w:szCs w:val="24"/>
        </w:rPr>
        <w:t xml:space="preserve">, </w:t>
      </w:r>
      <w:r w:rsidR="00B62F17" w:rsidRPr="008051DC">
        <w:rPr>
          <w:rFonts w:ascii="Verdana" w:hAnsi="Verdana" w:cs="Tahoma"/>
          <w:sz w:val="24"/>
          <w:szCs w:val="24"/>
        </w:rPr>
        <w:t xml:space="preserve">Refinitiv’s database only lists 125 bonds by Tesla’s subsidiary </w:t>
      </w:r>
      <w:r w:rsidR="00B62F17" w:rsidRPr="008051DC">
        <w:rPr>
          <w:rFonts w:ascii="Verdana" w:hAnsi="Verdana" w:cs="Tahoma"/>
          <w:sz w:val="24"/>
          <w:szCs w:val="24"/>
        </w:rPr>
        <w:lastRenderedPageBreak/>
        <w:t xml:space="preserve">Tesla Energy Operations Inc </w:t>
      </w:r>
      <w:r w:rsidR="00CE370C" w:rsidRPr="008051DC">
        <w:rPr>
          <w:rFonts w:ascii="Verdana" w:hAnsi="Verdana" w:cs="Tahoma"/>
          <w:sz w:val="24"/>
          <w:szCs w:val="24"/>
        </w:rPr>
        <w:t>for</w:t>
      </w:r>
      <w:r w:rsidR="00B62F17" w:rsidRPr="008051DC">
        <w:rPr>
          <w:rFonts w:ascii="Verdana" w:hAnsi="Verdana" w:cs="Tahoma"/>
          <w:sz w:val="24"/>
          <w:szCs w:val="24"/>
        </w:rPr>
        <w:t xml:space="preserve"> the same year, highlighting the small difference between the 2 datasets.</w:t>
      </w:r>
      <w:r w:rsidR="00790A5F">
        <w:rPr>
          <w:rFonts w:ascii="Verdana" w:hAnsi="Verdana" w:cs="Tahoma"/>
          <w:sz w:val="24"/>
          <w:szCs w:val="24"/>
        </w:rPr>
        <w:t xml:space="preserve"> </w:t>
      </w:r>
    </w:p>
    <w:p w14:paraId="55E0A53F" w14:textId="73C73BA0" w:rsidR="00CE370C" w:rsidRPr="008051DC" w:rsidRDefault="00CE370C" w:rsidP="00790A5F">
      <w:pPr>
        <w:autoSpaceDE w:val="0"/>
        <w:autoSpaceDN w:val="0"/>
        <w:adjustRightInd w:val="0"/>
        <w:spacing w:after="0" w:line="480" w:lineRule="auto"/>
        <w:rPr>
          <w:rFonts w:ascii="Verdana" w:hAnsi="Verdana" w:cs="Tahoma"/>
          <w:b/>
          <w:bCs/>
        </w:rPr>
      </w:pPr>
      <w:r w:rsidRPr="008051DC">
        <w:rPr>
          <w:rFonts w:ascii="Verdana" w:hAnsi="Verdana" w:cs="Tahoma"/>
          <w:b/>
          <w:bCs/>
        </w:rPr>
        <w:t>Figure 1. Issuance of Corporate Green Bonds in USD Billion.</w:t>
      </w:r>
    </w:p>
    <w:p w14:paraId="0A233746" w14:textId="5A0949BD" w:rsidR="00E62FB9" w:rsidRPr="008051DC" w:rsidRDefault="00E62FB9" w:rsidP="00790A5F">
      <w:pPr>
        <w:spacing w:line="480" w:lineRule="auto"/>
        <w:jc w:val="center"/>
        <w:rPr>
          <w:rFonts w:ascii="Verdana" w:hAnsi="Verdana"/>
        </w:rPr>
      </w:pPr>
      <w:r w:rsidRPr="008051DC">
        <w:rPr>
          <w:rFonts w:ascii="Verdana" w:hAnsi="Verdana"/>
        </w:rPr>
        <w:drawing>
          <wp:inline distT="0" distB="0" distL="0" distR="0" wp14:anchorId="27CD2757" wp14:editId="0D061831">
            <wp:extent cx="5512217" cy="4040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293" b="3095"/>
                    <a:stretch/>
                  </pic:blipFill>
                  <pic:spPr bwMode="auto">
                    <a:xfrm>
                      <a:off x="0" y="0"/>
                      <a:ext cx="5712257" cy="4186998"/>
                    </a:xfrm>
                    <a:prstGeom prst="rect">
                      <a:avLst/>
                    </a:prstGeom>
                    <a:ln>
                      <a:noFill/>
                    </a:ln>
                    <a:extLst>
                      <a:ext uri="{53640926-AAD7-44D8-BBD7-CCE9431645EC}">
                        <a14:shadowObscured xmlns:a14="http://schemas.microsoft.com/office/drawing/2010/main"/>
                      </a:ext>
                    </a:extLst>
                  </pic:spPr>
                </pic:pic>
              </a:graphicData>
            </a:graphic>
          </wp:inline>
        </w:drawing>
      </w:r>
    </w:p>
    <w:p w14:paraId="652BD055" w14:textId="3072CF09" w:rsidR="00CE370C" w:rsidRPr="008051DC" w:rsidRDefault="00CE370C" w:rsidP="00790A5F">
      <w:pPr>
        <w:spacing w:line="480" w:lineRule="auto"/>
        <w:rPr>
          <w:rFonts w:ascii="Verdana" w:hAnsi="Verdana"/>
        </w:rPr>
      </w:pPr>
      <w:r w:rsidRPr="008051DC">
        <w:rPr>
          <w:rFonts w:ascii="Verdana" w:hAnsi="Verdana" w:cs="Tahoma"/>
          <w:b/>
          <w:bCs/>
        </w:rPr>
        <w:t>Figure 2. Number of Corporate Green Bonds.</w:t>
      </w:r>
    </w:p>
    <w:p w14:paraId="465663EE" w14:textId="6B1FC2BA" w:rsidR="006F362D" w:rsidRPr="00790A5F" w:rsidRDefault="00CE370C" w:rsidP="00790A5F">
      <w:pPr>
        <w:spacing w:line="480" w:lineRule="auto"/>
        <w:rPr>
          <w:rFonts w:ascii="Verdana" w:hAnsi="Verdana"/>
        </w:rPr>
      </w:pPr>
      <w:r w:rsidRPr="008051DC">
        <w:rPr>
          <w:rFonts w:ascii="Verdana" w:hAnsi="Verdana"/>
        </w:rPr>
        <w:lastRenderedPageBreak/>
        <w:drawing>
          <wp:inline distT="0" distB="0" distL="0" distR="0" wp14:anchorId="7DAB4781" wp14:editId="3C3CC7E9">
            <wp:extent cx="5560828" cy="3999118"/>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065" r="1123" b="2148"/>
                    <a:stretch/>
                  </pic:blipFill>
                  <pic:spPr bwMode="auto">
                    <a:xfrm>
                      <a:off x="0" y="0"/>
                      <a:ext cx="5563045" cy="4000712"/>
                    </a:xfrm>
                    <a:prstGeom prst="rect">
                      <a:avLst/>
                    </a:prstGeom>
                    <a:ln>
                      <a:noFill/>
                    </a:ln>
                    <a:extLst>
                      <a:ext uri="{53640926-AAD7-44D8-BBD7-CCE9431645EC}">
                        <a14:shadowObscured xmlns:a14="http://schemas.microsoft.com/office/drawing/2010/main"/>
                      </a:ext>
                    </a:extLst>
                  </pic:spPr>
                </pic:pic>
              </a:graphicData>
            </a:graphic>
          </wp:inline>
        </w:drawing>
      </w:r>
      <w:r w:rsidR="00E62FB9" w:rsidRPr="008051DC">
        <w:rPr>
          <w:rFonts w:ascii="Verdana" w:hAnsi="Verdana"/>
          <w:sz w:val="24"/>
          <w:szCs w:val="24"/>
        </w:rPr>
        <w:t xml:space="preserve">Table 2 shows </w:t>
      </w:r>
      <w:r w:rsidR="006F362D" w:rsidRPr="008051DC">
        <w:rPr>
          <w:rFonts w:ascii="Verdana" w:hAnsi="Verdana"/>
          <w:sz w:val="24"/>
          <w:szCs w:val="24"/>
        </w:rPr>
        <w:t xml:space="preserve">both the number and </w:t>
      </w:r>
      <w:r w:rsidR="00E62FB9" w:rsidRPr="008051DC">
        <w:rPr>
          <w:rFonts w:ascii="Verdana" w:hAnsi="Verdana"/>
          <w:sz w:val="24"/>
          <w:szCs w:val="24"/>
        </w:rPr>
        <w:t xml:space="preserve">the amount </w:t>
      </w:r>
      <w:r w:rsidR="006F362D" w:rsidRPr="008051DC">
        <w:rPr>
          <w:rFonts w:ascii="Verdana" w:hAnsi="Verdana"/>
          <w:sz w:val="24"/>
          <w:szCs w:val="24"/>
        </w:rPr>
        <w:t xml:space="preserve">in USD billion </w:t>
      </w:r>
      <w:r w:rsidR="00E62FB9" w:rsidRPr="008051DC">
        <w:rPr>
          <w:rFonts w:ascii="Verdana" w:hAnsi="Verdana"/>
          <w:sz w:val="24"/>
          <w:szCs w:val="24"/>
        </w:rPr>
        <w:t xml:space="preserve">issued by </w:t>
      </w:r>
      <w:r w:rsidR="0096578A" w:rsidRPr="008051DC">
        <w:rPr>
          <w:rFonts w:ascii="Verdana" w:hAnsi="Verdana"/>
          <w:sz w:val="24"/>
          <w:szCs w:val="24"/>
        </w:rPr>
        <w:t>sector</w:t>
      </w:r>
      <w:r w:rsidR="00E62FB9" w:rsidRPr="008051DC">
        <w:rPr>
          <w:rFonts w:ascii="Verdana" w:hAnsi="Verdana"/>
          <w:sz w:val="24"/>
          <w:szCs w:val="24"/>
        </w:rPr>
        <w:t xml:space="preserve"> </w:t>
      </w:r>
      <w:r w:rsidR="0096578A" w:rsidRPr="008051DC">
        <w:rPr>
          <w:rFonts w:ascii="Verdana" w:hAnsi="Verdana"/>
          <w:sz w:val="24"/>
          <w:szCs w:val="24"/>
        </w:rPr>
        <w:t>for corporate green bonds listed on</w:t>
      </w:r>
      <w:r w:rsidR="006F362D" w:rsidRPr="008051DC">
        <w:rPr>
          <w:rFonts w:ascii="Verdana" w:hAnsi="Verdana"/>
          <w:sz w:val="24"/>
          <w:szCs w:val="24"/>
        </w:rPr>
        <w:t xml:space="preserve"> Refinitiv’s database </w:t>
      </w:r>
      <w:r w:rsidR="0096578A" w:rsidRPr="008051DC">
        <w:rPr>
          <w:rFonts w:ascii="Verdana" w:hAnsi="Verdana"/>
          <w:sz w:val="24"/>
          <w:szCs w:val="24"/>
        </w:rPr>
        <w:t>from 2013 to 2019 after</w:t>
      </w:r>
      <w:r w:rsidR="006F362D" w:rsidRPr="008051DC">
        <w:rPr>
          <w:rFonts w:ascii="Verdana" w:hAnsi="Verdana"/>
          <w:sz w:val="24"/>
          <w:szCs w:val="24"/>
        </w:rPr>
        <w:t xml:space="preserve"> excluding ‘Non-US Munis’.</w:t>
      </w:r>
      <w:r w:rsidR="0096578A" w:rsidRPr="008051DC">
        <w:rPr>
          <w:rFonts w:ascii="Verdana" w:hAnsi="Verdana"/>
          <w:sz w:val="24"/>
          <w:szCs w:val="24"/>
        </w:rPr>
        <w:t xml:space="preserve"> Sectors are defined using Refinitiv’s Sector classification. </w:t>
      </w:r>
      <w:r w:rsidR="00137432" w:rsidRPr="008051DC">
        <w:rPr>
          <w:rFonts w:ascii="Verdana" w:hAnsi="Verdana"/>
          <w:sz w:val="24"/>
          <w:szCs w:val="24"/>
        </w:rPr>
        <w:t xml:space="preserve">The table is sorted by number of bonds; sectors </w:t>
      </w:r>
      <w:r w:rsidR="0096578A" w:rsidRPr="008051DC">
        <w:rPr>
          <w:rFonts w:ascii="Verdana" w:hAnsi="Verdana"/>
          <w:sz w:val="24"/>
          <w:szCs w:val="24"/>
        </w:rPr>
        <w:t>with less than 4 bonds</w:t>
      </w:r>
      <w:r w:rsidR="00137432" w:rsidRPr="008051DC">
        <w:rPr>
          <w:rFonts w:ascii="Verdana" w:hAnsi="Verdana"/>
          <w:sz w:val="24"/>
          <w:szCs w:val="24"/>
        </w:rPr>
        <w:t xml:space="preserve"> are grouped under ‘Other’.</w:t>
      </w:r>
    </w:p>
    <w:p w14:paraId="78DCBF09" w14:textId="77777777" w:rsidR="00755635" w:rsidRPr="008051DC" w:rsidRDefault="00755635" w:rsidP="00790A5F">
      <w:pPr>
        <w:spacing w:line="480" w:lineRule="auto"/>
        <w:rPr>
          <w:rFonts w:ascii="Verdana" w:hAnsi="Verdana"/>
          <w:sz w:val="24"/>
          <w:szCs w:val="24"/>
        </w:rPr>
      </w:pPr>
    </w:p>
    <w:p w14:paraId="7620B3A7" w14:textId="099847A9" w:rsidR="00991B13" w:rsidRPr="008051DC" w:rsidRDefault="00991B13" w:rsidP="00790A5F">
      <w:pPr>
        <w:spacing w:line="480" w:lineRule="auto"/>
        <w:rPr>
          <w:rFonts w:ascii="Verdana" w:hAnsi="Verdana"/>
        </w:rPr>
      </w:pPr>
      <w:r w:rsidRPr="008051DC">
        <w:rPr>
          <w:rFonts w:ascii="Verdana" w:hAnsi="Verdana" w:cs="Tahoma"/>
          <w:b/>
          <w:bCs/>
        </w:rPr>
        <w:t>Table 2. Corporate Green Bonds by Sector.</w:t>
      </w:r>
    </w:p>
    <w:tbl>
      <w:tblPr>
        <w:tblStyle w:val="TableGrid"/>
        <w:tblW w:w="8725" w:type="dxa"/>
        <w:jc w:val="center"/>
        <w:tblLook w:val="04A0" w:firstRow="1" w:lastRow="0" w:firstColumn="1" w:lastColumn="0" w:noHBand="0" w:noVBand="1"/>
      </w:tblPr>
      <w:tblGrid>
        <w:gridCol w:w="4495"/>
        <w:gridCol w:w="1350"/>
        <w:gridCol w:w="2880"/>
      </w:tblGrid>
      <w:tr w:rsidR="00CE370C" w:rsidRPr="008051DC" w14:paraId="5E4B0294" w14:textId="77777777" w:rsidTr="006F362D">
        <w:trPr>
          <w:trHeight w:val="307"/>
          <w:jc w:val="center"/>
        </w:trPr>
        <w:tc>
          <w:tcPr>
            <w:tcW w:w="4495" w:type="dxa"/>
            <w:noWrap/>
            <w:hideMark/>
          </w:tcPr>
          <w:p w14:paraId="73A49427" w14:textId="77777777" w:rsidR="00CE370C" w:rsidRPr="008051DC" w:rsidRDefault="00CE370C" w:rsidP="00790A5F">
            <w:pPr>
              <w:spacing w:line="480" w:lineRule="auto"/>
              <w:rPr>
                <w:rFonts w:ascii="Verdana" w:hAnsi="Verdana"/>
                <w:b/>
                <w:bCs/>
              </w:rPr>
            </w:pPr>
            <w:r w:rsidRPr="008051DC">
              <w:rPr>
                <w:rFonts w:ascii="Verdana" w:hAnsi="Verdana"/>
                <w:b/>
                <w:bCs/>
              </w:rPr>
              <w:t>Sector</w:t>
            </w:r>
          </w:p>
        </w:tc>
        <w:tc>
          <w:tcPr>
            <w:tcW w:w="1350" w:type="dxa"/>
            <w:noWrap/>
            <w:hideMark/>
          </w:tcPr>
          <w:p w14:paraId="0BD493FB" w14:textId="77777777" w:rsidR="00CE370C" w:rsidRPr="008051DC" w:rsidRDefault="00CE370C" w:rsidP="00790A5F">
            <w:pPr>
              <w:spacing w:line="480" w:lineRule="auto"/>
              <w:rPr>
                <w:rFonts w:ascii="Verdana" w:hAnsi="Verdana"/>
                <w:b/>
                <w:bCs/>
              </w:rPr>
            </w:pPr>
            <w:r w:rsidRPr="008051DC">
              <w:rPr>
                <w:rFonts w:ascii="Verdana" w:hAnsi="Verdana"/>
                <w:b/>
                <w:bCs/>
              </w:rPr>
              <w:t># Bonds</w:t>
            </w:r>
          </w:p>
        </w:tc>
        <w:tc>
          <w:tcPr>
            <w:tcW w:w="2880" w:type="dxa"/>
            <w:noWrap/>
            <w:hideMark/>
          </w:tcPr>
          <w:p w14:paraId="753DC8BD" w14:textId="77777777" w:rsidR="00CE370C" w:rsidRPr="008051DC" w:rsidRDefault="00CE370C" w:rsidP="00790A5F">
            <w:pPr>
              <w:spacing w:line="480" w:lineRule="auto"/>
              <w:rPr>
                <w:rFonts w:ascii="Verdana" w:hAnsi="Verdana"/>
                <w:b/>
                <w:bCs/>
              </w:rPr>
            </w:pPr>
            <w:r w:rsidRPr="008051DC">
              <w:rPr>
                <w:rFonts w:ascii="Verdana" w:hAnsi="Verdana"/>
                <w:b/>
                <w:bCs/>
              </w:rPr>
              <w:t>$ Amount (billion)</w:t>
            </w:r>
          </w:p>
        </w:tc>
      </w:tr>
      <w:tr w:rsidR="00CE370C" w:rsidRPr="008051DC" w14:paraId="79EF0F46" w14:textId="77777777" w:rsidTr="006F362D">
        <w:trPr>
          <w:trHeight w:val="307"/>
          <w:jc w:val="center"/>
        </w:trPr>
        <w:tc>
          <w:tcPr>
            <w:tcW w:w="4495" w:type="dxa"/>
            <w:noWrap/>
            <w:hideMark/>
          </w:tcPr>
          <w:p w14:paraId="7EAED4C8" w14:textId="77777777" w:rsidR="00CE370C" w:rsidRPr="008051DC" w:rsidRDefault="00CE370C" w:rsidP="00790A5F">
            <w:pPr>
              <w:spacing w:line="480" w:lineRule="auto"/>
              <w:rPr>
                <w:rFonts w:ascii="Verdana" w:hAnsi="Verdana"/>
                <w:b/>
                <w:bCs/>
              </w:rPr>
            </w:pPr>
            <w:r w:rsidRPr="008051DC">
              <w:rPr>
                <w:rFonts w:ascii="Verdana" w:hAnsi="Verdana"/>
                <w:b/>
                <w:bCs/>
              </w:rPr>
              <w:t>Utility - Other</w:t>
            </w:r>
          </w:p>
        </w:tc>
        <w:tc>
          <w:tcPr>
            <w:tcW w:w="1350" w:type="dxa"/>
            <w:noWrap/>
            <w:hideMark/>
          </w:tcPr>
          <w:p w14:paraId="142607E0" w14:textId="77777777" w:rsidR="00CE370C" w:rsidRPr="008051DC" w:rsidRDefault="00CE370C" w:rsidP="00790A5F">
            <w:pPr>
              <w:spacing w:line="480" w:lineRule="auto"/>
              <w:rPr>
                <w:rFonts w:ascii="Verdana" w:hAnsi="Verdana"/>
              </w:rPr>
            </w:pPr>
            <w:r w:rsidRPr="008051DC">
              <w:rPr>
                <w:rFonts w:ascii="Verdana" w:hAnsi="Verdana"/>
              </w:rPr>
              <w:t>420</w:t>
            </w:r>
          </w:p>
        </w:tc>
        <w:tc>
          <w:tcPr>
            <w:tcW w:w="2880" w:type="dxa"/>
            <w:noWrap/>
            <w:hideMark/>
          </w:tcPr>
          <w:p w14:paraId="1208E2BC" w14:textId="77777777" w:rsidR="00CE370C" w:rsidRPr="008051DC" w:rsidRDefault="00CE370C" w:rsidP="00790A5F">
            <w:pPr>
              <w:spacing w:line="480" w:lineRule="auto"/>
              <w:rPr>
                <w:rFonts w:ascii="Verdana" w:hAnsi="Verdana"/>
              </w:rPr>
            </w:pPr>
            <w:r w:rsidRPr="008051DC">
              <w:rPr>
                <w:rFonts w:ascii="Verdana" w:hAnsi="Verdana"/>
              </w:rPr>
              <w:t>60.24</w:t>
            </w:r>
          </w:p>
        </w:tc>
      </w:tr>
      <w:tr w:rsidR="00CE370C" w:rsidRPr="008051DC" w14:paraId="5B44C023" w14:textId="77777777" w:rsidTr="006F362D">
        <w:trPr>
          <w:trHeight w:val="307"/>
          <w:jc w:val="center"/>
        </w:trPr>
        <w:tc>
          <w:tcPr>
            <w:tcW w:w="4495" w:type="dxa"/>
            <w:noWrap/>
            <w:hideMark/>
          </w:tcPr>
          <w:p w14:paraId="6329ED7C" w14:textId="77777777" w:rsidR="00CE370C" w:rsidRPr="008051DC" w:rsidRDefault="00CE370C" w:rsidP="00790A5F">
            <w:pPr>
              <w:spacing w:line="480" w:lineRule="auto"/>
              <w:rPr>
                <w:rFonts w:ascii="Verdana" w:hAnsi="Verdana"/>
                <w:b/>
                <w:bCs/>
              </w:rPr>
            </w:pPr>
            <w:r w:rsidRPr="008051DC">
              <w:rPr>
                <w:rFonts w:ascii="Verdana" w:hAnsi="Verdana"/>
                <w:b/>
                <w:bCs/>
              </w:rPr>
              <w:t>Banking</w:t>
            </w:r>
          </w:p>
        </w:tc>
        <w:tc>
          <w:tcPr>
            <w:tcW w:w="1350" w:type="dxa"/>
            <w:noWrap/>
            <w:hideMark/>
          </w:tcPr>
          <w:p w14:paraId="5A888E07" w14:textId="77777777" w:rsidR="00CE370C" w:rsidRPr="008051DC" w:rsidRDefault="00CE370C" w:rsidP="00790A5F">
            <w:pPr>
              <w:spacing w:line="480" w:lineRule="auto"/>
              <w:rPr>
                <w:rFonts w:ascii="Verdana" w:hAnsi="Verdana"/>
              </w:rPr>
            </w:pPr>
            <w:r w:rsidRPr="008051DC">
              <w:rPr>
                <w:rFonts w:ascii="Verdana" w:hAnsi="Verdana"/>
              </w:rPr>
              <w:t>378</w:t>
            </w:r>
          </w:p>
        </w:tc>
        <w:tc>
          <w:tcPr>
            <w:tcW w:w="2880" w:type="dxa"/>
            <w:noWrap/>
            <w:hideMark/>
          </w:tcPr>
          <w:p w14:paraId="43BD9688" w14:textId="77777777" w:rsidR="00CE370C" w:rsidRPr="008051DC" w:rsidRDefault="00CE370C" w:rsidP="00790A5F">
            <w:pPr>
              <w:spacing w:line="480" w:lineRule="auto"/>
              <w:rPr>
                <w:rFonts w:ascii="Verdana" w:hAnsi="Verdana"/>
              </w:rPr>
            </w:pPr>
            <w:r w:rsidRPr="008051DC">
              <w:rPr>
                <w:rFonts w:ascii="Verdana" w:hAnsi="Verdana"/>
              </w:rPr>
              <w:t>139.11</w:t>
            </w:r>
          </w:p>
        </w:tc>
      </w:tr>
      <w:tr w:rsidR="00CE370C" w:rsidRPr="008051DC" w14:paraId="5B2829F3" w14:textId="77777777" w:rsidTr="006F362D">
        <w:trPr>
          <w:trHeight w:val="307"/>
          <w:jc w:val="center"/>
        </w:trPr>
        <w:tc>
          <w:tcPr>
            <w:tcW w:w="4495" w:type="dxa"/>
            <w:noWrap/>
            <w:hideMark/>
          </w:tcPr>
          <w:p w14:paraId="778BEBA8" w14:textId="77777777" w:rsidR="00CE370C" w:rsidRPr="008051DC" w:rsidRDefault="00CE370C" w:rsidP="00790A5F">
            <w:pPr>
              <w:spacing w:line="480" w:lineRule="auto"/>
              <w:rPr>
                <w:rFonts w:ascii="Verdana" w:hAnsi="Verdana"/>
                <w:b/>
                <w:bCs/>
              </w:rPr>
            </w:pPr>
            <w:r w:rsidRPr="008051DC">
              <w:rPr>
                <w:rFonts w:ascii="Verdana" w:hAnsi="Verdana"/>
                <w:b/>
                <w:bCs/>
              </w:rPr>
              <w:t>Financial - Other</w:t>
            </w:r>
          </w:p>
        </w:tc>
        <w:tc>
          <w:tcPr>
            <w:tcW w:w="1350" w:type="dxa"/>
            <w:noWrap/>
            <w:hideMark/>
          </w:tcPr>
          <w:p w14:paraId="4DDC9047" w14:textId="77777777" w:rsidR="00CE370C" w:rsidRPr="008051DC" w:rsidRDefault="00CE370C" w:rsidP="00790A5F">
            <w:pPr>
              <w:spacing w:line="480" w:lineRule="auto"/>
              <w:rPr>
                <w:rFonts w:ascii="Verdana" w:hAnsi="Verdana"/>
              </w:rPr>
            </w:pPr>
            <w:r w:rsidRPr="008051DC">
              <w:rPr>
                <w:rFonts w:ascii="Verdana" w:hAnsi="Verdana"/>
              </w:rPr>
              <w:t>326</w:t>
            </w:r>
          </w:p>
        </w:tc>
        <w:tc>
          <w:tcPr>
            <w:tcW w:w="2880" w:type="dxa"/>
            <w:noWrap/>
            <w:hideMark/>
          </w:tcPr>
          <w:p w14:paraId="2197E490" w14:textId="77777777" w:rsidR="00CE370C" w:rsidRPr="008051DC" w:rsidRDefault="00CE370C" w:rsidP="00790A5F">
            <w:pPr>
              <w:spacing w:line="480" w:lineRule="auto"/>
              <w:rPr>
                <w:rFonts w:ascii="Verdana" w:hAnsi="Verdana"/>
              </w:rPr>
            </w:pPr>
            <w:r w:rsidRPr="008051DC">
              <w:rPr>
                <w:rFonts w:ascii="Verdana" w:hAnsi="Verdana"/>
              </w:rPr>
              <w:t>99.76</w:t>
            </w:r>
          </w:p>
        </w:tc>
      </w:tr>
      <w:tr w:rsidR="00CE370C" w:rsidRPr="008051DC" w14:paraId="6240455A" w14:textId="77777777" w:rsidTr="006F362D">
        <w:trPr>
          <w:trHeight w:val="307"/>
          <w:jc w:val="center"/>
        </w:trPr>
        <w:tc>
          <w:tcPr>
            <w:tcW w:w="4495" w:type="dxa"/>
            <w:noWrap/>
            <w:hideMark/>
          </w:tcPr>
          <w:p w14:paraId="2EDE2D9D" w14:textId="77777777" w:rsidR="00CE370C" w:rsidRPr="008051DC" w:rsidRDefault="00CE370C" w:rsidP="00790A5F">
            <w:pPr>
              <w:spacing w:line="480" w:lineRule="auto"/>
              <w:rPr>
                <w:rFonts w:ascii="Verdana" w:hAnsi="Verdana"/>
                <w:b/>
                <w:bCs/>
              </w:rPr>
            </w:pPr>
            <w:r w:rsidRPr="008051DC">
              <w:rPr>
                <w:rFonts w:ascii="Verdana" w:hAnsi="Verdana"/>
                <w:b/>
                <w:bCs/>
              </w:rPr>
              <w:t>Agency</w:t>
            </w:r>
          </w:p>
        </w:tc>
        <w:tc>
          <w:tcPr>
            <w:tcW w:w="1350" w:type="dxa"/>
            <w:noWrap/>
            <w:hideMark/>
          </w:tcPr>
          <w:p w14:paraId="1C88ADD0" w14:textId="77777777" w:rsidR="00CE370C" w:rsidRPr="008051DC" w:rsidRDefault="00CE370C" w:rsidP="00790A5F">
            <w:pPr>
              <w:spacing w:line="480" w:lineRule="auto"/>
              <w:rPr>
                <w:rFonts w:ascii="Verdana" w:hAnsi="Verdana"/>
              </w:rPr>
            </w:pPr>
            <w:r w:rsidRPr="008051DC">
              <w:rPr>
                <w:rFonts w:ascii="Verdana" w:hAnsi="Verdana"/>
              </w:rPr>
              <w:t>223</w:t>
            </w:r>
          </w:p>
        </w:tc>
        <w:tc>
          <w:tcPr>
            <w:tcW w:w="2880" w:type="dxa"/>
            <w:noWrap/>
            <w:hideMark/>
          </w:tcPr>
          <w:p w14:paraId="4280CCDE" w14:textId="77777777" w:rsidR="00CE370C" w:rsidRPr="008051DC" w:rsidRDefault="00CE370C" w:rsidP="00790A5F">
            <w:pPr>
              <w:spacing w:line="480" w:lineRule="auto"/>
              <w:rPr>
                <w:rFonts w:ascii="Verdana" w:hAnsi="Verdana"/>
              </w:rPr>
            </w:pPr>
            <w:r w:rsidRPr="008051DC">
              <w:rPr>
                <w:rFonts w:ascii="Verdana" w:hAnsi="Verdana"/>
              </w:rPr>
              <w:t>122.82</w:t>
            </w:r>
          </w:p>
        </w:tc>
      </w:tr>
      <w:tr w:rsidR="00CE370C" w:rsidRPr="008051DC" w14:paraId="35865654" w14:textId="77777777" w:rsidTr="006F362D">
        <w:trPr>
          <w:trHeight w:val="307"/>
          <w:jc w:val="center"/>
        </w:trPr>
        <w:tc>
          <w:tcPr>
            <w:tcW w:w="4495" w:type="dxa"/>
            <w:noWrap/>
            <w:hideMark/>
          </w:tcPr>
          <w:p w14:paraId="56B16C54" w14:textId="77777777" w:rsidR="00CE370C" w:rsidRPr="008051DC" w:rsidRDefault="00CE370C" w:rsidP="00790A5F">
            <w:pPr>
              <w:spacing w:line="480" w:lineRule="auto"/>
              <w:rPr>
                <w:rFonts w:ascii="Verdana" w:hAnsi="Verdana"/>
                <w:b/>
                <w:bCs/>
              </w:rPr>
            </w:pPr>
            <w:r w:rsidRPr="008051DC">
              <w:rPr>
                <w:rFonts w:ascii="Verdana" w:hAnsi="Verdana"/>
                <w:b/>
                <w:bCs/>
              </w:rPr>
              <w:lastRenderedPageBreak/>
              <w:t>Home Builders</w:t>
            </w:r>
          </w:p>
        </w:tc>
        <w:tc>
          <w:tcPr>
            <w:tcW w:w="1350" w:type="dxa"/>
            <w:noWrap/>
            <w:hideMark/>
          </w:tcPr>
          <w:p w14:paraId="6F95BC29" w14:textId="77777777" w:rsidR="00CE370C" w:rsidRPr="008051DC" w:rsidRDefault="00CE370C" w:rsidP="00790A5F">
            <w:pPr>
              <w:spacing w:line="480" w:lineRule="auto"/>
              <w:rPr>
                <w:rFonts w:ascii="Verdana" w:hAnsi="Verdana"/>
              </w:rPr>
            </w:pPr>
            <w:r w:rsidRPr="008051DC">
              <w:rPr>
                <w:rFonts w:ascii="Verdana" w:hAnsi="Verdana"/>
              </w:rPr>
              <w:t>157</w:t>
            </w:r>
          </w:p>
        </w:tc>
        <w:tc>
          <w:tcPr>
            <w:tcW w:w="2880" w:type="dxa"/>
            <w:noWrap/>
            <w:hideMark/>
          </w:tcPr>
          <w:p w14:paraId="5E607571" w14:textId="77777777" w:rsidR="00CE370C" w:rsidRPr="008051DC" w:rsidRDefault="00CE370C" w:rsidP="00790A5F">
            <w:pPr>
              <w:spacing w:line="480" w:lineRule="auto"/>
              <w:rPr>
                <w:rFonts w:ascii="Verdana" w:hAnsi="Verdana"/>
              </w:rPr>
            </w:pPr>
            <w:r w:rsidRPr="008051DC">
              <w:rPr>
                <w:rFonts w:ascii="Verdana" w:hAnsi="Verdana"/>
              </w:rPr>
              <w:t>11.16</w:t>
            </w:r>
          </w:p>
        </w:tc>
      </w:tr>
      <w:tr w:rsidR="00CE370C" w:rsidRPr="008051DC" w14:paraId="357FE4F7" w14:textId="77777777" w:rsidTr="006F362D">
        <w:trPr>
          <w:trHeight w:val="307"/>
          <w:jc w:val="center"/>
        </w:trPr>
        <w:tc>
          <w:tcPr>
            <w:tcW w:w="4495" w:type="dxa"/>
            <w:noWrap/>
            <w:hideMark/>
          </w:tcPr>
          <w:p w14:paraId="7DAAAC07" w14:textId="77777777" w:rsidR="00CE370C" w:rsidRPr="008051DC" w:rsidRDefault="00CE370C" w:rsidP="00790A5F">
            <w:pPr>
              <w:spacing w:line="480" w:lineRule="auto"/>
              <w:rPr>
                <w:rFonts w:ascii="Verdana" w:hAnsi="Verdana"/>
                <w:b/>
                <w:bCs/>
              </w:rPr>
            </w:pPr>
            <w:r w:rsidRPr="008051DC">
              <w:rPr>
                <w:rFonts w:ascii="Verdana" w:hAnsi="Verdana"/>
                <w:b/>
                <w:bCs/>
              </w:rPr>
              <w:t>Service - Other</w:t>
            </w:r>
          </w:p>
        </w:tc>
        <w:tc>
          <w:tcPr>
            <w:tcW w:w="1350" w:type="dxa"/>
            <w:noWrap/>
            <w:hideMark/>
          </w:tcPr>
          <w:p w14:paraId="17968EBE" w14:textId="77777777" w:rsidR="00CE370C" w:rsidRPr="008051DC" w:rsidRDefault="00CE370C" w:rsidP="00790A5F">
            <w:pPr>
              <w:spacing w:line="480" w:lineRule="auto"/>
              <w:rPr>
                <w:rFonts w:ascii="Verdana" w:hAnsi="Verdana"/>
              </w:rPr>
            </w:pPr>
            <w:r w:rsidRPr="008051DC">
              <w:rPr>
                <w:rFonts w:ascii="Verdana" w:hAnsi="Verdana"/>
              </w:rPr>
              <w:t>61</w:t>
            </w:r>
          </w:p>
        </w:tc>
        <w:tc>
          <w:tcPr>
            <w:tcW w:w="2880" w:type="dxa"/>
            <w:noWrap/>
            <w:hideMark/>
          </w:tcPr>
          <w:p w14:paraId="05EECECB" w14:textId="77777777" w:rsidR="00CE370C" w:rsidRPr="008051DC" w:rsidRDefault="00CE370C" w:rsidP="00790A5F">
            <w:pPr>
              <w:spacing w:line="480" w:lineRule="auto"/>
              <w:rPr>
                <w:rFonts w:ascii="Verdana" w:hAnsi="Verdana"/>
              </w:rPr>
            </w:pPr>
            <w:r w:rsidRPr="008051DC">
              <w:rPr>
                <w:rFonts w:ascii="Verdana" w:hAnsi="Verdana"/>
              </w:rPr>
              <w:t>12.94</w:t>
            </w:r>
          </w:p>
        </w:tc>
      </w:tr>
      <w:tr w:rsidR="00CE370C" w:rsidRPr="008051DC" w14:paraId="46BEE229" w14:textId="77777777" w:rsidTr="006F362D">
        <w:trPr>
          <w:trHeight w:val="307"/>
          <w:jc w:val="center"/>
        </w:trPr>
        <w:tc>
          <w:tcPr>
            <w:tcW w:w="4495" w:type="dxa"/>
            <w:noWrap/>
            <w:hideMark/>
          </w:tcPr>
          <w:p w14:paraId="067F9972" w14:textId="77777777" w:rsidR="00CE370C" w:rsidRPr="008051DC" w:rsidRDefault="00CE370C" w:rsidP="00790A5F">
            <w:pPr>
              <w:spacing w:line="480" w:lineRule="auto"/>
              <w:rPr>
                <w:rFonts w:ascii="Verdana" w:hAnsi="Verdana"/>
                <w:b/>
                <w:bCs/>
              </w:rPr>
            </w:pPr>
            <w:r w:rsidRPr="008051DC">
              <w:rPr>
                <w:rFonts w:ascii="Verdana" w:hAnsi="Verdana"/>
                <w:b/>
                <w:bCs/>
              </w:rPr>
              <w:t>Real Estate Investment Trust</w:t>
            </w:r>
          </w:p>
        </w:tc>
        <w:tc>
          <w:tcPr>
            <w:tcW w:w="1350" w:type="dxa"/>
            <w:noWrap/>
            <w:hideMark/>
          </w:tcPr>
          <w:p w14:paraId="682E695A" w14:textId="77777777" w:rsidR="00CE370C" w:rsidRPr="008051DC" w:rsidRDefault="00CE370C" w:rsidP="00790A5F">
            <w:pPr>
              <w:spacing w:line="480" w:lineRule="auto"/>
              <w:rPr>
                <w:rFonts w:ascii="Verdana" w:hAnsi="Verdana"/>
              </w:rPr>
            </w:pPr>
            <w:r w:rsidRPr="008051DC">
              <w:rPr>
                <w:rFonts w:ascii="Verdana" w:hAnsi="Verdana"/>
              </w:rPr>
              <w:t>35</w:t>
            </w:r>
          </w:p>
        </w:tc>
        <w:tc>
          <w:tcPr>
            <w:tcW w:w="2880" w:type="dxa"/>
            <w:noWrap/>
            <w:hideMark/>
          </w:tcPr>
          <w:p w14:paraId="578C91B6" w14:textId="77777777" w:rsidR="00CE370C" w:rsidRPr="008051DC" w:rsidRDefault="00CE370C" w:rsidP="00790A5F">
            <w:pPr>
              <w:spacing w:line="480" w:lineRule="auto"/>
              <w:rPr>
                <w:rFonts w:ascii="Verdana" w:hAnsi="Verdana"/>
              </w:rPr>
            </w:pPr>
            <w:r w:rsidRPr="008051DC">
              <w:rPr>
                <w:rFonts w:ascii="Verdana" w:hAnsi="Verdana"/>
              </w:rPr>
              <w:t>6.43</w:t>
            </w:r>
          </w:p>
        </w:tc>
      </w:tr>
      <w:tr w:rsidR="00CE370C" w:rsidRPr="008051DC" w14:paraId="0B7E4B26" w14:textId="77777777" w:rsidTr="006F362D">
        <w:trPr>
          <w:trHeight w:val="307"/>
          <w:jc w:val="center"/>
        </w:trPr>
        <w:tc>
          <w:tcPr>
            <w:tcW w:w="4495" w:type="dxa"/>
            <w:noWrap/>
            <w:hideMark/>
          </w:tcPr>
          <w:p w14:paraId="23F72014" w14:textId="77777777" w:rsidR="00CE370C" w:rsidRPr="008051DC" w:rsidRDefault="00CE370C" w:rsidP="00790A5F">
            <w:pPr>
              <w:spacing w:line="480" w:lineRule="auto"/>
              <w:rPr>
                <w:rFonts w:ascii="Verdana" w:hAnsi="Verdana"/>
                <w:b/>
                <w:bCs/>
              </w:rPr>
            </w:pPr>
            <w:r w:rsidRPr="008051DC">
              <w:rPr>
                <w:rFonts w:ascii="Verdana" w:hAnsi="Verdana"/>
                <w:b/>
                <w:bCs/>
              </w:rPr>
              <w:t>Transportation - Other</w:t>
            </w:r>
          </w:p>
        </w:tc>
        <w:tc>
          <w:tcPr>
            <w:tcW w:w="1350" w:type="dxa"/>
            <w:noWrap/>
            <w:hideMark/>
          </w:tcPr>
          <w:p w14:paraId="5A96694B" w14:textId="77777777" w:rsidR="00CE370C" w:rsidRPr="008051DC" w:rsidRDefault="00CE370C" w:rsidP="00790A5F">
            <w:pPr>
              <w:spacing w:line="480" w:lineRule="auto"/>
              <w:rPr>
                <w:rFonts w:ascii="Verdana" w:hAnsi="Verdana"/>
              </w:rPr>
            </w:pPr>
            <w:r w:rsidRPr="008051DC">
              <w:rPr>
                <w:rFonts w:ascii="Verdana" w:hAnsi="Verdana"/>
              </w:rPr>
              <w:t>24</w:t>
            </w:r>
          </w:p>
        </w:tc>
        <w:tc>
          <w:tcPr>
            <w:tcW w:w="2880" w:type="dxa"/>
            <w:noWrap/>
            <w:hideMark/>
          </w:tcPr>
          <w:p w14:paraId="57524DC4" w14:textId="77777777" w:rsidR="00CE370C" w:rsidRPr="008051DC" w:rsidRDefault="00CE370C" w:rsidP="00790A5F">
            <w:pPr>
              <w:spacing w:line="480" w:lineRule="auto"/>
              <w:rPr>
                <w:rFonts w:ascii="Verdana" w:hAnsi="Verdana"/>
              </w:rPr>
            </w:pPr>
            <w:r w:rsidRPr="008051DC">
              <w:rPr>
                <w:rFonts w:ascii="Verdana" w:hAnsi="Verdana"/>
              </w:rPr>
              <w:t>5.07</w:t>
            </w:r>
          </w:p>
        </w:tc>
      </w:tr>
      <w:tr w:rsidR="00CE370C" w:rsidRPr="008051DC" w14:paraId="43D76B4B" w14:textId="77777777" w:rsidTr="006F362D">
        <w:trPr>
          <w:trHeight w:val="307"/>
          <w:jc w:val="center"/>
        </w:trPr>
        <w:tc>
          <w:tcPr>
            <w:tcW w:w="4495" w:type="dxa"/>
            <w:noWrap/>
            <w:hideMark/>
          </w:tcPr>
          <w:p w14:paraId="07159659" w14:textId="77777777" w:rsidR="00CE370C" w:rsidRPr="008051DC" w:rsidRDefault="00CE370C" w:rsidP="00790A5F">
            <w:pPr>
              <w:spacing w:line="480" w:lineRule="auto"/>
              <w:rPr>
                <w:rFonts w:ascii="Verdana" w:hAnsi="Verdana"/>
                <w:b/>
                <w:bCs/>
              </w:rPr>
            </w:pPr>
            <w:r w:rsidRPr="008051DC">
              <w:rPr>
                <w:rFonts w:ascii="Verdana" w:hAnsi="Verdana"/>
                <w:b/>
                <w:bCs/>
              </w:rPr>
              <w:t>Oil and Gas</w:t>
            </w:r>
          </w:p>
        </w:tc>
        <w:tc>
          <w:tcPr>
            <w:tcW w:w="1350" w:type="dxa"/>
            <w:noWrap/>
            <w:hideMark/>
          </w:tcPr>
          <w:p w14:paraId="623587E2" w14:textId="77777777" w:rsidR="00CE370C" w:rsidRPr="008051DC" w:rsidRDefault="00CE370C" w:rsidP="00790A5F">
            <w:pPr>
              <w:spacing w:line="480" w:lineRule="auto"/>
              <w:rPr>
                <w:rFonts w:ascii="Verdana" w:hAnsi="Verdana"/>
              </w:rPr>
            </w:pPr>
            <w:r w:rsidRPr="008051DC">
              <w:rPr>
                <w:rFonts w:ascii="Verdana" w:hAnsi="Verdana"/>
              </w:rPr>
              <w:t>19</w:t>
            </w:r>
          </w:p>
        </w:tc>
        <w:tc>
          <w:tcPr>
            <w:tcW w:w="2880" w:type="dxa"/>
            <w:noWrap/>
            <w:hideMark/>
          </w:tcPr>
          <w:p w14:paraId="3AAAC1BE" w14:textId="77777777" w:rsidR="00CE370C" w:rsidRPr="008051DC" w:rsidRDefault="00CE370C" w:rsidP="00790A5F">
            <w:pPr>
              <w:spacing w:line="480" w:lineRule="auto"/>
              <w:rPr>
                <w:rFonts w:ascii="Verdana" w:hAnsi="Verdana"/>
              </w:rPr>
            </w:pPr>
            <w:r w:rsidRPr="008051DC">
              <w:rPr>
                <w:rFonts w:ascii="Verdana" w:hAnsi="Verdana"/>
              </w:rPr>
              <w:t>11.59</w:t>
            </w:r>
          </w:p>
        </w:tc>
      </w:tr>
      <w:tr w:rsidR="00CE370C" w:rsidRPr="008051DC" w14:paraId="3F053B9E" w14:textId="77777777" w:rsidTr="006F362D">
        <w:trPr>
          <w:trHeight w:val="307"/>
          <w:jc w:val="center"/>
        </w:trPr>
        <w:tc>
          <w:tcPr>
            <w:tcW w:w="4495" w:type="dxa"/>
            <w:noWrap/>
            <w:hideMark/>
          </w:tcPr>
          <w:p w14:paraId="3A3BEAD9" w14:textId="77777777" w:rsidR="00CE370C" w:rsidRPr="008051DC" w:rsidRDefault="00CE370C" w:rsidP="00790A5F">
            <w:pPr>
              <w:spacing w:line="480" w:lineRule="auto"/>
              <w:rPr>
                <w:rFonts w:ascii="Verdana" w:hAnsi="Verdana"/>
                <w:b/>
                <w:bCs/>
              </w:rPr>
            </w:pPr>
            <w:r w:rsidRPr="008051DC">
              <w:rPr>
                <w:rFonts w:ascii="Verdana" w:hAnsi="Verdana"/>
                <w:b/>
                <w:bCs/>
              </w:rPr>
              <w:t>Building Products</w:t>
            </w:r>
          </w:p>
        </w:tc>
        <w:tc>
          <w:tcPr>
            <w:tcW w:w="1350" w:type="dxa"/>
            <w:noWrap/>
            <w:hideMark/>
          </w:tcPr>
          <w:p w14:paraId="27AD4F11" w14:textId="77777777" w:rsidR="00CE370C" w:rsidRPr="008051DC" w:rsidRDefault="00CE370C" w:rsidP="00790A5F">
            <w:pPr>
              <w:spacing w:line="480" w:lineRule="auto"/>
              <w:rPr>
                <w:rFonts w:ascii="Verdana" w:hAnsi="Verdana"/>
              </w:rPr>
            </w:pPr>
            <w:r w:rsidRPr="008051DC">
              <w:rPr>
                <w:rFonts w:ascii="Verdana" w:hAnsi="Verdana"/>
              </w:rPr>
              <w:t>18</w:t>
            </w:r>
          </w:p>
        </w:tc>
        <w:tc>
          <w:tcPr>
            <w:tcW w:w="2880" w:type="dxa"/>
            <w:noWrap/>
            <w:hideMark/>
          </w:tcPr>
          <w:p w14:paraId="3EBEF68C" w14:textId="77777777" w:rsidR="00CE370C" w:rsidRPr="008051DC" w:rsidRDefault="00CE370C" w:rsidP="00790A5F">
            <w:pPr>
              <w:spacing w:line="480" w:lineRule="auto"/>
              <w:rPr>
                <w:rFonts w:ascii="Verdana" w:hAnsi="Verdana"/>
              </w:rPr>
            </w:pPr>
            <w:r w:rsidRPr="008051DC">
              <w:rPr>
                <w:rFonts w:ascii="Verdana" w:hAnsi="Verdana"/>
              </w:rPr>
              <w:t>1.51</w:t>
            </w:r>
          </w:p>
        </w:tc>
      </w:tr>
      <w:tr w:rsidR="00CE370C" w:rsidRPr="008051DC" w14:paraId="379CD4BF" w14:textId="77777777" w:rsidTr="006F362D">
        <w:trPr>
          <w:trHeight w:val="307"/>
          <w:jc w:val="center"/>
        </w:trPr>
        <w:tc>
          <w:tcPr>
            <w:tcW w:w="4495" w:type="dxa"/>
            <w:noWrap/>
            <w:hideMark/>
          </w:tcPr>
          <w:p w14:paraId="46CCDF4F" w14:textId="77777777" w:rsidR="00CE370C" w:rsidRPr="008051DC" w:rsidRDefault="00CE370C" w:rsidP="00790A5F">
            <w:pPr>
              <w:spacing w:line="480" w:lineRule="auto"/>
              <w:rPr>
                <w:rFonts w:ascii="Verdana" w:hAnsi="Verdana"/>
                <w:b/>
                <w:bCs/>
              </w:rPr>
            </w:pPr>
            <w:r w:rsidRPr="008051DC">
              <w:rPr>
                <w:rFonts w:ascii="Verdana" w:hAnsi="Verdana"/>
                <w:b/>
                <w:bCs/>
              </w:rPr>
              <w:t>Railroads</w:t>
            </w:r>
          </w:p>
        </w:tc>
        <w:tc>
          <w:tcPr>
            <w:tcW w:w="1350" w:type="dxa"/>
            <w:noWrap/>
            <w:hideMark/>
          </w:tcPr>
          <w:p w14:paraId="3C9FBB68" w14:textId="77777777" w:rsidR="00CE370C" w:rsidRPr="008051DC" w:rsidRDefault="00CE370C" w:rsidP="00790A5F">
            <w:pPr>
              <w:spacing w:line="480" w:lineRule="auto"/>
              <w:rPr>
                <w:rFonts w:ascii="Verdana" w:hAnsi="Verdana"/>
              </w:rPr>
            </w:pPr>
            <w:r w:rsidRPr="008051DC">
              <w:rPr>
                <w:rFonts w:ascii="Verdana" w:hAnsi="Verdana"/>
              </w:rPr>
              <w:t>17</w:t>
            </w:r>
          </w:p>
        </w:tc>
        <w:tc>
          <w:tcPr>
            <w:tcW w:w="2880" w:type="dxa"/>
            <w:noWrap/>
            <w:hideMark/>
          </w:tcPr>
          <w:p w14:paraId="56E55939" w14:textId="77777777" w:rsidR="00CE370C" w:rsidRPr="008051DC" w:rsidRDefault="00CE370C" w:rsidP="00790A5F">
            <w:pPr>
              <w:spacing w:line="480" w:lineRule="auto"/>
              <w:rPr>
                <w:rFonts w:ascii="Verdana" w:hAnsi="Verdana"/>
              </w:rPr>
            </w:pPr>
            <w:r w:rsidRPr="008051DC">
              <w:rPr>
                <w:rFonts w:ascii="Verdana" w:hAnsi="Verdana"/>
              </w:rPr>
              <w:t>1.64</w:t>
            </w:r>
          </w:p>
        </w:tc>
      </w:tr>
      <w:tr w:rsidR="00CE370C" w:rsidRPr="008051DC" w14:paraId="138080F1" w14:textId="77777777" w:rsidTr="006F362D">
        <w:trPr>
          <w:trHeight w:val="307"/>
          <w:jc w:val="center"/>
        </w:trPr>
        <w:tc>
          <w:tcPr>
            <w:tcW w:w="4495" w:type="dxa"/>
            <w:noWrap/>
            <w:hideMark/>
          </w:tcPr>
          <w:p w14:paraId="169A7297" w14:textId="77777777" w:rsidR="00CE370C" w:rsidRPr="008051DC" w:rsidRDefault="00CE370C" w:rsidP="00790A5F">
            <w:pPr>
              <w:spacing w:line="480" w:lineRule="auto"/>
              <w:rPr>
                <w:rFonts w:ascii="Verdana" w:hAnsi="Verdana"/>
                <w:b/>
                <w:bCs/>
              </w:rPr>
            </w:pPr>
            <w:r w:rsidRPr="008051DC">
              <w:rPr>
                <w:rFonts w:ascii="Verdana" w:hAnsi="Verdana"/>
                <w:b/>
                <w:bCs/>
              </w:rPr>
              <w:t>Gas Utility - Pipelines</w:t>
            </w:r>
          </w:p>
        </w:tc>
        <w:tc>
          <w:tcPr>
            <w:tcW w:w="1350" w:type="dxa"/>
            <w:noWrap/>
            <w:hideMark/>
          </w:tcPr>
          <w:p w14:paraId="3E2ABE1B" w14:textId="77777777" w:rsidR="00CE370C" w:rsidRPr="008051DC" w:rsidRDefault="00CE370C" w:rsidP="00790A5F">
            <w:pPr>
              <w:spacing w:line="480" w:lineRule="auto"/>
              <w:rPr>
                <w:rFonts w:ascii="Verdana" w:hAnsi="Verdana"/>
              </w:rPr>
            </w:pPr>
            <w:r w:rsidRPr="008051DC">
              <w:rPr>
                <w:rFonts w:ascii="Verdana" w:hAnsi="Verdana"/>
              </w:rPr>
              <w:t>17</w:t>
            </w:r>
          </w:p>
        </w:tc>
        <w:tc>
          <w:tcPr>
            <w:tcW w:w="2880" w:type="dxa"/>
            <w:noWrap/>
            <w:hideMark/>
          </w:tcPr>
          <w:p w14:paraId="08CBF4F1" w14:textId="77777777" w:rsidR="00CE370C" w:rsidRPr="008051DC" w:rsidRDefault="00CE370C" w:rsidP="00790A5F">
            <w:pPr>
              <w:spacing w:line="480" w:lineRule="auto"/>
              <w:rPr>
                <w:rFonts w:ascii="Verdana" w:hAnsi="Verdana"/>
              </w:rPr>
            </w:pPr>
            <w:r w:rsidRPr="008051DC">
              <w:rPr>
                <w:rFonts w:ascii="Verdana" w:hAnsi="Verdana"/>
              </w:rPr>
              <w:t>0.05</w:t>
            </w:r>
          </w:p>
        </w:tc>
      </w:tr>
      <w:tr w:rsidR="00CE370C" w:rsidRPr="008051DC" w14:paraId="258F6E29" w14:textId="77777777" w:rsidTr="006F362D">
        <w:trPr>
          <w:trHeight w:val="307"/>
          <w:jc w:val="center"/>
        </w:trPr>
        <w:tc>
          <w:tcPr>
            <w:tcW w:w="4495" w:type="dxa"/>
            <w:noWrap/>
            <w:hideMark/>
          </w:tcPr>
          <w:p w14:paraId="43DF6AA7" w14:textId="77777777" w:rsidR="00CE370C" w:rsidRPr="008051DC" w:rsidRDefault="00CE370C" w:rsidP="00790A5F">
            <w:pPr>
              <w:spacing w:line="480" w:lineRule="auto"/>
              <w:rPr>
                <w:rFonts w:ascii="Verdana" w:hAnsi="Verdana"/>
                <w:b/>
                <w:bCs/>
              </w:rPr>
            </w:pPr>
            <w:r w:rsidRPr="008051DC">
              <w:rPr>
                <w:rFonts w:ascii="Verdana" w:hAnsi="Verdana"/>
                <w:b/>
                <w:bCs/>
              </w:rPr>
              <w:t>Electronics</w:t>
            </w:r>
          </w:p>
        </w:tc>
        <w:tc>
          <w:tcPr>
            <w:tcW w:w="1350" w:type="dxa"/>
            <w:noWrap/>
            <w:hideMark/>
          </w:tcPr>
          <w:p w14:paraId="6D0B5EFC" w14:textId="77777777" w:rsidR="00CE370C" w:rsidRPr="008051DC" w:rsidRDefault="00CE370C" w:rsidP="00790A5F">
            <w:pPr>
              <w:spacing w:line="480" w:lineRule="auto"/>
              <w:rPr>
                <w:rFonts w:ascii="Verdana" w:hAnsi="Verdana"/>
              </w:rPr>
            </w:pPr>
            <w:r w:rsidRPr="008051DC">
              <w:rPr>
                <w:rFonts w:ascii="Verdana" w:hAnsi="Verdana"/>
              </w:rPr>
              <w:t>15</w:t>
            </w:r>
          </w:p>
        </w:tc>
        <w:tc>
          <w:tcPr>
            <w:tcW w:w="2880" w:type="dxa"/>
            <w:noWrap/>
            <w:hideMark/>
          </w:tcPr>
          <w:p w14:paraId="6847CCF9" w14:textId="77777777" w:rsidR="00CE370C" w:rsidRPr="008051DC" w:rsidRDefault="00CE370C" w:rsidP="00790A5F">
            <w:pPr>
              <w:spacing w:line="480" w:lineRule="auto"/>
              <w:rPr>
                <w:rFonts w:ascii="Verdana" w:hAnsi="Verdana"/>
              </w:rPr>
            </w:pPr>
            <w:r w:rsidRPr="008051DC">
              <w:rPr>
                <w:rFonts w:ascii="Verdana" w:hAnsi="Verdana"/>
              </w:rPr>
              <w:t>6.18</w:t>
            </w:r>
          </w:p>
        </w:tc>
      </w:tr>
      <w:tr w:rsidR="00CE370C" w:rsidRPr="008051DC" w14:paraId="4554D70D" w14:textId="77777777" w:rsidTr="006F362D">
        <w:trPr>
          <w:trHeight w:val="307"/>
          <w:jc w:val="center"/>
        </w:trPr>
        <w:tc>
          <w:tcPr>
            <w:tcW w:w="4495" w:type="dxa"/>
            <w:noWrap/>
            <w:hideMark/>
          </w:tcPr>
          <w:p w14:paraId="0A81DE7C" w14:textId="77777777" w:rsidR="00CE370C" w:rsidRPr="008051DC" w:rsidRDefault="00CE370C" w:rsidP="00790A5F">
            <w:pPr>
              <w:spacing w:line="480" w:lineRule="auto"/>
              <w:rPr>
                <w:rFonts w:ascii="Verdana" w:hAnsi="Verdana"/>
                <w:b/>
                <w:bCs/>
              </w:rPr>
            </w:pPr>
            <w:r w:rsidRPr="008051DC">
              <w:rPr>
                <w:rFonts w:ascii="Verdana" w:hAnsi="Verdana"/>
                <w:b/>
                <w:bCs/>
              </w:rPr>
              <w:t>Leasing</w:t>
            </w:r>
          </w:p>
        </w:tc>
        <w:tc>
          <w:tcPr>
            <w:tcW w:w="1350" w:type="dxa"/>
            <w:noWrap/>
            <w:hideMark/>
          </w:tcPr>
          <w:p w14:paraId="3340E861" w14:textId="77777777" w:rsidR="00CE370C" w:rsidRPr="008051DC" w:rsidRDefault="00CE370C" w:rsidP="00790A5F">
            <w:pPr>
              <w:spacing w:line="480" w:lineRule="auto"/>
              <w:rPr>
                <w:rFonts w:ascii="Verdana" w:hAnsi="Verdana"/>
              </w:rPr>
            </w:pPr>
            <w:r w:rsidRPr="008051DC">
              <w:rPr>
                <w:rFonts w:ascii="Verdana" w:hAnsi="Verdana"/>
              </w:rPr>
              <w:t>14</w:t>
            </w:r>
          </w:p>
        </w:tc>
        <w:tc>
          <w:tcPr>
            <w:tcW w:w="2880" w:type="dxa"/>
            <w:noWrap/>
            <w:hideMark/>
          </w:tcPr>
          <w:p w14:paraId="5C1FA6F4" w14:textId="77777777" w:rsidR="00CE370C" w:rsidRPr="008051DC" w:rsidRDefault="00CE370C" w:rsidP="00790A5F">
            <w:pPr>
              <w:spacing w:line="480" w:lineRule="auto"/>
              <w:rPr>
                <w:rFonts w:ascii="Verdana" w:hAnsi="Verdana"/>
              </w:rPr>
            </w:pPr>
            <w:r w:rsidRPr="008051DC">
              <w:rPr>
                <w:rFonts w:ascii="Verdana" w:hAnsi="Verdana"/>
              </w:rPr>
              <w:t>2.08</w:t>
            </w:r>
          </w:p>
        </w:tc>
      </w:tr>
      <w:tr w:rsidR="00CE370C" w:rsidRPr="008051DC" w14:paraId="35EFA6AB" w14:textId="77777777" w:rsidTr="006F362D">
        <w:trPr>
          <w:trHeight w:val="307"/>
          <w:jc w:val="center"/>
        </w:trPr>
        <w:tc>
          <w:tcPr>
            <w:tcW w:w="4495" w:type="dxa"/>
            <w:noWrap/>
            <w:hideMark/>
          </w:tcPr>
          <w:p w14:paraId="62CAE397" w14:textId="77777777" w:rsidR="00CE370C" w:rsidRPr="008051DC" w:rsidRDefault="00CE370C" w:rsidP="00790A5F">
            <w:pPr>
              <w:spacing w:line="480" w:lineRule="auto"/>
              <w:rPr>
                <w:rFonts w:ascii="Verdana" w:hAnsi="Verdana"/>
                <w:b/>
                <w:bCs/>
              </w:rPr>
            </w:pPr>
            <w:r w:rsidRPr="008051DC">
              <w:rPr>
                <w:rFonts w:ascii="Verdana" w:hAnsi="Verdana"/>
                <w:b/>
                <w:bCs/>
              </w:rPr>
              <w:t>Mortgage Banking</w:t>
            </w:r>
          </w:p>
        </w:tc>
        <w:tc>
          <w:tcPr>
            <w:tcW w:w="1350" w:type="dxa"/>
            <w:noWrap/>
            <w:hideMark/>
          </w:tcPr>
          <w:p w14:paraId="1C89F7D7" w14:textId="77777777" w:rsidR="00CE370C" w:rsidRPr="008051DC" w:rsidRDefault="00CE370C" w:rsidP="00790A5F">
            <w:pPr>
              <w:spacing w:line="480" w:lineRule="auto"/>
              <w:rPr>
                <w:rFonts w:ascii="Verdana" w:hAnsi="Verdana"/>
              </w:rPr>
            </w:pPr>
            <w:r w:rsidRPr="008051DC">
              <w:rPr>
                <w:rFonts w:ascii="Verdana" w:hAnsi="Verdana"/>
              </w:rPr>
              <w:t>13</w:t>
            </w:r>
          </w:p>
        </w:tc>
        <w:tc>
          <w:tcPr>
            <w:tcW w:w="2880" w:type="dxa"/>
            <w:noWrap/>
            <w:hideMark/>
          </w:tcPr>
          <w:p w14:paraId="73F5C0BA" w14:textId="77777777" w:rsidR="00CE370C" w:rsidRPr="008051DC" w:rsidRDefault="00CE370C" w:rsidP="00790A5F">
            <w:pPr>
              <w:spacing w:line="480" w:lineRule="auto"/>
              <w:rPr>
                <w:rFonts w:ascii="Verdana" w:hAnsi="Verdana"/>
              </w:rPr>
            </w:pPr>
            <w:r w:rsidRPr="008051DC">
              <w:rPr>
                <w:rFonts w:ascii="Verdana" w:hAnsi="Verdana"/>
              </w:rPr>
              <w:t>7.66</w:t>
            </w:r>
          </w:p>
        </w:tc>
      </w:tr>
      <w:tr w:rsidR="00CE370C" w:rsidRPr="008051DC" w14:paraId="63181F7F" w14:textId="77777777" w:rsidTr="006F362D">
        <w:trPr>
          <w:trHeight w:val="307"/>
          <w:jc w:val="center"/>
        </w:trPr>
        <w:tc>
          <w:tcPr>
            <w:tcW w:w="4495" w:type="dxa"/>
            <w:noWrap/>
            <w:hideMark/>
          </w:tcPr>
          <w:p w14:paraId="45D9B4C7" w14:textId="77777777" w:rsidR="00CE370C" w:rsidRPr="008051DC" w:rsidRDefault="00CE370C" w:rsidP="00790A5F">
            <w:pPr>
              <w:spacing w:line="480" w:lineRule="auto"/>
              <w:rPr>
                <w:rFonts w:ascii="Verdana" w:hAnsi="Verdana"/>
                <w:b/>
                <w:bCs/>
              </w:rPr>
            </w:pPr>
            <w:r w:rsidRPr="008051DC">
              <w:rPr>
                <w:rFonts w:ascii="Verdana" w:hAnsi="Verdana"/>
                <w:b/>
                <w:bCs/>
              </w:rPr>
              <w:t>Machinery</w:t>
            </w:r>
          </w:p>
        </w:tc>
        <w:tc>
          <w:tcPr>
            <w:tcW w:w="1350" w:type="dxa"/>
            <w:noWrap/>
            <w:hideMark/>
          </w:tcPr>
          <w:p w14:paraId="4BF91B25" w14:textId="77777777" w:rsidR="00CE370C" w:rsidRPr="008051DC" w:rsidRDefault="00CE370C" w:rsidP="00790A5F">
            <w:pPr>
              <w:spacing w:line="480" w:lineRule="auto"/>
              <w:rPr>
                <w:rFonts w:ascii="Verdana" w:hAnsi="Verdana"/>
              </w:rPr>
            </w:pPr>
            <w:r w:rsidRPr="008051DC">
              <w:rPr>
                <w:rFonts w:ascii="Verdana" w:hAnsi="Verdana"/>
              </w:rPr>
              <w:t>7</w:t>
            </w:r>
          </w:p>
        </w:tc>
        <w:tc>
          <w:tcPr>
            <w:tcW w:w="2880" w:type="dxa"/>
            <w:noWrap/>
            <w:hideMark/>
          </w:tcPr>
          <w:p w14:paraId="2E934704" w14:textId="77777777" w:rsidR="00CE370C" w:rsidRPr="008051DC" w:rsidRDefault="00CE370C" w:rsidP="00790A5F">
            <w:pPr>
              <w:spacing w:line="480" w:lineRule="auto"/>
              <w:rPr>
                <w:rFonts w:ascii="Verdana" w:hAnsi="Verdana"/>
              </w:rPr>
            </w:pPr>
            <w:r w:rsidRPr="008051DC">
              <w:rPr>
                <w:rFonts w:ascii="Verdana" w:hAnsi="Verdana"/>
              </w:rPr>
              <w:t>1.67</w:t>
            </w:r>
          </w:p>
        </w:tc>
      </w:tr>
      <w:tr w:rsidR="00CE370C" w:rsidRPr="008051DC" w14:paraId="1AD59259" w14:textId="77777777" w:rsidTr="006F362D">
        <w:trPr>
          <w:trHeight w:val="307"/>
          <w:jc w:val="center"/>
        </w:trPr>
        <w:tc>
          <w:tcPr>
            <w:tcW w:w="4495" w:type="dxa"/>
            <w:noWrap/>
            <w:hideMark/>
          </w:tcPr>
          <w:p w14:paraId="2F7D2A12" w14:textId="77777777" w:rsidR="00CE370C" w:rsidRPr="008051DC" w:rsidRDefault="00CE370C" w:rsidP="00790A5F">
            <w:pPr>
              <w:spacing w:line="480" w:lineRule="auto"/>
              <w:rPr>
                <w:rFonts w:ascii="Verdana" w:hAnsi="Verdana"/>
                <w:b/>
                <w:bCs/>
              </w:rPr>
            </w:pPr>
            <w:r w:rsidRPr="008051DC">
              <w:rPr>
                <w:rFonts w:ascii="Verdana" w:hAnsi="Verdana"/>
                <w:b/>
                <w:bCs/>
              </w:rPr>
              <w:t>Retail Stores - Other</w:t>
            </w:r>
          </w:p>
        </w:tc>
        <w:tc>
          <w:tcPr>
            <w:tcW w:w="1350" w:type="dxa"/>
            <w:noWrap/>
            <w:hideMark/>
          </w:tcPr>
          <w:p w14:paraId="6FC3D3B2" w14:textId="77777777" w:rsidR="00CE370C" w:rsidRPr="008051DC" w:rsidRDefault="00CE370C" w:rsidP="00790A5F">
            <w:pPr>
              <w:spacing w:line="480" w:lineRule="auto"/>
              <w:rPr>
                <w:rFonts w:ascii="Verdana" w:hAnsi="Verdana"/>
              </w:rPr>
            </w:pPr>
            <w:r w:rsidRPr="008051DC">
              <w:rPr>
                <w:rFonts w:ascii="Verdana" w:hAnsi="Verdana"/>
              </w:rPr>
              <w:t>7</w:t>
            </w:r>
          </w:p>
        </w:tc>
        <w:tc>
          <w:tcPr>
            <w:tcW w:w="2880" w:type="dxa"/>
            <w:noWrap/>
            <w:hideMark/>
          </w:tcPr>
          <w:p w14:paraId="469D47BA" w14:textId="77777777" w:rsidR="00CE370C" w:rsidRPr="008051DC" w:rsidRDefault="00CE370C" w:rsidP="00790A5F">
            <w:pPr>
              <w:spacing w:line="480" w:lineRule="auto"/>
              <w:rPr>
                <w:rFonts w:ascii="Verdana" w:hAnsi="Verdana"/>
              </w:rPr>
            </w:pPr>
            <w:r w:rsidRPr="008051DC">
              <w:rPr>
                <w:rFonts w:ascii="Verdana" w:hAnsi="Verdana"/>
              </w:rPr>
              <w:t>1.30</w:t>
            </w:r>
          </w:p>
        </w:tc>
      </w:tr>
      <w:tr w:rsidR="00CE370C" w:rsidRPr="008051DC" w14:paraId="5B68220E" w14:textId="77777777" w:rsidTr="006F362D">
        <w:trPr>
          <w:trHeight w:val="307"/>
          <w:jc w:val="center"/>
        </w:trPr>
        <w:tc>
          <w:tcPr>
            <w:tcW w:w="4495" w:type="dxa"/>
            <w:noWrap/>
            <w:hideMark/>
          </w:tcPr>
          <w:p w14:paraId="0E5C29C4" w14:textId="77777777" w:rsidR="00CE370C" w:rsidRPr="008051DC" w:rsidRDefault="00CE370C" w:rsidP="00790A5F">
            <w:pPr>
              <w:spacing w:line="480" w:lineRule="auto"/>
              <w:rPr>
                <w:rFonts w:ascii="Verdana" w:hAnsi="Verdana"/>
                <w:b/>
                <w:bCs/>
              </w:rPr>
            </w:pPr>
            <w:r w:rsidRPr="008051DC">
              <w:rPr>
                <w:rFonts w:ascii="Verdana" w:hAnsi="Verdana"/>
                <w:b/>
                <w:bCs/>
              </w:rPr>
              <w:t xml:space="preserve">Conglomerate/Diversified </w:t>
            </w:r>
            <w:proofErr w:type="spellStart"/>
            <w:r w:rsidRPr="008051DC">
              <w:rPr>
                <w:rFonts w:ascii="Verdana" w:hAnsi="Verdana"/>
                <w:b/>
                <w:bCs/>
              </w:rPr>
              <w:t>Mfg</w:t>
            </w:r>
            <w:proofErr w:type="spellEnd"/>
          </w:p>
        </w:tc>
        <w:tc>
          <w:tcPr>
            <w:tcW w:w="1350" w:type="dxa"/>
            <w:noWrap/>
            <w:hideMark/>
          </w:tcPr>
          <w:p w14:paraId="00BAF7FC" w14:textId="77777777" w:rsidR="00CE370C" w:rsidRPr="008051DC" w:rsidRDefault="00CE370C" w:rsidP="00790A5F">
            <w:pPr>
              <w:spacing w:line="480" w:lineRule="auto"/>
              <w:rPr>
                <w:rFonts w:ascii="Verdana" w:hAnsi="Verdana"/>
              </w:rPr>
            </w:pPr>
            <w:r w:rsidRPr="008051DC">
              <w:rPr>
                <w:rFonts w:ascii="Verdana" w:hAnsi="Verdana"/>
              </w:rPr>
              <w:t>7</w:t>
            </w:r>
          </w:p>
        </w:tc>
        <w:tc>
          <w:tcPr>
            <w:tcW w:w="2880" w:type="dxa"/>
            <w:noWrap/>
            <w:hideMark/>
          </w:tcPr>
          <w:p w14:paraId="1FC81F5E" w14:textId="77777777" w:rsidR="00CE370C" w:rsidRPr="008051DC" w:rsidRDefault="00CE370C" w:rsidP="00790A5F">
            <w:pPr>
              <w:spacing w:line="480" w:lineRule="auto"/>
              <w:rPr>
                <w:rFonts w:ascii="Verdana" w:hAnsi="Verdana"/>
              </w:rPr>
            </w:pPr>
            <w:r w:rsidRPr="008051DC">
              <w:rPr>
                <w:rFonts w:ascii="Verdana" w:hAnsi="Verdana"/>
              </w:rPr>
              <w:t>1.17</w:t>
            </w:r>
          </w:p>
        </w:tc>
      </w:tr>
      <w:tr w:rsidR="00CE370C" w:rsidRPr="008051DC" w14:paraId="6C2A7B08" w14:textId="77777777" w:rsidTr="006F362D">
        <w:trPr>
          <w:trHeight w:val="307"/>
          <w:jc w:val="center"/>
        </w:trPr>
        <w:tc>
          <w:tcPr>
            <w:tcW w:w="4495" w:type="dxa"/>
            <w:noWrap/>
            <w:hideMark/>
          </w:tcPr>
          <w:p w14:paraId="44EF4E50" w14:textId="77777777" w:rsidR="00CE370C" w:rsidRPr="008051DC" w:rsidRDefault="00CE370C" w:rsidP="00790A5F">
            <w:pPr>
              <w:spacing w:line="480" w:lineRule="auto"/>
              <w:rPr>
                <w:rFonts w:ascii="Verdana" w:hAnsi="Verdana"/>
                <w:b/>
                <w:bCs/>
              </w:rPr>
            </w:pPr>
            <w:r w:rsidRPr="008051DC">
              <w:rPr>
                <w:rFonts w:ascii="Verdana" w:hAnsi="Verdana"/>
                <w:b/>
                <w:bCs/>
              </w:rPr>
              <w:t>Chemicals</w:t>
            </w:r>
          </w:p>
        </w:tc>
        <w:tc>
          <w:tcPr>
            <w:tcW w:w="1350" w:type="dxa"/>
            <w:noWrap/>
            <w:hideMark/>
          </w:tcPr>
          <w:p w14:paraId="2B9C1F57" w14:textId="77777777" w:rsidR="00CE370C" w:rsidRPr="008051DC" w:rsidRDefault="00CE370C" w:rsidP="00790A5F">
            <w:pPr>
              <w:spacing w:line="480" w:lineRule="auto"/>
              <w:rPr>
                <w:rFonts w:ascii="Verdana" w:hAnsi="Verdana"/>
              </w:rPr>
            </w:pPr>
            <w:r w:rsidRPr="008051DC">
              <w:rPr>
                <w:rFonts w:ascii="Verdana" w:hAnsi="Verdana"/>
              </w:rPr>
              <w:t>7</w:t>
            </w:r>
          </w:p>
        </w:tc>
        <w:tc>
          <w:tcPr>
            <w:tcW w:w="2880" w:type="dxa"/>
            <w:noWrap/>
            <w:hideMark/>
          </w:tcPr>
          <w:p w14:paraId="1F6B2300" w14:textId="77777777" w:rsidR="00CE370C" w:rsidRPr="008051DC" w:rsidRDefault="00CE370C" w:rsidP="00790A5F">
            <w:pPr>
              <w:spacing w:line="480" w:lineRule="auto"/>
              <w:rPr>
                <w:rFonts w:ascii="Verdana" w:hAnsi="Verdana"/>
              </w:rPr>
            </w:pPr>
            <w:r w:rsidRPr="008051DC">
              <w:rPr>
                <w:rFonts w:ascii="Verdana" w:hAnsi="Verdana"/>
              </w:rPr>
              <w:t>3.17</w:t>
            </w:r>
          </w:p>
        </w:tc>
      </w:tr>
      <w:tr w:rsidR="00CE370C" w:rsidRPr="008051DC" w14:paraId="232CA8BD" w14:textId="77777777" w:rsidTr="006F362D">
        <w:trPr>
          <w:trHeight w:val="307"/>
          <w:jc w:val="center"/>
        </w:trPr>
        <w:tc>
          <w:tcPr>
            <w:tcW w:w="4495" w:type="dxa"/>
            <w:noWrap/>
            <w:hideMark/>
          </w:tcPr>
          <w:p w14:paraId="34BEDF6A" w14:textId="77777777" w:rsidR="00CE370C" w:rsidRPr="008051DC" w:rsidRDefault="00CE370C" w:rsidP="00790A5F">
            <w:pPr>
              <w:spacing w:line="480" w:lineRule="auto"/>
              <w:rPr>
                <w:rFonts w:ascii="Verdana" w:hAnsi="Verdana"/>
                <w:b/>
                <w:bCs/>
              </w:rPr>
            </w:pPr>
            <w:r w:rsidRPr="008051DC">
              <w:rPr>
                <w:rFonts w:ascii="Verdana" w:hAnsi="Verdana"/>
                <w:b/>
                <w:bCs/>
              </w:rPr>
              <w:t>Life Insurance</w:t>
            </w:r>
          </w:p>
        </w:tc>
        <w:tc>
          <w:tcPr>
            <w:tcW w:w="1350" w:type="dxa"/>
            <w:noWrap/>
            <w:hideMark/>
          </w:tcPr>
          <w:p w14:paraId="198DA294" w14:textId="77777777" w:rsidR="00CE370C" w:rsidRPr="008051DC" w:rsidRDefault="00CE370C" w:rsidP="00790A5F">
            <w:pPr>
              <w:spacing w:line="480" w:lineRule="auto"/>
              <w:rPr>
                <w:rFonts w:ascii="Verdana" w:hAnsi="Verdana"/>
              </w:rPr>
            </w:pPr>
            <w:r w:rsidRPr="008051DC">
              <w:rPr>
                <w:rFonts w:ascii="Verdana" w:hAnsi="Verdana"/>
              </w:rPr>
              <w:t>7</w:t>
            </w:r>
          </w:p>
        </w:tc>
        <w:tc>
          <w:tcPr>
            <w:tcW w:w="2880" w:type="dxa"/>
            <w:noWrap/>
            <w:hideMark/>
          </w:tcPr>
          <w:p w14:paraId="69A2BCAA" w14:textId="77777777" w:rsidR="00CE370C" w:rsidRPr="008051DC" w:rsidRDefault="00CE370C" w:rsidP="00790A5F">
            <w:pPr>
              <w:spacing w:line="480" w:lineRule="auto"/>
              <w:rPr>
                <w:rFonts w:ascii="Verdana" w:hAnsi="Verdana"/>
              </w:rPr>
            </w:pPr>
            <w:r w:rsidRPr="008051DC">
              <w:rPr>
                <w:rFonts w:ascii="Verdana" w:hAnsi="Verdana"/>
              </w:rPr>
              <w:t>3.15</w:t>
            </w:r>
          </w:p>
        </w:tc>
      </w:tr>
      <w:tr w:rsidR="00CE370C" w:rsidRPr="008051DC" w14:paraId="0C3FE39F" w14:textId="77777777" w:rsidTr="006F362D">
        <w:trPr>
          <w:trHeight w:val="307"/>
          <w:jc w:val="center"/>
        </w:trPr>
        <w:tc>
          <w:tcPr>
            <w:tcW w:w="4495" w:type="dxa"/>
            <w:noWrap/>
            <w:hideMark/>
          </w:tcPr>
          <w:p w14:paraId="0352327B" w14:textId="77777777" w:rsidR="00CE370C" w:rsidRPr="008051DC" w:rsidRDefault="00CE370C" w:rsidP="00790A5F">
            <w:pPr>
              <w:spacing w:line="480" w:lineRule="auto"/>
              <w:rPr>
                <w:rFonts w:ascii="Verdana" w:hAnsi="Verdana"/>
                <w:b/>
                <w:bCs/>
              </w:rPr>
            </w:pPr>
            <w:r w:rsidRPr="008051DC">
              <w:rPr>
                <w:rFonts w:ascii="Verdana" w:hAnsi="Verdana"/>
                <w:b/>
                <w:bCs/>
              </w:rPr>
              <w:t>Industrials - Other</w:t>
            </w:r>
          </w:p>
        </w:tc>
        <w:tc>
          <w:tcPr>
            <w:tcW w:w="1350" w:type="dxa"/>
            <w:noWrap/>
            <w:hideMark/>
          </w:tcPr>
          <w:p w14:paraId="036747AB" w14:textId="77777777" w:rsidR="00CE370C" w:rsidRPr="008051DC" w:rsidRDefault="00CE370C" w:rsidP="00790A5F">
            <w:pPr>
              <w:spacing w:line="480" w:lineRule="auto"/>
              <w:rPr>
                <w:rFonts w:ascii="Verdana" w:hAnsi="Verdana"/>
              </w:rPr>
            </w:pPr>
            <w:r w:rsidRPr="008051DC">
              <w:rPr>
                <w:rFonts w:ascii="Verdana" w:hAnsi="Verdana"/>
              </w:rPr>
              <w:t>7</w:t>
            </w:r>
          </w:p>
        </w:tc>
        <w:tc>
          <w:tcPr>
            <w:tcW w:w="2880" w:type="dxa"/>
            <w:noWrap/>
            <w:hideMark/>
          </w:tcPr>
          <w:p w14:paraId="2C351A54" w14:textId="77777777" w:rsidR="00CE370C" w:rsidRPr="008051DC" w:rsidRDefault="00CE370C" w:rsidP="00790A5F">
            <w:pPr>
              <w:spacing w:line="480" w:lineRule="auto"/>
              <w:rPr>
                <w:rFonts w:ascii="Verdana" w:hAnsi="Verdana"/>
              </w:rPr>
            </w:pPr>
            <w:r w:rsidRPr="008051DC">
              <w:rPr>
                <w:rFonts w:ascii="Verdana" w:hAnsi="Verdana"/>
              </w:rPr>
              <w:t>2.74</w:t>
            </w:r>
          </w:p>
        </w:tc>
      </w:tr>
      <w:tr w:rsidR="00CE370C" w:rsidRPr="008051DC" w14:paraId="35B2745E" w14:textId="77777777" w:rsidTr="006F362D">
        <w:trPr>
          <w:trHeight w:val="307"/>
          <w:jc w:val="center"/>
        </w:trPr>
        <w:tc>
          <w:tcPr>
            <w:tcW w:w="4495" w:type="dxa"/>
            <w:noWrap/>
            <w:hideMark/>
          </w:tcPr>
          <w:p w14:paraId="0A0C1090" w14:textId="77777777" w:rsidR="00CE370C" w:rsidRPr="008051DC" w:rsidRDefault="00CE370C" w:rsidP="00790A5F">
            <w:pPr>
              <w:spacing w:line="480" w:lineRule="auto"/>
              <w:rPr>
                <w:rFonts w:ascii="Verdana" w:hAnsi="Verdana"/>
                <w:b/>
                <w:bCs/>
              </w:rPr>
            </w:pPr>
            <w:r w:rsidRPr="008051DC">
              <w:rPr>
                <w:rFonts w:ascii="Verdana" w:hAnsi="Verdana"/>
                <w:b/>
                <w:bCs/>
              </w:rPr>
              <w:t xml:space="preserve">Gas Utility - Local </w:t>
            </w:r>
            <w:proofErr w:type="spellStart"/>
            <w:r w:rsidRPr="008051DC">
              <w:rPr>
                <w:rFonts w:ascii="Verdana" w:hAnsi="Verdana"/>
                <w:b/>
                <w:bCs/>
              </w:rPr>
              <w:t>Distrib</w:t>
            </w:r>
            <w:proofErr w:type="spellEnd"/>
          </w:p>
        </w:tc>
        <w:tc>
          <w:tcPr>
            <w:tcW w:w="1350" w:type="dxa"/>
            <w:noWrap/>
            <w:hideMark/>
          </w:tcPr>
          <w:p w14:paraId="0BE40C37" w14:textId="77777777" w:rsidR="00CE370C" w:rsidRPr="008051DC" w:rsidRDefault="00CE370C" w:rsidP="00790A5F">
            <w:pPr>
              <w:spacing w:line="480" w:lineRule="auto"/>
              <w:rPr>
                <w:rFonts w:ascii="Verdana" w:hAnsi="Verdana"/>
              </w:rPr>
            </w:pPr>
            <w:r w:rsidRPr="008051DC">
              <w:rPr>
                <w:rFonts w:ascii="Verdana" w:hAnsi="Verdana"/>
              </w:rPr>
              <w:t>4</w:t>
            </w:r>
          </w:p>
        </w:tc>
        <w:tc>
          <w:tcPr>
            <w:tcW w:w="2880" w:type="dxa"/>
            <w:noWrap/>
            <w:hideMark/>
          </w:tcPr>
          <w:p w14:paraId="46B55609" w14:textId="77777777" w:rsidR="00CE370C" w:rsidRPr="008051DC" w:rsidRDefault="00CE370C" w:rsidP="00790A5F">
            <w:pPr>
              <w:spacing w:line="480" w:lineRule="auto"/>
              <w:rPr>
                <w:rFonts w:ascii="Verdana" w:hAnsi="Verdana"/>
              </w:rPr>
            </w:pPr>
            <w:r w:rsidRPr="008051DC">
              <w:rPr>
                <w:rFonts w:ascii="Verdana" w:hAnsi="Verdana"/>
              </w:rPr>
              <w:t>1.38</w:t>
            </w:r>
          </w:p>
        </w:tc>
      </w:tr>
      <w:tr w:rsidR="00CE370C" w:rsidRPr="008051DC" w14:paraId="75FFAB35" w14:textId="77777777" w:rsidTr="006F362D">
        <w:trPr>
          <w:trHeight w:val="307"/>
          <w:jc w:val="center"/>
        </w:trPr>
        <w:tc>
          <w:tcPr>
            <w:tcW w:w="4495" w:type="dxa"/>
            <w:noWrap/>
            <w:hideMark/>
          </w:tcPr>
          <w:p w14:paraId="1A271B42" w14:textId="77777777" w:rsidR="00CE370C" w:rsidRPr="008051DC" w:rsidRDefault="00CE370C" w:rsidP="00790A5F">
            <w:pPr>
              <w:spacing w:line="480" w:lineRule="auto"/>
              <w:rPr>
                <w:rFonts w:ascii="Verdana" w:hAnsi="Verdana"/>
                <w:b/>
                <w:bCs/>
              </w:rPr>
            </w:pPr>
            <w:r w:rsidRPr="008051DC">
              <w:rPr>
                <w:rFonts w:ascii="Verdana" w:hAnsi="Verdana"/>
                <w:b/>
                <w:bCs/>
              </w:rPr>
              <w:t>Other</w:t>
            </w:r>
          </w:p>
        </w:tc>
        <w:tc>
          <w:tcPr>
            <w:tcW w:w="1350" w:type="dxa"/>
            <w:noWrap/>
            <w:hideMark/>
          </w:tcPr>
          <w:p w14:paraId="694D7609" w14:textId="77777777" w:rsidR="00CE370C" w:rsidRPr="008051DC" w:rsidRDefault="00CE370C" w:rsidP="00790A5F">
            <w:pPr>
              <w:spacing w:line="480" w:lineRule="auto"/>
              <w:rPr>
                <w:rFonts w:ascii="Verdana" w:hAnsi="Verdana"/>
              </w:rPr>
            </w:pPr>
            <w:r w:rsidRPr="008051DC">
              <w:rPr>
                <w:rFonts w:ascii="Verdana" w:hAnsi="Verdana"/>
              </w:rPr>
              <w:t>22</w:t>
            </w:r>
          </w:p>
        </w:tc>
        <w:tc>
          <w:tcPr>
            <w:tcW w:w="2880" w:type="dxa"/>
            <w:noWrap/>
            <w:hideMark/>
          </w:tcPr>
          <w:p w14:paraId="5BB626E9" w14:textId="77777777" w:rsidR="00CE370C" w:rsidRPr="008051DC" w:rsidRDefault="00CE370C" w:rsidP="00790A5F">
            <w:pPr>
              <w:spacing w:line="480" w:lineRule="auto"/>
              <w:rPr>
                <w:rFonts w:ascii="Verdana" w:hAnsi="Verdana"/>
              </w:rPr>
            </w:pPr>
            <w:r w:rsidRPr="008051DC">
              <w:rPr>
                <w:rFonts w:ascii="Verdana" w:hAnsi="Verdana"/>
              </w:rPr>
              <w:t>6.21</w:t>
            </w:r>
          </w:p>
        </w:tc>
      </w:tr>
      <w:tr w:rsidR="003B0B12" w:rsidRPr="008051DC" w14:paraId="1B17789D" w14:textId="77777777" w:rsidTr="006F362D">
        <w:trPr>
          <w:trHeight w:val="307"/>
          <w:jc w:val="center"/>
        </w:trPr>
        <w:tc>
          <w:tcPr>
            <w:tcW w:w="4495" w:type="dxa"/>
            <w:noWrap/>
          </w:tcPr>
          <w:p w14:paraId="50EACB07" w14:textId="0962F994" w:rsidR="003B0B12" w:rsidRPr="008051DC" w:rsidRDefault="003B0B12" w:rsidP="00790A5F">
            <w:pPr>
              <w:spacing w:line="480" w:lineRule="auto"/>
              <w:rPr>
                <w:rFonts w:ascii="Verdana" w:hAnsi="Verdana"/>
                <w:b/>
                <w:bCs/>
              </w:rPr>
            </w:pPr>
            <w:r w:rsidRPr="008051DC">
              <w:rPr>
                <w:rFonts w:ascii="Verdana" w:hAnsi="Verdana"/>
                <w:b/>
                <w:bCs/>
              </w:rPr>
              <w:t>Total</w:t>
            </w:r>
          </w:p>
        </w:tc>
        <w:tc>
          <w:tcPr>
            <w:tcW w:w="1350" w:type="dxa"/>
            <w:noWrap/>
          </w:tcPr>
          <w:p w14:paraId="5A7BB8B6" w14:textId="3061FC77" w:rsidR="003B0B12" w:rsidRPr="008051DC" w:rsidRDefault="003B0B12" w:rsidP="00790A5F">
            <w:pPr>
              <w:spacing w:line="480" w:lineRule="auto"/>
              <w:rPr>
                <w:rFonts w:ascii="Verdana" w:hAnsi="Verdana"/>
              </w:rPr>
            </w:pPr>
            <w:r w:rsidRPr="008051DC">
              <w:rPr>
                <w:rFonts w:ascii="Verdana" w:hAnsi="Verdana"/>
              </w:rPr>
              <w:t>1805</w:t>
            </w:r>
          </w:p>
        </w:tc>
        <w:tc>
          <w:tcPr>
            <w:tcW w:w="2880" w:type="dxa"/>
            <w:noWrap/>
          </w:tcPr>
          <w:p w14:paraId="576A10E8" w14:textId="1829AD30" w:rsidR="003B0B12" w:rsidRPr="008051DC" w:rsidRDefault="003B0B12" w:rsidP="00790A5F">
            <w:pPr>
              <w:spacing w:line="480" w:lineRule="auto"/>
              <w:rPr>
                <w:rFonts w:ascii="Verdana" w:hAnsi="Verdana"/>
              </w:rPr>
            </w:pPr>
            <w:r w:rsidRPr="008051DC">
              <w:rPr>
                <w:rFonts w:ascii="Verdana" w:hAnsi="Verdana"/>
              </w:rPr>
              <w:t>509.04</w:t>
            </w:r>
          </w:p>
        </w:tc>
      </w:tr>
    </w:tbl>
    <w:p w14:paraId="5DA5280F" w14:textId="77777777" w:rsidR="00137432" w:rsidRPr="008051DC" w:rsidRDefault="00137432" w:rsidP="00790A5F">
      <w:pPr>
        <w:spacing w:line="480" w:lineRule="auto"/>
        <w:rPr>
          <w:rFonts w:ascii="Verdana" w:hAnsi="Verdana"/>
          <w:sz w:val="24"/>
          <w:szCs w:val="24"/>
        </w:rPr>
      </w:pPr>
    </w:p>
    <w:p w14:paraId="23FEAE67" w14:textId="77777777" w:rsidR="00137432" w:rsidRPr="008051DC" w:rsidRDefault="00137432" w:rsidP="00790A5F">
      <w:pPr>
        <w:spacing w:line="480" w:lineRule="auto"/>
        <w:rPr>
          <w:rFonts w:ascii="Verdana" w:hAnsi="Verdana"/>
          <w:sz w:val="24"/>
          <w:szCs w:val="24"/>
        </w:rPr>
      </w:pPr>
      <w:r w:rsidRPr="008051DC">
        <w:rPr>
          <w:rFonts w:ascii="Verdana" w:hAnsi="Verdana"/>
          <w:sz w:val="24"/>
          <w:szCs w:val="24"/>
        </w:rPr>
        <w:t xml:space="preserve">As it could be anticipated, sectors where the environment plays a big role (like Utilities, Home Builders, and Real Estate Investment) represent almost half of the total green bonds. </w:t>
      </w:r>
    </w:p>
    <w:p w14:paraId="6F48198E" w14:textId="4799A3AC" w:rsidR="00606DFE" w:rsidRPr="008051DC" w:rsidRDefault="00376D94" w:rsidP="00790A5F">
      <w:pPr>
        <w:spacing w:line="480" w:lineRule="auto"/>
        <w:rPr>
          <w:rFonts w:ascii="Verdana" w:hAnsi="Verdana"/>
          <w:sz w:val="24"/>
          <w:szCs w:val="24"/>
        </w:rPr>
      </w:pPr>
      <w:r w:rsidRPr="008051DC">
        <w:rPr>
          <w:rFonts w:ascii="Verdana" w:hAnsi="Verdana"/>
          <w:sz w:val="24"/>
          <w:szCs w:val="24"/>
        </w:rPr>
        <w:lastRenderedPageBreak/>
        <w:t xml:space="preserve">Moreover, it can be interesting to notice that Agency companies (that are state-owned companies) are the fourth most represented sector. This shows that government businesses enterprises still play a very important role in the green bond market, as </w:t>
      </w:r>
      <w:r w:rsidR="00137432" w:rsidRPr="008051DC">
        <w:rPr>
          <w:rFonts w:ascii="Verdana" w:hAnsi="Verdana"/>
          <w:sz w:val="24"/>
          <w:szCs w:val="24"/>
        </w:rPr>
        <w:t xml:space="preserve">on average </w:t>
      </w:r>
      <w:r w:rsidRPr="008051DC">
        <w:rPr>
          <w:rFonts w:ascii="Verdana" w:hAnsi="Verdana"/>
          <w:sz w:val="24"/>
          <w:szCs w:val="24"/>
        </w:rPr>
        <w:t>they are more interested in environmental-friendly operations</w:t>
      </w:r>
      <w:r w:rsidR="00137432" w:rsidRPr="008051DC">
        <w:rPr>
          <w:rFonts w:ascii="Verdana" w:hAnsi="Verdana"/>
          <w:sz w:val="24"/>
          <w:szCs w:val="24"/>
        </w:rPr>
        <w:t xml:space="preserve"> than privately owned firms</w:t>
      </w:r>
      <w:r w:rsidR="00137432" w:rsidRPr="008051DC">
        <w:rPr>
          <w:rStyle w:val="FootnoteReference"/>
          <w:rFonts w:ascii="Verdana" w:hAnsi="Verdana"/>
          <w:sz w:val="24"/>
          <w:szCs w:val="24"/>
        </w:rPr>
        <w:footnoteReference w:id="9"/>
      </w:r>
      <w:r w:rsidRPr="008051DC">
        <w:rPr>
          <w:rFonts w:ascii="Verdana" w:hAnsi="Verdana"/>
          <w:sz w:val="24"/>
          <w:szCs w:val="24"/>
        </w:rPr>
        <w:t>.</w:t>
      </w:r>
    </w:p>
    <w:p w14:paraId="09848F99" w14:textId="7660C376" w:rsidR="00606DFE" w:rsidRPr="008051DC" w:rsidRDefault="00606DFE" w:rsidP="00790A5F">
      <w:pPr>
        <w:spacing w:line="480" w:lineRule="auto"/>
        <w:rPr>
          <w:rFonts w:ascii="Verdana" w:hAnsi="Verdana"/>
          <w:sz w:val="24"/>
          <w:szCs w:val="24"/>
        </w:rPr>
      </w:pPr>
      <w:r w:rsidRPr="008051DC">
        <w:rPr>
          <w:rFonts w:ascii="Verdana" w:hAnsi="Verdana"/>
          <w:sz w:val="24"/>
          <w:szCs w:val="24"/>
        </w:rPr>
        <w:t>Table 3 shows the breakdown of corporate green bonds by country, sorted by amount issued. China is the biggest market for green bonds, followed by France, Germany and United States. As a matter of fact, China is on the forefront of the green bonds trend, also thanks to the 13</w:t>
      </w:r>
      <w:r w:rsidRPr="008051DC">
        <w:rPr>
          <w:rFonts w:ascii="Verdana" w:hAnsi="Verdana"/>
          <w:sz w:val="24"/>
          <w:szCs w:val="24"/>
          <w:vertAlign w:val="superscript"/>
        </w:rPr>
        <w:t>th</w:t>
      </w:r>
      <w:r w:rsidRPr="008051DC">
        <w:rPr>
          <w:rFonts w:ascii="Verdana" w:hAnsi="Verdana"/>
          <w:sz w:val="24"/>
          <w:szCs w:val="24"/>
        </w:rPr>
        <w:t xml:space="preserve"> Five Years Plan</w:t>
      </w:r>
      <w:r w:rsidR="00434D62" w:rsidRPr="008051DC">
        <w:rPr>
          <w:rFonts w:ascii="Verdana" w:hAnsi="Verdana"/>
          <w:sz w:val="24"/>
          <w:szCs w:val="24"/>
        </w:rPr>
        <w:t xml:space="preserve">’s outlines </w:t>
      </w:r>
      <w:r w:rsidRPr="008051DC">
        <w:rPr>
          <w:rFonts w:ascii="Verdana" w:hAnsi="Verdana"/>
          <w:sz w:val="24"/>
          <w:szCs w:val="24"/>
        </w:rPr>
        <w:t xml:space="preserve">to </w:t>
      </w:r>
      <w:r w:rsidR="00434D62" w:rsidRPr="008051DC">
        <w:rPr>
          <w:rFonts w:ascii="Verdana" w:hAnsi="Verdana"/>
          <w:sz w:val="24"/>
          <w:szCs w:val="24"/>
        </w:rPr>
        <w:t>solve</w:t>
      </w:r>
      <w:r w:rsidRPr="008051DC">
        <w:rPr>
          <w:rFonts w:ascii="Verdana" w:hAnsi="Verdana"/>
          <w:sz w:val="24"/>
          <w:szCs w:val="24"/>
        </w:rPr>
        <w:t xml:space="preserve"> China’s </w:t>
      </w:r>
      <w:r w:rsidR="00434D62" w:rsidRPr="008051DC">
        <w:rPr>
          <w:rFonts w:ascii="Verdana" w:hAnsi="Verdana"/>
          <w:sz w:val="24"/>
          <w:szCs w:val="24"/>
        </w:rPr>
        <w:t>worrying</w:t>
      </w:r>
      <w:r w:rsidRPr="008051DC">
        <w:rPr>
          <w:rFonts w:ascii="Verdana" w:hAnsi="Verdana"/>
          <w:sz w:val="24"/>
          <w:szCs w:val="24"/>
        </w:rPr>
        <w:t xml:space="preserve"> environmental </w:t>
      </w:r>
      <w:r w:rsidR="00434D62" w:rsidRPr="008051DC">
        <w:rPr>
          <w:rFonts w:ascii="Verdana" w:hAnsi="Verdana"/>
          <w:sz w:val="24"/>
          <w:szCs w:val="24"/>
        </w:rPr>
        <w:t>situation</w:t>
      </w:r>
      <w:r w:rsidRPr="008051DC">
        <w:rPr>
          <w:rFonts w:ascii="Verdana" w:hAnsi="Verdana"/>
          <w:sz w:val="24"/>
          <w:szCs w:val="24"/>
        </w:rPr>
        <w:t xml:space="preserve"> and </w:t>
      </w:r>
      <w:r w:rsidR="00434D62" w:rsidRPr="008051DC">
        <w:rPr>
          <w:rFonts w:ascii="Verdana" w:hAnsi="Verdana"/>
          <w:sz w:val="24"/>
          <w:szCs w:val="24"/>
        </w:rPr>
        <w:t>develop</w:t>
      </w:r>
      <w:r w:rsidRPr="008051DC">
        <w:rPr>
          <w:rFonts w:ascii="Verdana" w:hAnsi="Verdana"/>
          <w:sz w:val="24"/>
          <w:szCs w:val="24"/>
        </w:rPr>
        <w:t xml:space="preserve"> </w:t>
      </w:r>
      <w:r w:rsidR="00434D62" w:rsidRPr="008051DC">
        <w:rPr>
          <w:rFonts w:ascii="Verdana" w:hAnsi="Verdana"/>
          <w:sz w:val="24"/>
          <w:szCs w:val="24"/>
        </w:rPr>
        <w:t>Chinese</w:t>
      </w:r>
      <w:r w:rsidRPr="008051DC">
        <w:rPr>
          <w:rFonts w:ascii="Verdana" w:hAnsi="Verdana"/>
          <w:sz w:val="24"/>
          <w:szCs w:val="24"/>
        </w:rPr>
        <w:t xml:space="preserve"> clean energy, green manufacturing, and environmental services sectors</w:t>
      </w:r>
      <w:r w:rsidR="00434D62" w:rsidRPr="008051DC">
        <w:rPr>
          <w:rStyle w:val="FootnoteReference"/>
          <w:rFonts w:ascii="Verdana" w:hAnsi="Verdana"/>
          <w:sz w:val="24"/>
          <w:szCs w:val="24"/>
        </w:rPr>
        <w:footnoteReference w:id="10"/>
      </w:r>
      <w:r w:rsidRPr="008051DC">
        <w:rPr>
          <w:rFonts w:ascii="Verdana" w:hAnsi="Verdana"/>
          <w:sz w:val="24"/>
          <w:szCs w:val="24"/>
        </w:rPr>
        <w:t>.</w:t>
      </w:r>
    </w:p>
    <w:p w14:paraId="4CF1D1DF" w14:textId="65520FD3" w:rsidR="00606DFE" w:rsidRPr="008051DC" w:rsidRDefault="00606DFE" w:rsidP="00790A5F">
      <w:pPr>
        <w:spacing w:after="0" w:line="480" w:lineRule="auto"/>
        <w:rPr>
          <w:rFonts w:ascii="Verdana" w:hAnsi="Verdana"/>
          <w:sz w:val="24"/>
          <w:szCs w:val="24"/>
        </w:rPr>
      </w:pPr>
      <w:r w:rsidRPr="008051DC">
        <w:rPr>
          <w:rFonts w:ascii="Verdana" w:hAnsi="Verdana"/>
          <w:sz w:val="24"/>
          <w:szCs w:val="24"/>
        </w:rPr>
        <w:t>For the US, the number of bonds is inflated because of the large number of green bonds issued by Tesla in 2014.</w:t>
      </w:r>
    </w:p>
    <w:p w14:paraId="1835F443" w14:textId="3189C3D2" w:rsidR="005737B1" w:rsidRPr="008051DC" w:rsidRDefault="005737B1" w:rsidP="00790A5F">
      <w:pPr>
        <w:spacing w:line="480" w:lineRule="auto"/>
        <w:rPr>
          <w:rFonts w:ascii="Verdana" w:hAnsi="Verdana"/>
          <w:sz w:val="24"/>
          <w:szCs w:val="24"/>
        </w:rPr>
      </w:pPr>
      <w:r w:rsidRPr="008051DC">
        <w:rPr>
          <w:rFonts w:ascii="Verdana" w:hAnsi="Verdana"/>
          <w:sz w:val="24"/>
          <w:szCs w:val="24"/>
        </w:rPr>
        <w:t>Europe as a whole is the biggest market for green bonds.</w:t>
      </w:r>
    </w:p>
    <w:p w14:paraId="0D2A1666" w14:textId="77777777" w:rsidR="008051DC" w:rsidRPr="008051DC" w:rsidRDefault="008051DC" w:rsidP="00790A5F">
      <w:pPr>
        <w:spacing w:line="480" w:lineRule="auto"/>
        <w:rPr>
          <w:rFonts w:ascii="Verdana" w:hAnsi="Verdana"/>
          <w:sz w:val="24"/>
          <w:szCs w:val="24"/>
        </w:rPr>
      </w:pPr>
    </w:p>
    <w:p w14:paraId="36B8CC06" w14:textId="4488F5CA" w:rsidR="00137432" w:rsidRDefault="00137432" w:rsidP="00790A5F">
      <w:pPr>
        <w:spacing w:line="480" w:lineRule="auto"/>
        <w:rPr>
          <w:rFonts w:ascii="Verdana" w:hAnsi="Verdana"/>
          <w:sz w:val="24"/>
          <w:szCs w:val="24"/>
        </w:rPr>
      </w:pPr>
      <w:r w:rsidRPr="008051DC">
        <w:rPr>
          <w:rFonts w:ascii="Verdana" w:hAnsi="Verdana" w:cs="Tahoma"/>
          <w:b/>
          <w:bCs/>
        </w:rPr>
        <w:t xml:space="preserve">Table 3. Corporate Green Bonds by </w:t>
      </w:r>
      <w:r w:rsidR="00482B0C">
        <w:rPr>
          <w:rFonts w:ascii="Verdana" w:hAnsi="Verdana" w:cs="Tahoma"/>
          <w:b/>
          <w:bCs/>
        </w:rPr>
        <w:t>Country</w:t>
      </w:r>
      <w:r w:rsidRPr="008051DC">
        <w:rPr>
          <w:rFonts w:ascii="Verdana" w:hAnsi="Verdana" w:cs="Tahoma"/>
          <w:b/>
          <w:bCs/>
        </w:rPr>
        <w:t>.</w:t>
      </w:r>
    </w:p>
    <w:p w14:paraId="1BED4AFD" w14:textId="77777777" w:rsidR="006634BF" w:rsidRPr="008051DC" w:rsidRDefault="006634BF" w:rsidP="00790A5F">
      <w:pPr>
        <w:spacing w:line="480" w:lineRule="auto"/>
        <w:rPr>
          <w:rFonts w:ascii="Verdana" w:hAnsi="Verdana"/>
        </w:rPr>
      </w:pPr>
    </w:p>
    <w:tbl>
      <w:tblPr>
        <w:tblStyle w:val="TableGrid"/>
        <w:tblW w:w="0" w:type="auto"/>
        <w:jc w:val="center"/>
        <w:tblLook w:val="04A0" w:firstRow="1" w:lastRow="0" w:firstColumn="1" w:lastColumn="0" w:noHBand="0" w:noVBand="1"/>
      </w:tblPr>
      <w:tblGrid>
        <w:gridCol w:w="3415"/>
        <w:gridCol w:w="1260"/>
        <w:gridCol w:w="2610"/>
      </w:tblGrid>
      <w:tr w:rsidR="00137432" w:rsidRPr="008051DC" w14:paraId="5EB2B8B7" w14:textId="77777777" w:rsidTr="008051DC">
        <w:trPr>
          <w:trHeight w:val="300"/>
          <w:jc w:val="center"/>
        </w:trPr>
        <w:tc>
          <w:tcPr>
            <w:tcW w:w="3415" w:type="dxa"/>
            <w:noWrap/>
            <w:hideMark/>
          </w:tcPr>
          <w:p w14:paraId="5A01D41F" w14:textId="77777777" w:rsidR="00137432" w:rsidRPr="008051DC" w:rsidRDefault="00137432" w:rsidP="00790A5F">
            <w:pPr>
              <w:spacing w:line="480" w:lineRule="auto"/>
              <w:rPr>
                <w:rFonts w:ascii="Verdana" w:hAnsi="Verdana"/>
                <w:b/>
                <w:bCs/>
              </w:rPr>
            </w:pPr>
            <w:r w:rsidRPr="008051DC">
              <w:rPr>
                <w:rFonts w:ascii="Verdana" w:hAnsi="Verdana"/>
                <w:b/>
                <w:bCs/>
              </w:rPr>
              <w:t>Country of Incorporation</w:t>
            </w:r>
          </w:p>
        </w:tc>
        <w:tc>
          <w:tcPr>
            <w:tcW w:w="1260" w:type="dxa"/>
            <w:noWrap/>
            <w:hideMark/>
          </w:tcPr>
          <w:p w14:paraId="13339084" w14:textId="77777777" w:rsidR="00137432" w:rsidRPr="008051DC" w:rsidRDefault="00137432" w:rsidP="00790A5F">
            <w:pPr>
              <w:spacing w:line="480" w:lineRule="auto"/>
              <w:rPr>
                <w:rFonts w:ascii="Verdana" w:hAnsi="Verdana"/>
                <w:b/>
                <w:bCs/>
              </w:rPr>
            </w:pPr>
            <w:r w:rsidRPr="008051DC">
              <w:rPr>
                <w:rFonts w:ascii="Verdana" w:hAnsi="Verdana"/>
                <w:b/>
                <w:bCs/>
              </w:rPr>
              <w:t># Bonds</w:t>
            </w:r>
          </w:p>
        </w:tc>
        <w:tc>
          <w:tcPr>
            <w:tcW w:w="2610" w:type="dxa"/>
            <w:noWrap/>
            <w:hideMark/>
          </w:tcPr>
          <w:p w14:paraId="3C3BD6F8" w14:textId="77777777" w:rsidR="00137432" w:rsidRPr="008051DC" w:rsidRDefault="00137432" w:rsidP="00790A5F">
            <w:pPr>
              <w:spacing w:line="480" w:lineRule="auto"/>
              <w:rPr>
                <w:rFonts w:ascii="Verdana" w:hAnsi="Verdana"/>
                <w:b/>
                <w:bCs/>
              </w:rPr>
            </w:pPr>
            <w:r w:rsidRPr="008051DC">
              <w:rPr>
                <w:rFonts w:ascii="Verdana" w:hAnsi="Verdana"/>
                <w:b/>
                <w:bCs/>
              </w:rPr>
              <w:t>$ Amount (billion)</w:t>
            </w:r>
          </w:p>
        </w:tc>
      </w:tr>
      <w:tr w:rsidR="00137432" w:rsidRPr="008051DC" w14:paraId="4A64516F" w14:textId="77777777" w:rsidTr="008051DC">
        <w:trPr>
          <w:trHeight w:val="300"/>
          <w:jc w:val="center"/>
        </w:trPr>
        <w:tc>
          <w:tcPr>
            <w:tcW w:w="3415" w:type="dxa"/>
            <w:noWrap/>
            <w:hideMark/>
          </w:tcPr>
          <w:p w14:paraId="09652F68" w14:textId="77777777" w:rsidR="00137432" w:rsidRPr="008051DC" w:rsidRDefault="00137432" w:rsidP="00790A5F">
            <w:pPr>
              <w:spacing w:line="480" w:lineRule="auto"/>
              <w:rPr>
                <w:rFonts w:ascii="Verdana" w:hAnsi="Verdana"/>
                <w:b/>
                <w:bCs/>
              </w:rPr>
            </w:pPr>
            <w:r w:rsidRPr="008051DC">
              <w:rPr>
                <w:rFonts w:ascii="Verdana" w:hAnsi="Verdana"/>
                <w:b/>
                <w:bCs/>
              </w:rPr>
              <w:t>China</w:t>
            </w:r>
          </w:p>
        </w:tc>
        <w:tc>
          <w:tcPr>
            <w:tcW w:w="1260" w:type="dxa"/>
            <w:noWrap/>
            <w:hideMark/>
          </w:tcPr>
          <w:p w14:paraId="09D863FA" w14:textId="77777777" w:rsidR="00137432" w:rsidRPr="008051DC" w:rsidRDefault="00137432" w:rsidP="00790A5F">
            <w:pPr>
              <w:spacing w:line="480" w:lineRule="auto"/>
              <w:rPr>
                <w:rFonts w:ascii="Verdana" w:hAnsi="Verdana"/>
              </w:rPr>
            </w:pPr>
            <w:r w:rsidRPr="008051DC">
              <w:rPr>
                <w:rFonts w:ascii="Verdana" w:hAnsi="Verdana"/>
              </w:rPr>
              <w:t>165</w:t>
            </w:r>
          </w:p>
        </w:tc>
        <w:tc>
          <w:tcPr>
            <w:tcW w:w="2610" w:type="dxa"/>
            <w:noWrap/>
            <w:hideMark/>
          </w:tcPr>
          <w:p w14:paraId="4D803454" w14:textId="77777777" w:rsidR="00137432" w:rsidRPr="008051DC" w:rsidRDefault="00137432" w:rsidP="00790A5F">
            <w:pPr>
              <w:spacing w:line="480" w:lineRule="auto"/>
              <w:rPr>
                <w:rFonts w:ascii="Verdana" w:hAnsi="Verdana"/>
              </w:rPr>
            </w:pPr>
            <w:r w:rsidRPr="008051DC">
              <w:rPr>
                <w:rFonts w:ascii="Verdana" w:hAnsi="Verdana"/>
              </w:rPr>
              <w:t>67.52</w:t>
            </w:r>
          </w:p>
        </w:tc>
      </w:tr>
      <w:tr w:rsidR="00137432" w:rsidRPr="008051DC" w14:paraId="788CFA99" w14:textId="77777777" w:rsidTr="008051DC">
        <w:trPr>
          <w:trHeight w:val="300"/>
          <w:jc w:val="center"/>
        </w:trPr>
        <w:tc>
          <w:tcPr>
            <w:tcW w:w="3415" w:type="dxa"/>
            <w:noWrap/>
            <w:hideMark/>
          </w:tcPr>
          <w:p w14:paraId="0594DDC7" w14:textId="77777777" w:rsidR="00137432" w:rsidRPr="008051DC" w:rsidRDefault="00137432" w:rsidP="00790A5F">
            <w:pPr>
              <w:spacing w:line="480" w:lineRule="auto"/>
              <w:rPr>
                <w:rFonts w:ascii="Verdana" w:hAnsi="Verdana"/>
                <w:b/>
                <w:bCs/>
              </w:rPr>
            </w:pPr>
            <w:r w:rsidRPr="008051DC">
              <w:rPr>
                <w:rFonts w:ascii="Verdana" w:hAnsi="Verdana"/>
                <w:b/>
                <w:bCs/>
              </w:rPr>
              <w:t>France</w:t>
            </w:r>
          </w:p>
        </w:tc>
        <w:tc>
          <w:tcPr>
            <w:tcW w:w="1260" w:type="dxa"/>
            <w:noWrap/>
            <w:hideMark/>
          </w:tcPr>
          <w:p w14:paraId="3B0CD596" w14:textId="77777777" w:rsidR="00137432" w:rsidRPr="008051DC" w:rsidRDefault="00137432" w:rsidP="00790A5F">
            <w:pPr>
              <w:spacing w:line="480" w:lineRule="auto"/>
              <w:rPr>
                <w:rFonts w:ascii="Verdana" w:hAnsi="Verdana"/>
              </w:rPr>
            </w:pPr>
            <w:r w:rsidRPr="008051DC">
              <w:rPr>
                <w:rFonts w:ascii="Verdana" w:hAnsi="Verdana"/>
              </w:rPr>
              <w:t>180</w:t>
            </w:r>
          </w:p>
        </w:tc>
        <w:tc>
          <w:tcPr>
            <w:tcW w:w="2610" w:type="dxa"/>
            <w:noWrap/>
            <w:hideMark/>
          </w:tcPr>
          <w:p w14:paraId="766AC177" w14:textId="77777777" w:rsidR="00137432" w:rsidRPr="008051DC" w:rsidRDefault="00137432" w:rsidP="00790A5F">
            <w:pPr>
              <w:spacing w:line="480" w:lineRule="auto"/>
              <w:rPr>
                <w:rFonts w:ascii="Verdana" w:hAnsi="Verdana"/>
              </w:rPr>
            </w:pPr>
            <w:r w:rsidRPr="008051DC">
              <w:rPr>
                <w:rFonts w:ascii="Verdana" w:hAnsi="Verdana"/>
              </w:rPr>
              <w:t>60.54</w:t>
            </w:r>
          </w:p>
        </w:tc>
      </w:tr>
      <w:tr w:rsidR="00137432" w:rsidRPr="008051DC" w14:paraId="6F13016D" w14:textId="77777777" w:rsidTr="008051DC">
        <w:trPr>
          <w:trHeight w:val="300"/>
          <w:jc w:val="center"/>
        </w:trPr>
        <w:tc>
          <w:tcPr>
            <w:tcW w:w="3415" w:type="dxa"/>
            <w:noWrap/>
            <w:hideMark/>
          </w:tcPr>
          <w:p w14:paraId="5376AFE6" w14:textId="77777777" w:rsidR="00137432" w:rsidRPr="008051DC" w:rsidRDefault="00137432" w:rsidP="00790A5F">
            <w:pPr>
              <w:spacing w:line="480" w:lineRule="auto"/>
              <w:rPr>
                <w:rFonts w:ascii="Verdana" w:hAnsi="Verdana"/>
                <w:b/>
                <w:bCs/>
              </w:rPr>
            </w:pPr>
            <w:r w:rsidRPr="008051DC">
              <w:rPr>
                <w:rFonts w:ascii="Verdana" w:hAnsi="Verdana"/>
                <w:b/>
                <w:bCs/>
              </w:rPr>
              <w:lastRenderedPageBreak/>
              <w:t>Germany</w:t>
            </w:r>
          </w:p>
        </w:tc>
        <w:tc>
          <w:tcPr>
            <w:tcW w:w="1260" w:type="dxa"/>
            <w:noWrap/>
            <w:hideMark/>
          </w:tcPr>
          <w:p w14:paraId="0B46EF30" w14:textId="77777777" w:rsidR="00137432" w:rsidRPr="008051DC" w:rsidRDefault="00137432" w:rsidP="00790A5F">
            <w:pPr>
              <w:spacing w:line="480" w:lineRule="auto"/>
              <w:rPr>
                <w:rFonts w:ascii="Verdana" w:hAnsi="Verdana"/>
              </w:rPr>
            </w:pPr>
            <w:r w:rsidRPr="008051DC">
              <w:rPr>
                <w:rFonts w:ascii="Verdana" w:hAnsi="Verdana"/>
              </w:rPr>
              <w:t>73</w:t>
            </w:r>
          </w:p>
        </w:tc>
        <w:tc>
          <w:tcPr>
            <w:tcW w:w="2610" w:type="dxa"/>
            <w:noWrap/>
            <w:hideMark/>
          </w:tcPr>
          <w:p w14:paraId="3B52B5BE" w14:textId="77777777" w:rsidR="00137432" w:rsidRPr="008051DC" w:rsidRDefault="00137432" w:rsidP="00790A5F">
            <w:pPr>
              <w:spacing w:line="480" w:lineRule="auto"/>
              <w:rPr>
                <w:rFonts w:ascii="Verdana" w:hAnsi="Verdana"/>
              </w:rPr>
            </w:pPr>
            <w:r w:rsidRPr="008051DC">
              <w:rPr>
                <w:rFonts w:ascii="Verdana" w:hAnsi="Verdana"/>
              </w:rPr>
              <w:t>49.52</w:t>
            </w:r>
          </w:p>
        </w:tc>
      </w:tr>
      <w:tr w:rsidR="00137432" w:rsidRPr="008051DC" w14:paraId="3F767C5A" w14:textId="77777777" w:rsidTr="008051DC">
        <w:trPr>
          <w:trHeight w:val="300"/>
          <w:jc w:val="center"/>
        </w:trPr>
        <w:tc>
          <w:tcPr>
            <w:tcW w:w="3415" w:type="dxa"/>
            <w:noWrap/>
            <w:hideMark/>
          </w:tcPr>
          <w:p w14:paraId="472AB6C5" w14:textId="77777777" w:rsidR="00137432" w:rsidRPr="008051DC" w:rsidRDefault="00137432" w:rsidP="00790A5F">
            <w:pPr>
              <w:spacing w:line="480" w:lineRule="auto"/>
              <w:rPr>
                <w:rFonts w:ascii="Verdana" w:hAnsi="Verdana"/>
                <w:b/>
                <w:bCs/>
              </w:rPr>
            </w:pPr>
            <w:r w:rsidRPr="008051DC">
              <w:rPr>
                <w:rFonts w:ascii="Verdana" w:hAnsi="Verdana"/>
                <w:b/>
                <w:bCs/>
              </w:rPr>
              <w:t>United States</w:t>
            </w:r>
          </w:p>
        </w:tc>
        <w:tc>
          <w:tcPr>
            <w:tcW w:w="1260" w:type="dxa"/>
            <w:noWrap/>
            <w:hideMark/>
          </w:tcPr>
          <w:p w14:paraId="4CB28D4A" w14:textId="77777777" w:rsidR="00137432" w:rsidRPr="008051DC" w:rsidRDefault="00137432" w:rsidP="00790A5F">
            <w:pPr>
              <w:spacing w:line="480" w:lineRule="auto"/>
              <w:rPr>
                <w:rFonts w:ascii="Verdana" w:hAnsi="Verdana"/>
              </w:rPr>
            </w:pPr>
            <w:r w:rsidRPr="008051DC">
              <w:rPr>
                <w:rFonts w:ascii="Verdana" w:hAnsi="Verdana"/>
              </w:rPr>
              <w:t>233</w:t>
            </w:r>
          </w:p>
        </w:tc>
        <w:tc>
          <w:tcPr>
            <w:tcW w:w="2610" w:type="dxa"/>
            <w:noWrap/>
            <w:hideMark/>
          </w:tcPr>
          <w:p w14:paraId="78E33508" w14:textId="77777777" w:rsidR="00137432" w:rsidRPr="008051DC" w:rsidRDefault="00137432" w:rsidP="00790A5F">
            <w:pPr>
              <w:spacing w:line="480" w:lineRule="auto"/>
              <w:rPr>
                <w:rFonts w:ascii="Verdana" w:hAnsi="Verdana"/>
              </w:rPr>
            </w:pPr>
            <w:r w:rsidRPr="008051DC">
              <w:rPr>
                <w:rFonts w:ascii="Verdana" w:hAnsi="Verdana"/>
              </w:rPr>
              <w:t>49.48</w:t>
            </w:r>
          </w:p>
        </w:tc>
      </w:tr>
      <w:tr w:rsidR="00137432" w:rsidRPr="008051DC" w14:paraId="26A9385A" w14:textId="77777777" w:rsidTr="008051DC">
        <w:trPr>
          <w:trHeight w:val="300"/>
          <w:jc w:val="center"/>
        </w:trPr>
        <w:tc>
          <w:tcPr>
            <w:tcW w:w="3415" w:type="dxa"/>
            <w:noWrap/>
            <w:hideMark/>
          </w:tcPr>
          <w:p w14:paraId="3F8D59B1" w14:textId="77777777" w:rsidR="00137432" w:rsidRPr="008051DC" w:rsidRDefault="00137432" w:rsidP="00790A5F">
            <w:pPr>
              <w:spacing w:line="480" w:lineRule="auto"/>
              <w:rPr>
                <w:rFonts w:ascii="Verdana" w:hAnsi="Verdana"/>
                <w:b/>
                <w:bCs/>
              </w:rPr>
            </w:pPr>
            <w:r w:rsidRPr="008051DC">
              <w:rPr>
                <w:rFonts w:ascii="Verdana" w:hAnsi="Verdana"/>
                <w:b/>
                <w:bCs/>
              </w:rPr>
              <w:t>Netherlands</w:t>
            </w:r>
          </w:p>
        </w:tc>
        <w:tc>
          <w:tcPr>
            <w:tcW w:w="1260" w:type="dxa"/>
            <w:noWrap/>
            <w:hideMark/>
          </w:tcPr>
          <w:p w14:paraId="2CB6C2B4" w14:textId="77777777" w:rsidR="00137432" w:rsidRPr="008051DC" w:rsidRDefault="00137432" w:rsidP="00790A5F">
            <w:pPr>
              <w:spacing w:line="480" w:lineRule="auto"/>
              <w:rPr>
                <w:rFonts w:ascii="Verdana" w:hAnsi="Verdana"/>
              </w:rPr>
            </w:pPr>
            <w:r w:rsidRPr="008051DC">
              <w:rPr>
                <w:rFonts w:ascii="Verdana" w:hAnsi="Verdana"/>
              </w:rPr>
              <w:t>70</w:t>
            </w:r>
          </w:p>
        </w:tc>
        <w:tc>
          <w:tcPr>
            <w:tcW w:w="2610" w:type="dxa"/>
            <w:noWrap/>
            <w:hideMark/>
          </w:tcPr>
          <w:p w14:paraId="7A584057" w14:textId="77777777" w:rsidR="00137432" w:rsidRPr="008051DC" w:rsidRDefault="00137432" w:rsidP="00790A5F">
            <w:pPr>
              <w:spacing w:line="480" w:lineRule="auto"/>
              <w:rPr>
                <w:rFonts w:ascii="Verdana" w:hAnsi="Verdana"/>
              </w:rPr>
            </w:pPr>
            <w:r w:rsidRPr="008051DC">
              <w:rPr>
                <w:rFonts w:ascii="Verdana" w:hAnsi="Verdana"/>
              </w:rPr>
              <w:t>47.92</w:t>
            </w:r>
          </w:p>
        </w:tc>
      </w:tr>
      <w:tr w:rsidR="00137432" w:rsidRPr="008051DC" w14:paraId="54D0751F" w14:textId="77777777" w:rsidTr="008051DC">
        <w:trPr>
          <w:trHeight w:val="300"/>
          <w:jc w:val="center"/>
        </w:trPr>
        <w:tc>
          <w:tcPr>
            <w:tcW w:w="3415" w:type="dxa"/>
            <w:noWrap/>
            <w:hideMark/>
          </w:tcPr>
          <w:p w14:paraId="44E39A27" w14:textId="77777777" w:rsidR="00137432" w:rsidRPr="008051DC" w:rsidRDefault="00137432" w:rsidP="00790A5F">
            <w:pPr>
              <w:spacing w:line="480" w:lineRule="auto"/>
              <w:rPr>
                <w:rFonts w:ascii="Verdana" w:hAnsi="Verdana"/>
                <w:b/>
                <w:bCs/>
              </w:rPr>
            </w:pPr>
            <w:r w:rsidRPr="008051DC">
              <w:rPr>
                <w:rFonts w:ascii="Verdana" w:hAnsi="Verdana"/>
                <w:b/>
                <w:bCs/>
              </w:rPr>
              <w:t>Sweden</w:t>
            </w:r>
          </w:p>
        </w:tc>
        <w:tc>
          <w:tcPr>
            <w:tcW w:w="1260" w:type="dxa"/>
            <w:noWrap/>
            <w:hideMark/>
          </w:tcPr>
          <w:p w14:paraId="6A9DB29E" w14:textId="77777777" w:rsidR="00137432" w:rsidRPr="008051DC" w:rsidRDefault="00137432" w:rsidP="00790A5F">
            <w:pPr>
              <w:spacing w:line="480" w:lineRule="auto"/>
              <w:rPr>
                <w:rFonts w:ascii="Verdana" w:hAnsi="Verdana"/>
              </w:rPr>
            </w:pPr>
            <w:r w:rsidRPr="008051DC">
              <w:rPr>
                <w:rFonts w:ascii="Verdana" w:hAnsi="Verdana"/>
              </w:rPr>
              <w:t>248</w:t>
            </w:r>
          </w:p>
        </w:tc>
        <w:tc>
          <w:tcPr>
            <w:tcW w:w="2610" w:type="dxa"/>
            <w:noWrap/>
            <w:hideMark/>
          </w:tcPr>
          <w:p w14:paraId="3EDA392E" w14:textId="77777777" w:rsidR="00137432" w:rsidRPr="008051DC" w:rsidRDefault="00137432" w:rsidP="00790A5F">
            <w:pPr>
              <w:spacing w:line="480" w:lineRule="auto"/>
              <w:rPr>
                <w:rFonts w:ascii="Verdana" w:hAnsi="Verdana"/>
              </w:rPr>
            </w:pPr>
            <w:r w:rsidRPr="008051DC">
              <w:rPr>
                <w:rFonts w:ascii="Verdana" w:hAnsi="Verdana"/>
              </w:rPr>
              <w:t>27.15</w:t>
            </w:r>
          </w:p>
        </w:tc>
      </w:tr>
      <w:tr w:rsidR="00137432" w:rsidRPr="008051DC" w14:paraId="38520A90" w14:textId="77777777" w:rsidTr="008051DC">
        <w:trPr>
          <w:trHeight w:val="300"/>
          <w:jc w:val="center"/>
        </w:trPr>
        <w:tc>
          <w:tcPr>
            <w:tcW w:w="3415" w:type="dxa"/>
            <w:noWrap/>
            <w:hideMark/>
          </w:tcPr>
          <w:p w14:paraId="5C2A172D" w14:textId="77777777" w:rsidR="00137432" w:rsidRPr="008051DC" w:rsidRDefault="00137432" w:rsidP="00790A5F">
            <w:pPr>
              <w:spacing w:line="480" w:lineRule="auto"/>
              <w:rPr>
                <w:rFonts w:ascii="Verdana" w:hAnsi="Verdana"/>
                <w:b/>
                <w:bCs/>
              </w:rPr>
            </w:pPr>
            <w:r w:rsidRPr="008051DC">
              <w:rPr>
                <w:rFonts w:ascii="Verdana" w:hAnsi="Verdana"/>
                <w:b/>
                <w:bCs/>
              </w:rPr>
              <w:t>United Kingdom</w:t>
            </w:r>
          </w:p>
        </w:tc>
        <w:tc>
          <w:tcPr>
            <w:tcW w:w="1260" w:type="dxa"/>
            <w:noWrap/>
            <w:hideMark/>
          </w:tcPr>
          <w:p w14:paraId="55C80F49" w14:textId="77777777" w:rsidR="00137432" w:rsidRPr="008051DC" w:rsidRDefault="00137432" w:rsidP="00790A5F">
            <w:pPr>
              <w:spacing w:line="480" w:lineRule="auto"/>
              <w:rPr>
                <w:rFonts w:ascii="Verdana" w:hAnsi="Verdana"/>
              </w:rPr>
            </w:pPr>
            <w:r w:rsidRPr="008051DC">
              <w:rPr>
                <w:rFonts w:ascii="Verdana" w:hAnsi="Verdana"/>
              </w:rPr>
              <w:t>36</w:t>
            </w:r>
          </w:p>
        </w:tc>
        <w:tc>
          <w:tcPr>
            <w:tcW w:w="2610" w:type="dxa"/>
            <w:noWrap/>
            <w:hideMark/>
          </w:tcPr>
          <w:p w14:paraId="76FF399C" w14:textId="77777777" w:rsidR="00137432" w:rsidRPr="008051DC" w:rsidRDefault="00137432" w:rsidP="00790A5F">
            <w:pPr>
              <w:spacing w:line="480" w:lineRule="auto"/>
              <w:rPr>
                <w:rFonts w:ascii="Verdana" w:hAnsi="Verdana"/>
              </w:rPr>
            </w:pPr>
            <w:r w:rsidRPr="008051DC">
              <w:rPr>
                <w:rFonts w:ascii="Verdana" w:hAnsi="Verdana"/>
              </w:rPr>
              <w:t>15.12</w:t>
            </w:r>
          </w:p>
        </w:tc>
      </w:tr>
      <w:tr w:rsidR="00137432" w:rsidRPr="008051DC" w14:paraId="654641DA" w14:textId="77777777" w:rsidTr="008051DC">
        <w:trPr>
          <w:trHeight w:val="300"/>
          <w:jc w:val="center"/>
        </w:trPr>
        <w:tc>
          <w:tcPr>
            <w:tcW w:w="3415" w:type="dxa"/>
            <w:noWrap/>
            <w:hideMark/>
          </w:tcPr>
          <w:p w14:paraId="3E6BF793" w14:textId="77777777" w:rsidR="00137432" w:rsidRPr="008051DC" w:rsidRDefault="00137432" w:rsidP="00790A5F">
            <w:pPr>
              <w:spacing w:line="480" w:lineRule="auto"/>
              <w:rPr>
                <w:rFonts w:ascii="Verdana" w:hAnsi="Verdana"/>
                <w:b/>
                <w:bCs/>
              </w:rPr>
            </w:pPr>
            <w:r w:rsidRPr="008051DC">
              <w:rPr>
                <w:rFonts w:ascii="Verdana" w:hAnsi="Verdana"/>
                <w:b/>
                <w:bCs/>
              </w:rPr>
              <w:t>Spain</w:t>
            </w:r>
          </w:p>
        </w:tc>
        <w:tc>
          <w:tcPr>
            <w:tcW w:w="1260" w:type="dxa"/>
            <w:noWrap/>
            <w:hideMark/>
          </w:tcPr>
          <w:p w14:paraId="4F05A442" w14:textId="77777777" w:rsidR="00137432" w:rsidRPr="008051DC" w:rsidRDefault="00137432" w:rsidP="00790A5F">
            <w:pPr>
              <w:spacing w:line="480" w:lineRule="auto"/>
              <w:rPr>
                <w:rFonts w:ascii="Verdana" w:hAnsi="Verdana"/>
              </w:rPr>
            </w:pPr>
            <w:r w:rsidRPr="008051DC">
              <w:rPr>
                <w:rFonts w:ascii="Verdana" w:hAnsi="Verdana"/>
              </w:rPr>
              <w:t>33</w:t>
            </w:r>
          </w:p>
        </w:tc>
        <w:tc>
          <w:tcPr>
            <w:tcW w:w="2610" w:type="dxa"/>
            <w:noWrap/>
            <w:hideMark/>
          </w:tcPr>
          <w:p w14:paraId="267B5A5C" w14:textId="77777777" w:rsidR="00137432" w:rsidRPr="008051DC" w:rsidRDefault="00137432" w:rsidP="00790A5F">
            <w:pPr>
              <w:spacing w:line="480" w:lineRule="auto"/>
              <w:rPr>
                <w:rFonts w:ascii="Verdana" w:hAnsi="Verdana"/>
              </w:rPr>
            </w:pPr>
            <w:r w:rsidRPr="008051DC">
              <w:rPr>
                <w:rFonts w:ascii="Verdana" w:hAnsi="Verdana"/>
              </w:rPr>
              <w:t>14.73</w:t>
            </w:r>
          </w:p>
        </w:tc>
      </w:tr>
      <w:tr w:rsidR="00137432" w:rsidRPr="008051DC" w14:paraId="7833FAD3" w14:textId="77777777" w:rsidTr="008051DC">
        <w:trPr>
          <w:trHeight w:val="300"/>
          <w:jc w:val="center"/>
        </w:trPr>
        <w:tc>
          <w:tcPr>
            <w:tcW w:w="3415" w:type="dxa"/>
            <w:noWrap/>
            <w:hideMark/>
          </w:tcPr>
          <w:p w14:paraId="53593E82" w14:textId="77777777" w:rsidR="00137432" w:rsidRPr="008051DC" w:rsidRDefault="00137432" w:rsidP="00790A5F">
            <w:pPr>
              <w:spacing w:line="480" w:lineRule="auto"/>
              <w:rPr>
                <w:rFonts w:ascii="Verdana" w:hAnsi="Verdana"/>
                <w:b/>
                <w:bCs/>
              </w:rPr>
            </w:pPr>
            <w:r w:rsidRPr="008051DC">
              <w:rPr>
                <w:rFonts w:ascii="Verdana" w:hAnsi="Verdana"/>
                <w:b/>
                <w:bCs/>
              </w:rPr>
              <w:t>Japan</w:t>
            </w:r>
          </w:p>
        </w:tc>
        <w:tc>
          <w:tcPr>
            <w:tcW w:w="1260" w:type="dxa"/>
            <w:noWrap/>
            <w:hideMark/>
          </w:tcPr>
          <w:p w14:paraId="21BFD3CD" w14:textId="77777777" w:rsidR="00137432" w:rsidRPr="008051DC" w:rsidRDefault="00137432" w:rsidP="00790A5F">
            <w:pPr>
              <w:spacing w:line="480" w:lineRule="auto"/>
              <w:rPr>
                <w:rFonts w:ascii="Verdana" w:hAnsi="Verdana"/>
              </w:rPr>
            </w:pPr>
            <w:r w:rsidRPr="008051DC">
              <w:rPr>
                <w:rFonts w:ascii="Verdana" w:hAnsi="Verdana"/>
              </w:rPr>
              <w:t>96</w:t>
            </w:r>
          </w:p>
        </w:tc>
        <w:tc>
          <w:tcPr>
            <w:tcW w:w="2610" w:type="dxa"/>
            <w:noWrap/>
            <w:hideMark/>
          </w:tcPr>
          <w:p w14:paraId="572D1964" w14:textId="77777777" w:rsidR="00137432" w:rsidRPr="008051DC" w:rsidRDefault="00137432" w:rsidP="00790A5F">
            <w:pPr>
              <w:spacing w:line="480" w:lineRule="auto"/>
              <w:rPr>
                <w:rFonts w:ascii="Verdana" w:hAnsi="Verdana"/>
              </w:rPr>
            </w:pPr>
            <w:r w:rsidRPr="008051DC">
              <w:rPr>
                <w:rFonts w:ascii="Verdana" w:hAnsi="Verdana"/>
              </w:rPr>
              <w:t>14.36</w:t>
            </w:r>
          </w:p>
        </w:tc>
      </w:tr>
      <w:tr w:rsidR="00137432" w:rsidRPr="008051DC" w14:paraId="00CEB7B0" w14:textId="77777777" w:rsidTr="008051DC">
        <w:trPr>
          <w:trHeight w:val="300"/>
          <w:jc w:val="center"/>
        </w:trPr>
        <w:tc>
          <w:tcPr>
            <w:tcW w:w="3415" w:type="dxa"/>
            <w:noWrap/>
            <w:hideMark/>
          </w:tcPr>
          <w:p w14:paraId="7D2A6743" w14:textId="77777777" w:rsidR="00137432" w:rsidRPr="008051DC" w:rsidRDefault="00137432" w:rsidP="00790A5F">
            <w:pPr>
              <w:spacing w:line="480" w:lineRule="auto"/>
              <w:rPr>
                <w:rFonts w:ascii="Verdana" w:hAnsi="Verdana"/>
                <w:b/>
                <w:bCs/>
              </w:rPr>
            </w:pPr>
            <w:r w:rsidRPr="008051DC">
              <w:rPr>
                <w:rFonts w:ascii="Verdana" w:hAnsi="Verdana"/>
                <w:b/>
                <w:bCs/>
              </w:rPr>
              <w:t>Norway</w:t>
            </w:r>
          </w:p>
        </w:tc>
        <w:tc>
          <w:tcPr>
            <w:tcW w:w="1260" w:type="dxa"/>
            <w:noWrap/>
            <w:hideMark/>
          </w:tcPr>
          <w:p w14:paraId="5EC863DC" w14:textId="77777777" w:rsidR="00137432" w:rsidRPr="008051DC" w:rsidRDefault="00137432" w:rsidP="00790A5F">
            <w:pPr>
              <w:spacing w:line="480" w:lineRule="auto"/>
              <w:rPr>
                <w:rFonts w:ascii="Verdana" w:hAnsi="Verdana"/>
              </w:rPr>
            </w:pPr>
            <w:r w:rsidRPr="008051DC">
              <w:rPr>
                <w:rFonts w:ascii="Verdana" w:hAnsi="Verdana"/>
              </w:rPr>
              <w:t>50</w:t>
            </w:r>
          </w:p>
        </w:tc>
        <w:tc>
          <w:tcPr>
            <w:tcW w:w="2610" w:type="dxa"/>
            <w:noWrap/>
            <w:hideMark/>
          </w:tcPr>
          <w:p w14:paraId="48ABC5C3" w14:textId="77777777" w:rsidR="00137432" w:rsidRPr="008051DC" w:rsidRDefault="00137432" w:rsidP="00790A5F">
            <w:pPr>
              <w:spacing w:line="480" w:lineRule="auto"/>
              <w:rPr>
                <w:rFonts w:ascii="Verdana" w:hAnsi="Verdana"/>
              </w:rPr>
            </w:pPr>
            <w:r w:rsidRPr="008051DC">
              <w:rPr>
                <w:rFonts w:ascii="Verdana" w:hAnsi="Verdana"/>
              </w:rPr>
              <w:t>13.56</w:t>
            </w:r>
          </w:p>
        </w:tc>
      </w:tr>
      <w:tr w:rsidR="00137432" w:rsidRPr="008051DC" w14:paraId="751CCD6B" w14:textId="77777777" w:rsidTr="008051DC">
        <w:trPr>
          <w:trHeight w:val="300"/>
          <w:jc w:val="center"/>
        </w:trPr>
        <w:tc>
          <w:tcPr>
            <w:tcW w:w="3415" w:type="dxa"/>
            <w:noWrap/>
            <w:hideMark/>
          </w:tcPr>
          <w:p w14:paraId="1569995B" w14:textId="77777777" w:rsidR="00137432" w:rsidRPr="008051DC" w:rsidRDefault="00137432" w:rsidP="00790A5F">
            <w:pPr>
              <w:spacing w:line="480" w:lineRule="auto"/>
              <w:rPr>
                <w:rFonts w:ascii="Verdana" w:hAnsi="Verdana"/>
                <w:b/>
                <w:bCs/>
              </w:rPr>
            </w:pPr>
            <w:r w:rsidRPr="008051DC">
              <w:rPr>
                <w:rFonts w:ascii="Verdana" w:hAnsi="Verdana"/>
                <w:b/>
                <w:bCs/>
              </w:rPr>
              <w:t>Denmark</w:t>
            </w:r>
          </w:p>
        </w:tc>
        <w:tc>
          <w:tcPr>
            <w:tcW w:w="1260" w:type="dxa"/>
            <w:noWrap/>
            <w:hideMark/>
          </w:tcPr>
          <w:p w14:paraId="0F2CF74D" w14:textId="77777777" w:rsidR="00137432" w:rsidRPr="008051DC" w:rsidRDefault="00137432" w:rsidP="00790A5F">
            <w:pPr>
              <w:spacing w:line="480" w:lineRule="auto"/>
              <w:rPr>
                <w:rFonts w:ascii="Verdana" w:hAnsi="Verdana"/>
              </w:rPr>
            </w:pPr>
            <w:r w:rsidRPr="008051DC">
              <w:rPr>
                <w:rFonts w:ascii="Verdana" w:hAnsi="Verdana"/>
              </w:rPr>
              <w:t>19</w:t>
            </w:r>
          </w:p>
        </w:tc>
        <w:tc>
          <w:tcPr>
            <w:tcW w:w="2610" w:type="dxa"/>
            <w:noWrap/>
            <w:hideMark/>
          </w:tcPr>
          <w:p w14:paraId="4B180FA3" w14:textId="77777777" w:rsidR="00137432" w:rsidRPr="008051DC" w:rsidRDefault="00137432" w:rsidP="00790A5F">
            <w:pPr>
              <w:spacing w:line="480" w:lineRule="auto"/>
              <w:rPr>
                <w:rFonts w:ascii="Verdana" w:hAnsi="Verdana"/>
              </w:rPr>
            </w:pPr>
            <w:r w:rsidRPr="008051DC">
              <w:rPr>
                <w:rFonts w:ascii="Verdana" w:hAnsi="Verdana"/>
              </w:rPr>
              <w:t>13.00</w:t>
            </w:r>
          </w:p>
        </w:tc>
      </w:tr>
      <w:tr w:rsidR="00137432" w:rsidRPr="008051DC" w14:paraId="30B6DAA4" w14:textId="77777777" w:rsidTr="008051DC">
        <w:trPr>
          <w:trHeight w:val="300"/>
          <w:jc w:val="center"/>
        </w:trPr>
        <w:tc>
          <w:tcPr>
            <w:tcW w:w="3415" w:type="dxa"/>
            <w:noWrap/>
            <w:hideMark/>
          </w:tcPr>
          <w:p w14:paraId="6D018B4A" w14:textId="77777777" w:rsidR="00137432" w:rsidRPr="008051DC" w:rsidRDefault="00137432" w:rsidP="00790A5F">
            <w:pPr>
              <w:spacing w:line="480" w:lineRule="auto"/>
              <w:rPr>
                <w:rFonts w:ascii="Verdana" w:hAnsi="Verdana"/>
                <w:b/>
                <w:bCs/>
              </w:rPr>
            </w:pPr>
            <w:r w:rsidRPr="008051DC">
              <w:rPr>
                <w:rFonts w:ascii="Verdana" w:hAnsi="Verdana"/>
                <w:b/>
                <w:bCs/>
              </w:rPr>
              <w:t>Australia</w:t>
            </w:r>
          </w:p>
        </w:tc>
        <w:tc>
          <w:tcPr>
            <w:tcW w:w="1260" w:type="dxa"/>
            <w:noWrap/>
            <w:hideMark/>
          </w:tcPr>
          <w:p w14:paraId="6F4974D0" w14:textId="77777777" w:rsidR="00137432" w:rsidRPr="008051DC" w:rsidRDefault="00137432" w:rsidP="00790A5F">
            <w:pPr>
              <w:spacing w:line="480" w:lineRule="auto"/>
              <w:rPr>
                <w:rFonts w:ascii="Verdana" w:hAnsi="Verdana"/>
              </w:rPr>
            </w:pPr>
            <w:r w:rsidRPr="008051DC">
              <w:rPr>
                <w:rFonts w:ascii="Verdana" w:hAnsi="Verdana"/>
              </w:rPr>
              <w:t>23</w:t>
            </w:r>
          </w:p>
        </w:tc>
        <w:tc>
          <w:tcPr>
            <w:tcW w:w="2610" w:type="dxa"/>
            <w:noWrap/>
            <w:hideMark/>
          </w:tcPr>
          <w:p w14:paraId="70135528" w14:textId="77777777" w:rsidR="00137432" w:rsidRPr="008051DC" w:rsidRDefault="00137432" w:rsidP="00790A5F">
            <w:pPr>
              <w:spacing w:line="480" w:lineRule="auto"/>
              <w:rPr>
                <w:rFonts w:ascii="Verdana" w:hAnsi="Verdana"/>
              </w:rPr>
            </w:pPr>
            <w:r w:rsidRPr="008051DC">
              <w:rPr>
                <w:rFonts w:ascii="Verdana" w:hAnsi="Verdana"/>
              </w:rPr>
              <w:t>12.29</w:t>
            </w:r>
          </w:p>
        </w:tc>
      </w:tr>
      <w:tr w:rsidR="00137432" w:rsidRPr="008051DC" w14:paraId="2FBE7609" w14:textId="77777777" w:rsidTr="008051DC">
        <w:trPr>
          <w:trHeight w:val="300"/>
          <w:jc w:val="center"/>
        </w:trPr>
        <w:tc>
          <w:tcPr>
            <w:tcW w:w="3415" w:type="dxa"/>
            <w:noWrap/>
            <w:hideMark/>
          </w:tcPr>
          <w:p w14:paraId="71EE89D6" w14:textId="77777777" w:rsidR="00137432" w:rsidRPr="008051DC" w:rsidRDefault="00137432" w:rsidP="00790A5F">
            <w:pPr>
              <w:spacing w:line="480" w:lineRule="auto"/>
              <w:rPr>
                <w:rFonts w:ascii="Verdana" w:hAnsi="Verdana"/>
                <w:b/>
                <w:bCs/>
              </w:rPr>
            </w:pPr>
            <w:r w:rsidRPr="008051DC">
              <w:rPr>
                <w:rFonts w:ascii="Verdana" w:hAnsi="Verdana"/>
                <w:b/>
                <w:bCs/>
              </w:rPr>
              <w:t>Canada</w:t>
            </w:r>
          </w:p>
        </w:tc>
        <w:tc>
          <w:tcPr>
            <w:tcW w:w="1260" w:type="dxa"/>
            <w:noWrap/>
            <w:hideMark/>
          </w:tcPr>
          <w:p w14:paraId="672AC2C9" w14:textId="77777777" w:rsidR="00137432" w:rsidRPr="008051DC" w:rsidRDefault="00137432" w:rsidP="00790A5F">
            <w:pPr>
              <w:spacing w:line="480" w:lineRule="auto"/>
              <w:rPr>
                <w:rFonts w:ascii="Verdana" w:hAnsi="Verdana"/>
              </w:rPr>
            </w:pPr>
            <w:r w:rsidRPr="008051DC">
              <w:rPr>
                <w:rFonts w:ascii="Verdana" w:hAnsi="Verdana"/>
              </w:rPr>
              <w:t>25</w:t>
            </w:r>
          </w:p>
        </w:tc>
        <w:tc>
          <w:tcPr>
            <w:tcW w:w="2610" w:type="dxa"/>
            <w:noWrap/>
            <w:hideMark/>
          </w:tcPr>
          <w:p w14:paraId="6E7F9686" w14:textId="77777777" w:rsidR="00137432" w:rsidRPr="008051DC" w:rsidRDefault="00137432" w:rsidP="00790A5F">
            <w:pPr>
              <w:spacing w:line="480" w:lineRule="auto"/>
              <w:rPr>
                <w:rFonts w:ascii="Verdana" w:hAnsi="Verdana"/>
              </w:rPr>
            </w:pPr>
            <w:r w:rsidRPr="008051DC">
              <w:rPr>
                <w:rFonts w:ascii="Verdana" w:hAnsi="Verdana"/>
              </w:rPr>
              <w:t>10.93</w:t>
            </w:r>
          </w:p>
        </w:tc>
      </w:tr>
      <w:tr w:rsidR="00137432" w:rsidRPr="008051DC" w14:paraId="53F7E28C" w14:textId="77777777" w:rsidTr="008051DC">
        <w:trPr>
          <w:trHeight w:val="300"/>
          <w:jc w:val="center"/>
        </w:trPr>
        <w:tc>
          <w:tcPr>
            <w:tcW w:w="3415" w:type="dxa"/>
            <w:noWrap/>
            <w:hideMark/>
          </w:tcPr>
          <w:p w14:paraId="38C30BB7" w14:textId="77777777" w:rsidR="00137432" w:rsidRPr="008051DC" w:rsidRDefault="00137432" w:rsidP="00790A5F">
            <w:pPr>
              <w:spacing w:line="480" w:lineRule="auto"/>
              <w:rPr>
                <w:rFonts w:ascii="Verdana" w:hAnsi="Verdana"/>
                <w:b/>
                <w:bCs/>
              </w:rPr>
            </w:pPr>
            <w:r w:rsidRPr="008051DC">
              <w:rPr>
                <w:rFonts w:ascii="Verdana" w:hAnsi="Verdana"/>
                <w:b/>
                <w:bCs/>
              </w:rPr>
              <w:t>South Korea</w:t>
            </w:r>
          </w:p>
        </w:tc>
        <w:tc>
          <w:tcPr>
            <w:tcW w:w="1260" w:type="dxa"/>
            <w:noWrap/>
            <w:hideMark/>
          </w:tcPr>
          <w:p w14:paraId="2DA53A28" w14:textId="77777777" w:rsidR="00137432" w:rsidRPr="008051DC" w:rsidRDefault="00137432" w:rsidP="00790A5F">
            <w:pPr>
              <w:spacing w:line="480" w:lineRule="auto"/>
              <w:rPr>
                <w:rFonts w:ascii="Verdana" w:hAnsi="Verdana"/>
              </w:rPr>
            </w:pPr>
            <w:r w:rsidRPr="008051DC">
              <w:rPr>
                <w:rFonts w:ascii="Verdana" w:hAnsi="Verdana"/>
              </w:rPr>
              <w:t>28</w:t>
            </w:r>
          </w:p>
        </w:tc>
        <w:tc>
          <w:tcPr>
            <w:tcW w:w="2610" w:type="dxa"/>
            <w:noWrap/>
            <w:hideMark/>
          </w:tcPr>
          <w:p w14:paraId="36B4DFBB" w14:textId="77777777" w:rsidR="00137432" w:rsidRPr="008051DC" w:rsidRDefault="00137432" w:rsidP="00790A5F">
            <w:pPr>
              <w:spacing w:line="480" w:lineRule="auto"/>
              <w:rPr>
                <w:rFonts w:ascii="Verdana" w:hAnsi="Verdana"/>
              </w:rPr>
            </w:pPr>
            <w:r w:rsidRPr="008051DC">
              <w:rPr>
                <w:rFonts w:ascii="Verdana" w:hAnsi="Verdana"/>
              </w:rPr>
              <w:t>10.39</w:t>
            </w:r>
          </w:p>
        </w:tc>
      </w:tr>
      <w:tr w:rsidR="00137432" w:rsidRPr="008051DC" w14:paraId="21CF963E" w14:textId="77777777" w:rsidTr="008051DC">
        <w:trPr>
          <w:trHeight w:val="300"/>
          <w:jc w:val="center"/>
        </w:trPr>
        <w:tc>
          <w:tcPr>
            <w:tcW w:w="3415" w:type="dxa"/>
            <w:noWrap/>
            <w:hideMark/>
          </w:tcPr>
          <w:p w14:paraId="67BAF7FD" w14:textId="77777777" w:rsidR="00137432" w:rsidRPr="008051DC" w:rsidRDefault="00137432" w:rsidP="00790A5F">
            <w:pPr>
              <w:spacing w:line="480" w:lineRule="auto"/>
              <w:rPr>
                <w:rFonts w:ascii="Verdana" w:hAnsi="Verdana"/>
                <w:b/>
                <w:bCs/>
              </w:rPr>
            </w:pPr>
            <w:r w:rsidRPr="008051DC">
              <w:rPr>
                <w:rFonts w:ascii="Verdana" w:hAnsi="Verdana"/>
                <w:b/>
                <w:bCs/>
              </w:rPr>
              <w:t>Italy</w:t>
            </w:r>
          </w:p>
        </w:tc>
        <w:tc>
          <w:tcPr>
            <w:tcW w:w="1260" w:type="dxa"/>
            <w:noWrap/>
            <w:hideMark/>
          </w:tcPr>
          <w:p w14:paraId="0AC88AAB" w14:textId="77777777" w:rsidR="00137432" w:rsidRPr="008051DC" w:rsidRDefault="00137432" w:rsidP="00790A5F">
            <w:pPr>
              <w:spacing w:line="480" w:lineRule="auto"/>
              <w:rPr>
                <w:rFonts w:ascii="Verdana" w:hAnsi="Verdana"/>
              </w:rPr>
            </w:pPr>
            <w:r w:rsidRPr="008051DC">
              <w:rPr>
                <w:rFonts w:ascii="Verdana" w:hAnsi="Verdana"/>
              </w:rPr>
              <w:t>26</w:t>
            </w:r>
          </w:p>
        </w:tc>
        <w:tc>
          <w:tcPr>
            <w:tcW w:w="2610" w:type="dxa"/>
            <w:noWrap/>
            <w:hideMark/>
          </w:tcPr>
          <w:p w14:paraId="4A7C68DC" w14:textId="77777777" w:rsidR="00137432" w:rsidRPr="008051DC" w:rsidRDefault="00137432" w:rsidP="00790A5F">
            <w:pPr>
              <w:spacing w:line="480" w:lineRule="auto"/>
              <w:rPr>
                <w:rFonts w:ascii="Verdana" w:hAnsi="Verdana"/>
              </w:rPr>
            </w:pPr>
            <w:r w:rsidRPr="008051DC">
              <w:rPr>
                <w:rFonts w:ascii="Verdana" w:hAnsi="Verdana"/>
              </w:rPr>
              <w:t>10.37</w:t>
            </w:r>
          </w:p>
        </w:tc>
      </w:tr>
      <w:tr w:rsidR="00137432" w:rsidRPr="008051DC" w14:paraId="6C06C1A0" w14:textId="77777777" w:rsidTr="008051DC">
        <w:trPr>
          <w:trHeight w:val="300"/>
          <w:jc w:val="center"/>
        </w:trPr>
        <w:tc>
          <w:tcPr>
            <w:tcW w:w="3415" w:type="dxa"/>
            <w:noWrap/>
            <w:hideMark/>
          </w:tcPr>
          <w:p w14:paraId="33C38597" w14:textId="77777777" w:rsidR="00137432" w:rsidRPr="008051DC" w:rsidRDefault="00137432" w:rsidP="00790A5F">
            <w:pPr>
              <w:spacing w:line="480" w:lineRule="auto"/>
              <w:rPr>
                <w:rFonts w:ascii="Verdana" w:hAnsi="Verdana"/>
                <w:b/>
                <w:bCs/>
              </w:rPr>
            </w:pPr>
            <w:r w:rsidRPr="008051DC">
              <w:rPr>
                <w:rFonts w:ascii="Verdana" w:hAnsi="Verdana"/>
                <w:b/>
                <w:bCs/>
              </w:rPr>
              <w:t>Hong Kong</w:t>
            </w:r>
          </w:p>
        </w:tc>
        <w:tc>
          <w:tcPr>
            <w:tcW w:w="1260" w:type="dxa"/>
            <w:noWrap/>
            <w:hideMark/>
          </w:tcPr>
          <w:p w14:paraId="6EE8CD1E" w14:textId="77777777" w:rsidR="00137432" w:rsidRPr="008051DC" w:rsidRDefault="00137432" w:rsidP="00790A5F">
            <w:pPr>
              <w:spacing w:line="480" w:lineRule="auto"/>
              <w:rPr>
                <w:rFonts w:ascii="Verdana" w:hAnsi="Verdana"/>
              </w:rPr>
            </w:pPr>
            <w:r w:rsidRPr="008051DC">
              <w:rPr>
                <w:rFonts w:ascii="Verdana" w:hAnsi="Verdana"/>
              </w:rPr>
              <w:t>26</w:t>
            </w:r>
          </w:p>
        </w:tc>
        <w:tc>
          <w:tcPr>
            <w:tcW w:w="2610" w:type="dxa"/>
            <w:noWrap/>
            <w:hideMark/>
          </w:tcPr>
          <w:p w14:paraId="7411DAE0" w14:textId="77777777" w:rsidR="00137432" w:rsidRPr="008051DC" w:rsidRDefault="00137432" w:rsidP="00790A5F">
            <w:pPr>
              <w:spacing w:line="480" w:lineRule="auto"/>
              <w:rPr>
                <w:rFonts w:ascii="Verdana" w:hAnsi="Verdana"/>
              </w:rPr>
            </w:pPr>
            <w:r w:rsidRPr="008051DC">
              <w:rPr>
                <w:rFonts w:ascii="Verdana" w:hAnsi="Verdana"/>
              </w:rPr>
              <w:t>10.16</w:t>
            </w:r>
          </w:p>
        </w:tc>
      </w:tr>
      <w:tr w:rsidR="00137432" w:rsidRPr="008051DC" w14:paraId="6C476106" w14:textId="77777777" w:rsidTr="008051DC">
        <w:trPr>
          <w:trHeight w:val="300"/>
          <w:jc w:val="center"/>
        </w:trPr>
        <w:tc>
          <w:tcPr>
            <w:tcW w:w="3415" w:type="dxa"/>
            <w:noWrap/>
            <w:hideMark/>
          </w:tcPr>
          <w:p w14:paraId="5A3F19E0" w14:textId="77777777" w:rsidR="00137432" w:rsidRPr="008051DC" w:rsidRDefault="00137432" w:rsidP="00790A5F">
            <w:pPr>
              <w:spacing w:line="480" w:lineRule="auto"/>
              <w:rPr>
                <w:rFonts w:ascii="Verdana" w:hAnsi="Verdana"/>
                <w:b/>
                <w:bCs/>
              </w:rPr>
            </w:pPr>
            <w:r w:rsidRPr="008051DC">
              <w:rPr>
                <w:rFonts w:ascii="Verdana" w:hAnsi="Verdana"/>
                <w:b/>
                <w:bCs/>
              </w:rPr>
              <w:t>Luxembourg</w:t>
            </w:r>
          </w:p>
        </w:tc>
        <w:tc>
          <w:tcPr>
            <w:tcW w:w="1260" w:type="dxa"/>
            <w:noWrap/>
            <w:hideMark/>
          </w:tcPr>
          <w:p w14:paraId="41D07EDE" w14:textId="77777777" w:rsidR="00137432" w:rsidRPr="008051DC" w:rsidRDefault="00137432" w:rsidP="00790A5F">
            <w:pPr>
              <w:spacing w:line="480" w:lineRule="auto"/>
              <w:rPr>
                <w:rFonts w:ascii="Verdana" w:hAnsi="Verdana"/>
              </w:rPr>
            </w:pPr>
            <w:r w:rsidRPr="008051DC">
              <w:rPr>
                <w:rFonts w:ascii="Verdana" w:hAnsi="Verdana"/>
              </w:rPr>
              <w:t>17</w:t>
            </w:r>
          </w:p>
        </w:tc>
        <w:tc>
          <w:tcPr>
            <w:tcW w:w="2610" w:type="dxa"/>
            <w:noWrap/>
            <w:hideMark/>
          </w:tcPr>
          <w:p w14:paraId="769FD1FA" w14:textId="77777777" w:rsidR="00137432" w:rsidRPr="008051DC" w:rsidRDefault="00137432" w:rsidP="00790A5F">
            <w:pPr>
              <w:spacing w:line="480" w:lineRule="auto"/>
              <w:rPr>
                <w:rFonts w:ascii="Verdana" w:hAnsi="Verdana"/>
              </w:rPr>
            </w:pPr>
            <w:r w:rsidRPr="008051DC">
              <w:rPr>
                <w:rFonts w:ascii="Verdana" w:hAnsi="Verdana"/>
              </w:rPr>
              <w:t>9.44</w:t>
            </w:r>
          </w:p>
        </w:tc>
      </w:tr>
      <w:tr w:rsidR="00137432" w:rsidRPr="008051DC" w14:paraId="3C0C74EE" w14:textId="77777777" w:rsidTr="008051DC">
        <w:trPr>
          <w:trHeight w:val="300"/>
          <w:jc w:val="center"/>
        </w:trPr>
        <w:tc>
          <w:tcPr>
            <w:tcW w:w="3415" w:type="dxa"/>
            <w:noWrap/>
            <w:hideMark/>
          </w:tcPr>
          <w:p w14:paraId="0962111A" w14:textId="77777777" w:rsidR="00137432" w:rsidRPr="008051DC" w:rsidRDefault="00137432" w:rsidP="00790A5F">
            <w:pPr>
              <w:spacing w:line="480" w:lineRule="auto"/>
              <w:rPr>
                <w:rFonts w:ascii="Verdana" w:hAnsi="Verdana"/>
                <w:b/>
                <w:bCs/>
              </w:rPr>
            </w:pPr>
            <w:r w:rsidRPr="008051DC">
              <w:rPr>
                <w:rFonts w:ascii="Verdana" w:hAnsi="Verdana"/>
                <w:b/>
                <w:bCs/>
              </w:rPr>
              <w:t>Cayman Islands</w:t>
            </w:r>
          </w:p>
        </w:tc>
        <w:tc>
          <w:tcPr>
            <w:tcW w:w="1260" w:type="dxa"/>
            <w:noWrap/>
            <w:hideMark/>
          </w:tcPr>
          <w:p w14:paraId="1236D7E8" w14:textId="77777777" w:rsidR="00137432" w:rsidRPr="008051DC" w:rsidRDefault="00137432" w:rsidP="00790A5F">
            <w:pPr>
              <w:spacing w:line="480" w:lineRule="auto"/>
              <w:rPr>
                <w:rFonts w:ascii="Verdana" w:hAnsi="Verdana"/>
              </w:rPr>
            </w:pPr>
            <w:r w:rsidRPr="008051DC">
              <w:rPr>
                <w:rFonts w:ascii="Verdana" w:hAnsi="Verdana"/>
              </w:rPr>
              <w:t>26</w:t>
            </w:r>
          </w:p>
        </w:tc>
        <w:tc>
          <w:tcPr>
            <w:tcW w:w="2610" w:type="dxa"/>
            <w:noWrap/>
            <w:hideMark/>
          </w:tcPr>
          <w:p w14:paraId="5D05A15E" w14:textId="77777777" w:rsidR="00137432" w:rsidRPr="008051DC" w:rsidRDefault="00137432" w:rsidP="00790A5F">
            <w:pPr>
              <w:spacing w:line="480" w:lineRule="auto"/>
              <w:rPr>
                <w:rFonts w:ascii="Verdana" w:hAnsi="Verdana"/>
              </w:rPr>
            </w:pPr>
            <w:r w:rsidRPr="008051DC">
              <w:rPr>
                <w:rFonts w:ascii="Verdana" w:hAnsi="Verdana"/>
              </w:rPr>
              <w:t>8.38</w:t>
            </w:r>
          </w:p>
        </w:tc>
      </w:tr>
      <w:tr w:rsidR="00137432" w:rsidRPr="008051DC" w14:paraId="3B0C415D" w14:textId="77777777" w:rsidTr="008051DC">
        <w:trPr>
          <w:trHeight w:val="300"/>
          <w:jc w:val="center"/>
        </w:trPr>
        <w:tc>
          <w:tcPr>
            <w:tcW w:w="3415" w:type="dxa"/>
            <w:noWrap/>
            <w:hideMark/>
          </w:tcPr>
          <w:p w14:paraId="44EEA9E0" w14:textId="77777777" w:rsidR="00137432" w:rsidRPr="008051DC" w:rsidRDefault="00137432" w:rsidP="00790A5F">
            <w:pPr>
              <w:spacing w:line="480" w:lineRule="auto"/>
              <w:rPr>
                <w:rFonts w:ascii="Verdana" w:hAnsi="Verdana"/>
                <w:b/>
                <w:bCs/>
              </w:rPr>
            </w:pPr>
            <w:r w:rsidRPr="008051DC">
              <w:rPr>
                <w:rFonts w:ascii="Verdana" w:hAnsi="Verdana"/>
                <w:b/>
                <w:bCs/>
              </w:rPr>
              <w:t>India</w:t>
            </w:r>
          </w:p>
        </w:tc>
        <w:tc>
          <w:tcPr>
            <w:tcW w:w="1260" w:type="dxa"/>
            <w:noWrap/>
            <w:hideMark/>
          </w:tcPr>
          <w:p w14:paraId="12F7C0EF" w14:textId="77777777" w:rsidR="00137432" w:rsidRPr="008051DC" w:rsidRDefault="00137432" w:rsidP="00790A5F">
            <w:pPr>
              <w:spacing w:line="480" w:lineRule="auto"/>
              <w:rPr>
                <w:rFonts w:ascii="Verdana" w:hAnsi="Verdana"/>
              </w:rPr>
            </w:pPr>
            <w:r w:rsidRPr="008051DC">
              <w:rPr>
                <w:rFonts w:ascii="Verdana" w:hAnsi="Verdana"/>
              </w:rPr>
              <w:t>37</w:t>
            </w:r>
          </w:p>
        </w:tc>
        <w:tc>
          <w:tcPr>
            <w:tcW w:w="2610" w:type="dxa"/>
            <w:noWrap/>
            <w:hideMark/>
          </w:tcPr>
          <w:p w14:paraId="45B13A09" w14:textId="77777777" w:rsidR="00137432" w:rsidRPr="008051DC" w:rsidRDefault="00137432" w:rsidP="00790A5F">
            <w:pPr>
              <w:spacing w:line="480" w:lineRule="auto"/>
              <w:rPr>
                <w:rFonts w:ascii="Verdana" w:hAnsi="Verdana"/>
              </w:rPr>
            </w:pPr>
            <w:r w:rsidRPr="008051DC">
              <w:rPr>
                <w:rFonts w:ascii="Verdana" w:hAnsi="Verdana"/>
              </w:rPr>
              <w:t>6.95</w:t>
            </w:r>
          </w:p>
        </w:tc>
      </w:tr>
      <w:tr w:rsidR="00137432" w:rsidRPr="008051DC" w14:paraId="4B3CEE1B" w14:textId="77777777" w:rsidTr="008051DC">
        <w:trPr>
          <w:trHeight w:val="300"/>
          <w:jc w:val="center"/>
        </w:trPr>
        <w:tc>
          <w:tcPr>
            <w:tcW w:w="3415" w:type="dxa"/>
            <w:noWrap/>
            <w:hideMark/>
          </w:tcPr>
          <w:p w14:paraId="60345B4F" w14:textId="77777777" w:rsidR="00137432" w:rsidRPr="008051DC" w:rsidRDefault="00137432" w:rsidP="00790A5F">
            <w:pPr>
              <w:spacing w:line="480" w:lineRule="auto"/>
              <w:rPr>
                <w:rFonts w:ascii="Verdana" w:hAnsi="Verdana"/>
                <w:b/>
                <w:bCs/>
              </w:rPr>
            </w:pPr>
            <w:r w:rsidRPr="008051DC">
              <w:rPr>
                <w:rFonts w:ascii="Verdana" w:hAnsi="Verdana"/>
                <w:b/>
                <w:bCs/>
              </w:rPr>
              <w:t>Mauritius</w:t>
            </w:r>
          </w:p>
        </w:tc>
        <w:tc>
          <w:tcPr>
            <w:tcW w:w="1260" w:type="dxa"/>
            <w:noWrap/>
            <w:hideMark/>
          </w:tcPr>
          <w:p w14:paraId="539FCD53" w14:textId="77777777" w:rsidR="00137432" w:rsidRPr="008051DC" w:rsidRDefault="00137432" w:rsidP="00790A5F">
            <w:pPr>
              <w:spacing w:line="480" w:lineRule="auto"/>
              <w:rPr>
                <w:rFonts w:ascii="Verdana" w:hAnsi="Verdana"/>
              </w:rPr>
            </w:pPr>
            <w:r w:rsidRPr="008051DC">
              <w:rPr>
                <w:rFonts w:ascii="Verdana" w:hAnsi="Verdana"/>
              </w:rPr>
              <w:t>12</w:t>
            </w:r>
          </w:p>
        </w:tc>
        <w:tc>
          <w:tcPr>
            <w:tcW w:w="2610" w:type="dxa"/>
            <w:noWrap/>
            <w:hideMark/>
          </w:tcPr>
          <w:p w14:paraId="3494CB02" w14:textId="77777777" w:rsidR="00137432" w:rsidRPr="008051DC" w:rsidRDefault="00137432" w:rsidP="00790A5F">
            <w:pPr>
              <w:spacing w:line="480" w:lineRule="auto"/>
              <w:rPr>
                <w:rFonts w:ascii="Verdana" w:hAnsi="Verdana"/>
              </w:rPr>
            </w:pPr>
            <w:r w:rsidRPr="008051DC">
              <w:rPr>
                <w:rFonts w:ascii="Verdana" w:hAnsi="Verdana"/>
              </w:rPr>
              <w:t>5.72</w:t>
            </w:r>
          </w:p>
        </w:tc>
      </w:tr>
      <w:tr w:rsidR="00137432" w:rsidRPr="008051DC" w14:paraId="13ABD904" w14:textId="77777777" w:rsidTr="008051DC">
        <w:trPr>
          <w:trHeight w:val="300"/>
          <w:jc w:val="center"/>
        </w:trPr>
        <w:tc>
          <w:tcPr>
            <w:tcW w:w="3415" w:type="dxa"/>
            <w:noWrap/>
            <w:hideMark/>
          </w:tcPr>
          <w:p w14:paraId="7B876E9A" w14:textId="77777777" w:rsidR="00137432" w:rsidRPr="008051DC" w:rsidRDefault="00137432" w:rsidP="00790A5F">
            <w:pPr>
              <w:spacing w:line="480" w:lineRule="auto"/>
              <w:rPr>
                <w:rFonts w:ascii="Verdana" w:hAnsi="Verdana"/>
                <w:b/>
                <w:bCs/>
              </w:rPr>
            </w:pPr>
            <w:r w:rsidRPr="008051DC">
              <w:rPr>
                <w:rFonts w:ascii="Verdana" w:hAnsi="Verdana"/>
                <w:b/>
                <w:bCs/>
              </w:rPr>
              <w:t>Finland</w:t>
            </w:r>
          </w:p>
        </w:tc>
        <w:tc>
          <w:tcPr>
            <w:tcW w:w="1260" w:type="dxa"/>
            <w:noWrap/>
            <w:hideMark/>
          </w:tcPr>
          <w:p w14:paraId="15AB0043" w14:textId="77777777" w:rsidR="00137432" w:rsidRPr="008051DC" w:rsidRDefault="00137432" w:rsidP="00790A5F">
            <w:pPr>
              <w:spacing w:line="480" w:lineRule="auto"/>
              <w:rPr>
                <w:rFonts w:ascii="Verdana" w:hAnsi="Verdana"/>
              </w:rPr>
            </w:pPr>
            <w:r w:rsidRPr="008051DC">
              <w:rPr>
                <w:rFonts w:ascii="Verdana" w:hAnsi="Verdana"/>
              </w:rPr>
              <w:t>15</w:t>
            </w:r>
          </w:p>
        </w:tc>
        <w:tc>
          <w:tcPr>
            <w:tcW w:w="2610" w:type="dxa"/>
            <w:noWrap/>
            <w:hideMark/>
          </w:tcPr>
          <w:p w14:paraId="5C35B69F" w14:textId="77777777" w:rsidR="00137432" w:rsidRPr="008051DC" w:rsidRDefault="00137432" w:rsidP="00790A5F">
            <w:pPr>
              <w:spacing w:line="480" w:lineRule="auto"/>
              <w:rPr>
                <w:rFonts w:ascii="Verdana" w:hAnsi="Verdana"/>
              </w:rPr>
            </w:pPr>
            <w:r w:rsidRPr="008051DC">
              <w:rPr>
                <w:rFonts w:ascii="Verdana" w:hAnsi="Verdana"/>
              </w:rPr>
              <w:t>5.55</w:t>
            </w:r>
          </w:p>
        </w:tc>
      </w:tr>
      <w:tr w:rsidR="00137432" w:rsidRPr="008051DC" w14:paraId="2137147A" w14:textId="77777777" w:rsidTr="008051DC">
        <w:trPr>
          <w:trHeight w:val="300"/>
          <w:jc w:val="center"/>
        </w:trPr>
        <w:tc>
          <w:tcPr>
            <w:tcW w:w="3415" w:type="dxa"/>
            <w:noWrap/>
            <w:hideMark/>
          </w:tcPr>
          <w:p w14:paraId="42B12D78" w14:textId="77777777" w:rsidR="00137432" w:rsidRPr="008051DC" w:rsidRDefault="00137432" w:rsidP="00790A5F">
            <w:pPr>
              <w:spacing w:line="480" w:lineRule="auto"/>
              <w:rPr>
                <w:rFonts w:ascii="Verdana" w:hAnsi="Verdana"/>
                <w:b/>
                <w:bCs/>
              </w:rPr>
            </w:pPr>
            <w:r w:rsidRPr="008051DC">
              <w:rPr>
                <w:rFonts w:ascii="Verdana" w:hAnsi="Verdana"/>
                <w:b/>
                <w:bCs/>
              </w:rPr>
              <w:t>Austria</w:t>
            </w:r>
          </w:p>
        </w:tc>
        <w:tc>
          <w:tcPr>
            <w:tcW w:w="1260" w:type="dxa"/>
            <w:noWrap/>
            <w:hideMark/>
          </w:tcPr>
          <w:p w14:paraId="222A2538" w14:textId="77777777" w:rsidR="00137432" w:rsidRPr="008051DC" w:rsidRDefault="00137432" w:rsidP="00790A5F">
            <w:pPr>
              <w:spacing w:line="480" w:lineRule="auto"/>
              <w:rPr>
                <w:rFonts w:ascii="Verdana" w:hAnsi="Verdana"/>
              </w:rPr>
            </w:pPr>
            <w:r w:rsidRPr="008051DC">
              <w:rPr>
                <w:rFonts w:ascii="Verdana" w:hAnsi="Verdana"/>
              </w:rPr>
              <w:t>13</w:t>
            </w:r>
          </w:p>
        </w:tc>
        <w:tc>
          <w:tcPr>
            <w:tcW w:w="2610" w:type="dxa"/>
            <w:noWrap/>
            <w:hideMark/>
          </w:tcPr>
          <w:p w14:paraId="45E299E7" w14:textId="77777777" w:rsidR="00137432" w:rsidRPr="008051DC" w:rsidRDefault="00137432" w:rsidP="00790A5F">
            <w:pPr>
              <w:spacing w:line="480" w:lineRule="auto"/>
              <w:rPr>
                <w:rFonts w:ascii="Verdana" w:hAnsi="Verdana"/>
              </w:rPr>
            </w:pPr>
            <w:r w:rsidRPr="008051DC">
              <w:rPr>
                <w:rFonts w:ascii="Verdana" w:hAnsi="Verdana"/>
              </w:rPr>
              <w:t>5.40</w:t>
            </w:r>
          </w:p>
        </w:tc>
      </w:tr>
      <w:tr w:rsidR="00137432" w:rsidRPr="008051DC" w14:paraId="385E6E17" w14:textId="77777777" w:rsidTr="008051DC">
        <w:trPr>
          <w:trHeight w:val="300"/>
          <w:jc w:val="center"/>
        </w:trPr>
        <w:tc>
          <w:tcPr>
            <w:tcW w:w="3415" w:type="dxa"/>
            <w:noWrap/>
            <w:hideMark/>
          </w:tcPr>
          <w:p w14:paraId="591952D4" w14:textId="77777777" w:rsidR="00137432" w:rsidRPr="008051DC" w:rsidRDefault="00137432" w:rsidP="00790A5F">
            <w:pPr>
              <w:spacing w:line="480" w:lineRule="auto"/>
              <w:rPr>
                <w:rFonts w:ascii="Verdana" w:hAnsi="Verdana"/>
                <w:b/>
                <w:bCs/>
              </w:rPr>
            </w:pPr>
            <w:r w:rsidRPr="008051DC">
              <w:rPr>
                <w:rFonts w:ascii="Verdana" w:hAnsi="Verdana"/>
                <w:b/>
                <w:bCs/>
              </w:rPr>
              <w:t>British Virgin Islands</w:t>
            </w:r>
          </w:p>
        </w:tc>
        <w:tc>
          <w:tcPr>
            <w:tcW w:w="1260" w:type="dxa"/>
            <w:noWrap/>
            <w:hideMark/>
          </w:tcPr>
          <w:p w14:paraId="3B8B65EF" w14:textId="77777777" w:rsidR="00137432" w:rsidRPr="008051DC" w:rsidRDefault="00137432" w:rsidP="00790A5F">
            <w:pPr>
              <w:spacing w:line="480" w:lineRule="auto"/>
              <w:rPr>
                <w:rFonts w:ascii="Verdana" w:hAnsi="Verdana"/>
              </w:rPr>
            </w:pPr>
            <w:r w:rsidRPr="008051DC">
              <w:rPr>
                <w:rFonts w:ascii="Verdana" w:hAnsi="Verdana"/>
              </w:rPr>
              <w:t>14</w:t>
            </w:r>
          </w:p>
        </w:tc>
        <w:tc>
          <w:tcPr>
            <w:tcW w:w="2610" w:type="dxa"/>
            <w:noWrap/>
            <w:hideMark/>
          </w:tcPr>
          <w:p w14:paraId="6DD25046" w14:textId="77777777" w:rsidR="00137432" w:rsidRPr="008051DC" w:rsidRDefault="00137432" w:rsidP="00790A5F">
            <w:pPr>
              <w:spacing w:line="480" w:lineRule="auto"/>
              <w:rPr>
                <w:rFonts w:ascii="Verdana" w:hAnsi="Verdana"/>
              </w:rPr>
            </w:pPr>
            <w:r w:rsidRPr="008051DC">
              <w:rPr>
                <w:rFonts w:ascii="Verdana" w:hAnsi="Verdana"/>
              </w:rPr>
              <w:t>4.38</w:t>
            </w:r>
          </w:p>
        </w:tc>
      </w:tr>
      <w:tr w:rsidR="00137432" w:rsidRPr="008051DC" w14:paraId="05D89005" w14:textId="77777777" w:rsidTr="008051DC">
        <w:trPr>
          <w:trHeight w:val="315"/>
          <w:jc w:val="center"/>
        </w:trPr>
        <w:tc>
          <w:tcPr>
            <w:tcW w:w="3415" w:type="dxa"/>
            <w:noWrap/>
            <w:hideMark/>
          </w:tcPr>
          <w:p w14:paraId="19B2281F" w14:textId="77777777" w:rsidR="00137432" w:rsidRPr="008051DC" w:rsidRDefault="00137432" w:rsidP="00790A5F">
            <w:pPr>
              <w:spacing w:line="480" w:lineRule="auto"/>
              <w:rPr>
                <w:rFonts w:ascii="Verdana" w:hAnsi="Verdana"/>
                <w:b/>
                <w:bCs/>
              </w:rPr>
            </w:pPr>
            <w:r w:rsidRPr="008051DC">
              <w:rPr>
                <w:rFonts w:ascii="Verdana" w:hAnsi="Verdana"/>
                <w:b/>
                <w:bCs/>
              </w:rPr>
              <w:t>Brazil</w:t>
            </w:r>
          </w:p>
        </w:tc>
        <w:tc>
          <w:tcPr>
            <w:tcW w:w="1260" w:type="dxa"/>
            <w:noWrap/>
            <w:hideMark/>
          </w:tcPr>
          <w:p w14:paraId="62B9F6D7" w14:textId="77777777" w:rsidR="00137432" w:rsidRPr="008051DC" w:rsidRDefault="00137432" w:rsidP="00790A5F">
            <w:pPr>
              <w:spacing w:line="480" w:lineRule="auto"/>
              <w:rPr>
                <w:rFonts w:ascii="Verdana" w:hAnsi="Verdana"/>
              </w:rPr>
            </w:pPr>
            <w:r w:rsidRPr="008051DC">
              <w:rPr>
                <w:rFonts w:ascii="Verdana" w:hAnsi="Verdana"/>
              </w:rPr>
              <w:t>28</w:t>
            </w:r>
          </w:p>
        </w:tc>
        <w:tc>
          <w:tcPr>
            <w:tcW w:w="2610" w:type="dxa"/>
            <w:noWrap/>
            <w:hideMark/>
          </w:tcPr>
          <w:p w14:paraId="133F7E2F" w14:textId="77777777" w:rsidR="00137432" w:rsidRPr="008051DC" w:rsidRDefault="00137432" w:rsidP="00790A5F">
            <w:pPr>
              <w:spacing w:line="480" w:lineRule="auto"/>
              <w:rPr>
                <w:rFonts w:ascii="Verdana" w:hAnsi="Verdana"/>
              </w:rPr>
            </w:pPr>
            <w:r w:rsidRPr="008051DC">
              <w:rPr>
                <w:rFonts w:ascii="Verdana" w:hAnsi="Verdana"/>
              </w:rPr>
              <w:t>4.24</w:t>
            </w:r>
          </w:p>
        </w:tc>
      </w:tr>
      <w:tr w:rsidR="00137432" w:rsidRPr="008051DC" w14:paraId="09ADF845" w14:textId="77777777" w:rsidTr="008051DC">
        <w:trPr>
          <w:trHeight w:val="300"/>
          <w:jc w:val="center"/>
        </w:trPr>
        <w:tc>
          <w:tcPr>
            <w:tcW w:w="3415" w:type="dxa"/>
            <w:noWrap/>
            <w:hideMark/>
          </w:tcPr>
          <w:p w14:paraId="6019B31B" w14:textId="77777777" w:rsidR="00137432" w:rsidRPr="008051DC" w:rsidRDefault="00137432" w:rsidP="00790A5F">
            <w:pPr>
              <w:spacing w:line="480" w:lineRule="auto"/>
              <w:rPr>
                <w:rFonts w:ascii="Verdana" w:hAnsi="Verdana"/>
                <w:b/>
                <w:bCs/>
              </w:rPr>
            </w:pPr>
            <w:r w:rsidRPr="008051DC">
              <w:rPr>
                <w:rFonts w:ascii="Verdana" w:hAnsi="Verdana"/>
                <w:b/>
                <w:bCs/>
              </w:rPr>
              <w:t>Others</w:t>
            </w:r>
          </w:p>
        </w:tc>
        <w:tc>
          <w:tcPr>
            <w:tcW w:w="1260" w:type="dxa"/>
            <w:noWrap/>
            <w:hideMark/>
          </w:tcPr>
          <w:p w14:paraId="54F901DA" w14:textId="77777777" w:rsidR="00137432" w:rsidRPr="008051DC" w:rsidRDefault="00137432" w:rsidP="00790A5F">
            <w:pPr>
              <w:spacing w:line="480" w:lineRule="auto"/>
              <w:rPr>
                <w:rFonts w:ascii="Verdana" w:hAnsi="Verdana"/>
              </w:rPr>
            </w:pPr>
            <w:r w:rsidRPr="008051DC">
              <w:rPr>
                <w:rFonts w:ascii="Verdana" w:hAnsi="Verdana"/>
              </w:rPr>
              <w:t>312</w:t>
            </w:r>
          </w:p>
        </w:tc>
        <w:tc>
          <w:tcPr>
            <w:tcW w:w="2610" w:type="dxa"/>
            <w:noWrap/>
            <w:hideMark/>
          </w:tcPr>
          <w:p w14:paraId="6FC8E960" w14:textId="77777777" w:rsidR="00137432" w:rsidRPr="008051DC" w:rsidRDefault="00137432" w:rsidP="00790A5F">
            <w:pPr>
              <w:spacing w:line="480" w:lineRule="auto"/>
              <w:rPr>
                <w:rFonts w:ascii="Verdana" w:hAnsi="Verdana"/>
              </w:rPr>
            </w:pPr>
            <w:r w:rsidRPr="008051DC">
              <w:rPr>
                <w:rFonts w:ascii="Verdana" w:hAnsi="Verdana"/>
              </w:rPr>
              <w:t>31.94</w:t>
            </w:r>
          </w:p>
        </w:tc>
      </w:tr>
    </w:tbl>
    <w:p w14:paraId="5696B479" w14:textId="252EADB0" w:rsidR="00E62FB9" w:rsidRPr="008051DC" w:rsidRDefault="00E62FB9" w:rsidP="00790A5F">
      <w:pPr>
        <w:spacing w:line="480" w:lineRule="auto"/>
        <w:rPr>
          <w:rFonts w:ascii="Verdana" w:hAnsi="Verdana"/>
        </w:rPr>
      </w:pPr>
    </w:p>
    <w:p w14:paraId="0ACA09A4" w14:textId="015512F6" w:rsidR="008051DC" w:rsidRPr="00755635" w:rsidRDefault="008051DC" w:rsidP="00790A5F">
      <w:pPr>
        <w:spacing w:line="480" w:lineRule="auto"/>
        <w:rPr>
          <w:rFonts w:ascii="Verdana" w:hAnsi="Verdana"/>
          <w:sz w:val="24"/>
          <w:szCs w:val="24"/>
        </w:rPr>
      </w:pPr>
    </w:p>
    <w:p w14:paraId="1D85A4EC" w14:textId="57A1D5A4" w:rsidR="00463586" w:rsidRPr="00755635" w:rsidRDefault="006634BF" w:rsidP="00790A5F">
      <w:pPr>
        <w:spacing w:line="480" w:lineRule="auto"/>
        <w:rPr>
          <w:rFonts w:ascii="Verdana" w:hAnsi="Verdana"/>
          <w:sz w:val="24"/>
          <w:szCs w:val="24"/>
        </w:rPr>
      </w:pPr>
      <w:r w:rsidRPr="00755635">
        <w:rPr>
          <w:rFonts w:ascii="Verdana" w:hAnsi="Verdana"/>
          <w:sz w:val="24"/>
          <w:szCs w:val="24"/>
        </w:rPr>
        <w:lastRenderedPageBreak/>
        <w:t xml:space="preserve">Table 4 shows a summary of the main data regarding </w:t>
      </w:r>
      <w:r w:rsidR="00561486" w:rsidRPr="00755635">
        <w:rPr>
          <w:rFonts w:ascii="Verdana" w:hAnsi="Verdana"/>
          <w:sz w:val="24"/>
          <w:szCs w:val="24"/>
        </w:rPr>
        <w:t xml:space="preserve">green </w:t>
      </w:r>
      <w:r w:rsidRPr="00755635">
        <w:rPr>
          <w:rFonts w:ascii="Verdana" w:hAnsi="Verdana"/>
          <w:sz w:val="24"/>
          <w:szCs w:val="24"/>
        </w:rPr>
        <w:t xml:space="preserve">bonds in the dataset, </w:t>
      </w:r>
      <w:r w:rsidR="00463586" w:rsidRPr="00755635">
        <w:rPr>
          <w:rFonts w:ascii="Verdana" w:hAnsi="Verdana"/>
          <w:sz w:val="24"/>
          <w:szCs w:val="24"/>
        </w:rPr>
        <w:t xml:space="preserve">while providing also a distinction between </w:t>
      </w:r>
      <w:r w:rsidR="00561486" w:rsidRPr="00755635">
        <w:rPr>
          <w:rFonts w:ascii="Verdana" w:hAnsi="Verdana"/>
          <w:sz w:val="24"/>
          <w:szCs w:val="24"/>
        </w:rPr>
        <w:t xml:space="preserve">the ones issued by public and private companies. The </w:t>
      </w:r>
      <w:r w:rsidR="00463586" w:rsidRPr="00755635">
        <w:rPr>
          <w:rFonts w:ascii="Verdana" w:hAnsi="Verdana"/>
          <w:sz w:val="24"/>
          <w:szCs w:val="24"/>
        </w:rPr>
        <w:t>main issue</w:t>
      </w:r>
      <w:r w:rsidR="00561486" w:rsidRPr="00755635">
        <w:rPr>
          <w:rFonts w:ascii="Verdana" w:hAnsi="Verdana"/>
          <w:sz w:val="24"/>
          <w:szCs w:val="24"/>
        </w:rPr>
        <w:t xml:space="preserve"> with this kind of </w:t>
      </w:r>
      <w:r w:rsidR="00463586" w:rsidRPr="00755635">
        <w:rPr>
          <w:rFonts w:ascii="Verdana" w:hAnsi="Verdana"/>
          <w:sz w:val="24"/>
          <w:szCs w:val="24"/>
        </w:rPr>
        <w:t>analysis</w:t>
      </w:r>
      <w:r w:rsidRPr="00755635">
        <w:rPr>
          <w:rFonts w:ascii="Verdana" w:hAnsi="Verdana"/>
          <w:sz w:val="24"/>
          <w:szCs w:val="24"/>
        </w:rPr>
        <w:t xml:space="preserve"> </w:t>
      </w:r>
      <w:r w:rsidR="00463586" w:rsidRPr="00755635">
        <w:rPr>
          <w:rFonts w:ascii="Verdana" w:hAnsi="Verdana"/>
          <w:sz w:val="24"/>
          <w:szCs w:val="24"/>
        </w:rPr>
        <w:t>is that public companies often issue their securities through their subsidiaries. In order to solve this conundrum, I g</w:t>
      </w:r>
      <w:r w:rsidR="001C1531" w:rsidRPr="00755635">
        <w:rPr>
          <w:rFonts w:ascii="Verdana" w:hAnsi="Verdana"/>
          <w:sz w:val="24"/>
          <w:szCs w:val="24"/>
        </w:rPr>
        <w:t>e</w:t>
      </w:r>
      <w:r w:rsidR="00463586" w:rsidRPr="00755635">
        <w:rPr>
          <w:rFonts w:ascii="Verdana" w:hAnsi="Verdana"/>
          <w:sz w:val="24"/>
          <w:szCs w:val="24"/>
        </w:rPr>
        <w:t>t the Ultimate Parent Id for each bond’s issuer and then I verif</w:t>
      </w:r>
      <w:r w:rsidR="001C1531" w:rsidRPr="00755635">
        <w:rPr>
          <w:rFonts w:ascii="Verdana" w:hAnsi="Verdana"/>
          <w:sz w:val="24"/>
          <w:szCs w:val="24"/>
        </w:rPr>
        <w:t>y whether</w:t>
      </w:r>
      <w:r w:rsidR="00463586" w:rsidRPr="00755635">
        <w:rPr>
          <w:rFonts w:ascii="Verdana" w:hAnsi="Verdana"/>
          <w:sz w:val="24"/>
          <w:szCs w:val="24"/>
        </w:rPr>
        <w:t xml:space="preserve"> Refinitiv list</w:t>
      </w:r>
      <w:r w:rsidR="001C1531" w:rsidRPr="00755635">
        <w:rPr>
          <w:rFonts w:ascii="Verdana" w:hAnsi="Verdana"/>
          <w:sz w:val="24"/>
          <w:szCs w:val="24"/>
        </w:rPr>
        <w:t xml:space="preserve">s </w:t>
      </w:r>
      <w:r w:rsidR="00463586" w:rsidRPr="00755635">
        <w:rPr>
          <w:rFonts w:ascii="Verdana" w:hAnsi="Verdana"/>
          <w:sz w:val="24"/>
          <w:szCs w:val="24"/>
        </w:rPr>
        <w:t>the ultimate parent as public.</w:t>
      </w:r>
      <w:r w:rsidR="00CE0C80" w:rsidRPr="00755635">
        <w:rPr>
          <w:rFonts w:ascii="Verdana" w:hAnsi="Verdana"/>
          <w:sz w:val="24"/>
          <w:szCs w:val="24"/>
        </w:rPr>
        <w:t xml:space="preserve"> I then replicate the analysis distinguishing 4 categories: </w:t>
      </w:r>
    </w:p>
    <w:p w14:paraId="768DC978" w14:textId="6263073A" w:rsidR="00CE0C80" w:rsidRPr="00755635" w:rsidRDefault="00CE0C80" w:rsidP="00790A5F">
      <w:pPr>
        <w:pStyle w:val="ListParagraph"/>
        <w:numPr>
          <w:ilvl w:val="0"/>
          <w:numId w:val="10"/>
        </w:numPr>
        <w:spacing w:line="480" w:lineRule="auto"/>
        <w:rPr>
          <w:rFonts w:ascii="Verdana" w:hAnsi="Verdana"/>
          <w:sz w:val="24"/>
          <w:szCs w:val="24"/>
        </w:rPr>
      </w:pPr>
      <w:r w:rsidRPr="00755635">
        <w:rPr>
          <w:rFonts w:ascii="Verdana" w:hAnsi="Verdana"/>
          <w:sz w:val="24"/>
          <w:szCs w:val="24"/>
        </w:rPr>
        <w:t>Issuers labelled as private companies;</w:t>
      </w:r>
    </w:p>
    <w:p w14:paraId="0C19305D" w14:textId="0C6F1DA7" w:rsidR="00CE0C80" w:rsidRPr="00755635" w:rsidRDefault="00CE0C80" w:rsidP="00790A5F">
      <w:pPr>
        <w:pStyle w:val="ListParagraph"/>
        <w:numPr>
          <w:ilvl w:val="0"/>
          <w:numId w:val="10"/>
        </w:numPr>
        <w:spacing w:line="480" w:lineRule="auto"/>
        <w:rPr>
          <w:rFonts w:ascii="Verdana" w:hAnsi="Verdana"/>
          <w:sz w:val="24"/>
          <w:szCs w:val="24"/>
        </w:rPr>
      </w:pPr>
      <w:r w:rsidRPr="00755635">
        <w:rPr>
          <w:rFonts w:ascii="Verdana" w:hAnsi="Verdana"/>
          <w:sz w:val="24"/>
          <w:szCs w:val="24"/>
        </w:rPr>
        <w:t>Issuers labelled as public companies;</w:t>
      </w:r>
    </w:p>
    <w:p w14:paraId="1DD158E0" w14:textId="44D30B24" w:rsidR="00CE0C80" w:rsidRPr="00755635" w:rsidRDefault="00CE0C80" w:rsidP="00790A5F">
      <w:pPr>
        <w:pStyle w:val="ListParagraph"/>
        <w:numPr>
          <w:ilvl w:val="0"/>
          <w:numId w:val="10"/>
        </w:numPr>
        <w:spacing w:line="480" w:lineRule="auto"/>
        <w:rPr>
          <w:rFonts w:ascii="Verdana" w:hAnsi="Verdana"/>
          <w:sz w:val="24"/>
          <w:szCs w:val="24"/>
        </w:rPr>
      </w:pPr>
      <w:r w:rsidRPr="00755635">
        <w:rPr>
          <w:rFonts w:ascii="Verdana" w:hAnsi="Verdana"/>
          <w:sz w:val="24"/>
          <w:szCs w:val="24"/>
        </w:rPr>
        <w:t>Issuers whose ultimate parent is labelled as a private company;</w:t>
      </w:r>
    </w:p>
    <w:p w14:paraId="6F5F4003" w14:textId="62043CA3" w:rsidR="00CE0C80" w:rsidRPr="00755635" w:rsidRDefault="00CE0C80" w:rsidP="00790A5F">
      <w:pPr>
        <w:pStyle w:val="ListParagraph"/>
        <w:numPr>
          <w:ilvl w:val="0"/>
          <w:numId w:val="10"/>
        </w:numPr>
        <w:spacing w:line="480" w:lineRule="auto"/>
        <w:rPr>
          <w:rFonts w:ascii="Verdana" w:hAnsi="Verdana"/>
          <w:sz w:val="24"/>
          <w:szCs w:val="24"/>
        </w:rPr>
      </w:pPr>
      <w:r w:rsidRPr="00755635">
        <w:rPr>
          <w:rFonts w:ascii="Verdana" w:hAnsi="Verdana"/>
          <w:sz w:val="24"/>
          <w:szCs w:val="24"/>
        </w:rPr>
        <w:t>Issuers whose ultimate parent Is labelled as a public company.</w:t>
      </w:r>
    </w:p>
    <w:p w14:paraId="535D2DA3" w14:textId="4EAAF40C" w:rsidR="001C1531" w:rsidRPr="00755635" w:rsidRDefault="001C1531" w:rsidP="00790A5F">
      <w:pPr>
        <w:spacing w:line="480" w:lineRule="auto"/>
        <w:rPr>
          <w:rFonts w:ascii="Verdana" w:hAnsi="Verdana"/>
          <w:sz w:val="24"/>
          <w:szCs w:val="24"/>
        </w:rPr>
      </w:pPr>
      <w:r w:rsidRPr="00755635">
        <w:rPr>
          <w:rFonts w:ascii="Verdana" w:hAnsi="Verdana"/>
          <w:sz w:val="24"/>
          <w:szCs w:val="24"/>
        </w:rPr>
        <w:t xml:space="preserve">Following Flammer (2020), I define issuer-days as the </w:t>
      </w:r>
      <w:r w:rsidR="00005177" w:rsidRPr="00755635">
        <w:rPr>
          <w:rFonts w:ascii="Verdana" w:hAnsi="Verdana"/>
          <w:sz w:val="24"/>
          <w:szCs w:val="24"/>
        </w:rPr>
        <w:t xml:space="preserve">unique combinations between a single firm and the day in which it issues a bond, without repetitions. </w:t>
      </w:r>
    </w:p>
    <w:p w14:paraId="0F615298" w14:textId="19853126" w:rsidR="00005177" w:rsidRPr="00755635" w:rsidRDefault="00DF1EC6" w:rsidP="00790A5F">
      <w:pPr>
        <w:spacing w:line="480" w:lineRule="auto"/>
        <w:rPr>
          <w:rFonts w:ascii="Verdana" w:hAnsi="Verdana"/>
          <w:sz w:val="24"/>
          <w:szCs w:val="24"/>
        </w:rPr>
      </w:pPr>
      <w:r w:rsidRPr="00755635">
        <w:rPr>
          <w:rFonts w:ascii="Verdana" w:hAnsi="Verdana"/>
          <w:sz w:val="24"/>
          <w:szCs w:val="24"/>
        </w:rPr>
        <w:t>Issuer-years is the number of unique combinations between a single firm and the year in which it issues a bond, without repetitions.</w:t>
      </w:r>
    </w:p>
    <w:p w14:paraId="25BB40D2" w14:textId="364AF962" w:rsidR="001A64FC" w:rsidRPr="00755635" w:rsidRDefault="001A64FC" w:rsidP="00790A5F">
      <w:pPr>
        <w:spacing w:line="480" w:lineRule="auto"/>
        <w:rPr>
          <w:rFonts w:ascii="Verdana" w:hAnsi="Verdana"/>
          <w:sz w:val="24"/>
          <w:szCs w:val="24"/>
        </w:rPr>
      </w:pPr>
      <w:r w:rsidRPr="00755635">
        <w:rPr>
          <w:rFonts w:ascii="Verdana" w:hAnsi="Verdana"/>
          <w:sz w:val="24"/>
          <w:szCs w:val="24"/>
        </w:rPr>
        <w:t>Fixed-rate bond is a dummy variable equal to 1 if the bond has a fixed coupon, 0 otherwise.</w:t>
      </w:r>
    </w:p>
    <w:p w14:paraId="7AFB4056" w14:textId="02BD88A4" w:rsidR="001A64FC" w:rsidRPr="00755635" w:rsidRDefault="001A64FC" w:rsidP="00790A5F">
      <w:pPr>
        <w:spacing w:line="480" w:lineRule="auto"/>
        <w:rPr>
          <w:rFonts w:ascii="Verdana" w:hAnsi="Verdana"/>
          <w:sz w:val="24"/>
          <w:szCs w:val="24"/>
        </w:rPr>
      </w:pPr>
      <w:r w:rsidRPr="00755635">
        <w:rPr>
          <w:rFonts w:ascii="Verdana" w:hAnsi="Verdana"/>
          <w:sz w:val="24"/>
          <w:szCs w:val="24"/>
        </w:rPr>
        <w:t>As the table shows, public companies experience lower standard deviation in duration and in coupon rate</w:t>
      </w:r>
      <w:r w:rsidR="00482B0C" w:rsidRPr="00755635">
        <w:rPr>
          <w:rFonts w:ascii="Verdana" w:hAnsi="Verdana"/>
          <w:sz w:val="24"/>
          <w:szCs w:val="24"/>
        </w:rPr>
        <w:t>, more fixed-rate and borrow slightly higher amounts. It is interesting to notice</w:t>
      </w:r>
      <w:r w:rsidR="00CE0C80" w:rsidRPr="00755635">
        <w:rPr>
          <w:rFonts w:ascii="Verdana" w:hAnsi="Verdana"/>
          <w:sz w:val="24"/>
          <w:szCs w:val="24"/>
        </w:rPr>
        <w:t xml:space="preserve"> that while public companies experience </w:t>
      </w:r>
      <w:r w:rsidR="00CE0C80" w:rsidRPr="00755635">
        <w:rPr>
          <w:rFonts w:ascii="Verdana" w:hAnsi="Verdana"/>
          <w:sz w:val="24"/>
          <w:szCs w:val="24"/>
        </w:rPr>
        <w:lastRenderedPageBreak/>
        <w:t>a longer maturity for the bonds they issue, the opposite is true when considering all companies whose ultimate parent is public.</w:t>
      </w:r>
    </w:p>
    <w:p w14:paraId="7A4B4C25" w14:textId="417C7FE3" w:rsidR="00482B0C" w:rsidRPr="00482B0C" w:rsidRDefault="00482B0C" w:rsidP="00790A5F">
      <w:pPr>
        <w:spacing w:line="480" w:lineRule="auto"/>
        <w:rPr>
          <w:rFonts w:ascii="Verdana" w:hAnsi="Verdana"/>
          <w:sz w:val="24"/>
          <w:szCs w:val="24"/>
        </w:rPr>
      </w:pPr>
      <w:r w:rsidRPr="008051DC">
        <w:rPr>
          <w:rFonts w:ascii="Verdana" w:hAnsi="Verdana" w:cs="Tahoma"/>
          <w:b/>
          <w:bCs/>
        </w:rPr>
        <w:t xml:space="preserve">Table </w:t>
      </w:r>
      <w:r>
        <w:rPr>
          <w:rFonts w:ascii="Verdana" w:hAnsi="Verdana" w:cs="Tahoma"/>
          <w:b/>
          <w:bCs/>
        </w:rPr>
        <w:t>4</w:t>
      </w:r>
      <w:r w:rsidRPr="008051DC">
        <w:rPr>
          <w:rFonts w:ascii="Verdana" w:hAnsi="Verdana" w:cs="Tahoma"/>
          <w:b/>
          <w:bCs/>
        </w:rPr>
        <w:t xml:space="preserve">. Green Bonds </w:t>
      </w:r>
      <w:r>
        <w:rPr>
          <w:rFonts w:ascii="Verdana" w:hAnsi="Verdana" w:cs="Tahoma"/>
          <w:b/>
          <w:bCs/>
        </w:rPr>
        <w:t>Statistics</w:t>
      </w:r>
      <w:r w:rsidRPr="008051DC">
        <w:rPr>
          <w:rFonts w:ascii="Verdana" w:hAnsi="Verdana" w:cs="Tahoma"/>
          <w:b/>
          <w:bCs/>
        </w:rPr>
        <w:t>.</w:t>
      </w:r>
    </w:p>
    <w:tbl>
      <w:tblPr>
        <w:tblStyle w:val="TableGrid"/>
        <w:tblW w:w="10271" w:type="dxa"/>
        <w:tblInd w:w="-365" w:type="dxa"/>
        <w:tblLook w:val="04A0" w:firstRow="1" w:lastRow="0" w:firstColumn="1" w:lastColumn="0" w:noHBand="0" w:noVBand="1"/>
      </w:tblPr>
      <w:tblGrid>
        <w:gridCol w:w="4524"/>
        <w:gridCol w:w="996"/>
        <w:gridCol w:w="1181"/>
        <w:gridCol w:w="1399"/>
        <w:gridCol w:w="1099"/>
        <w:gridCol w:w="1072"/>
      </w:tblGrid>
      <w:tr w:rsidR="00CE0C80" w:rsidRPr="00482B0C" w14:paraId="66C14D12" w14:textId="77777777" w:rsidTr="00790A5F">
        <w:trPr>
          <w:trHeight w:val="300"/>
        </w:trPr>
        <w:tc>
          <w:tcPr>
            <w:tcW w:w="4524" w:type="dxa"/>
            <w:noWrap/>
            <w:hideMark/>
          </w:tcPr>
          <w:p w14:paraId="48888889" w14:textId="77777777" w:rsidR="00482B0C" w:rsidRPr="00482B0C" w:rsidRDefault="00482B0C" w:rsidP="00790A5F">
            <w:pPr>
              <w:spacing w:line="480" w:lineRule="auto"/>
              <w:rPr>
                <w:rFonts w:ascii="Verdana" w:hAnsi="Verdana"/>
                <w:b/>
                <w:bCs/>
              </w:rPr>
            </w:pPr>
            <w:r w:rsidRPr="00482B0C">
              <w:rPr>
                <w:rFonts w:ascii="Verdana" w:hAnsi="Verdana"/>
                <w:b/>
                <w:bCs/>
              </w:rPr>
              <w:t>Index</w:t>
            </w:r>
          </w:p>
        </w:tc>
        <w:tc>
          <w:tcPr>
            <w:tcW w:w="996" w:type="dxa"/>
            <w:noWrap/>
            <w:hideMark/>
          </w:tcPr>
          <w:p w14:paraId="38EAD11A" w14:textId="77777777" w:rsidR="00482B0C" w:rsidRPr="00482B0C" w:rsidRDefault="00482B0C" w:rsidP="00790A5F">
            <w:pPr>
              <w:spacing w:line="480" w:lineRule="auto"/>
              <w:rPr>
                <w:rFonts w:ascii="Verdana" w:hAnsi="Verdana"/>
                <w:b/>
                <w:bCs/>
              </w:rPr>
            </w:pPr>
            <w:r w:rsidRPr="00482B0C">
              <w:rPr>
                <w:rFonts w:ascii="Verdana" w:hAnsi="Verdana"/>
                <w:b/>
                <w:bCs/>
              </w:rPr>
              <w:t>All</w:t>
            </w:r>
          </w:p>
        </w:tc>
        <w:tc>
          <w:tcPr>
            <w:tcW w:w="1181" w:type="dxa"/>
            <w:noWrap/>
            <w:hideMark/>
          </w:tcPr>
          <w:p w14:paraId="2364AA6A" w14:textId="77777777" w:rsidR="00482B0C" w:rsidRPr="00482B0C" w:rsidRDefault="00482B0C" w:rsidP="00790A5F">
            <w:pPr>
              <w:spacing w:line="480" w:lineRule="auto"/>
              <w:rPr>
                <w:rFonts w:ascii="Verdana" w:hAnsi="Verdana"/>
                <w:b/>
                <w:bCs/>
              </w:rPr>
            </w:pPr>
            <w:r w:rsidRPr="00482B0C">
              <w:rPr>
                <w:rFonts w:ascii="Verdana" w:hAnsi="Verdana"/>
                <w:b/>
                <w:bCs/>
              </w:rPr>
              <w:t>Parent Private</w:t>
            </w:r>
          </w:p>
        </w:tc>
        <w:tc>
          <w:tcPr>
            <w:tcW w:w="1399" w:type="dxa"/>
            <w:noWrap/>
            <w:hideMark/>
          </w:tcPr>
          <w:p w14:paraId="67EA616C" w14:textId="77777777" w:rsidR="00482B0C" w:rsidRPr="00482B0C" w:rsidRDefault="00482B0C" w:rsidP="00790A5F">
            <w:pPr>
              <w:spacing w:line="480" w:lineRule="auto"/>
              <w:rPr>
                <w:rFonts w:ascii="Verdana" w:hAnsi="Verdana"/>
                <w:b/>
                <w:bCs/>
              </w:rPr>
            </w:pPr>
            <w:r w:rsidRPr="00482B0C">
              <w:rPr>
                <w:rFonts w:ascii="Verdana" w:hAnsi="Verdana"/>
                <w:b/>
                <w:bCs/>
              </w:rPr>
              <w:t>Parent Public</w:t>
            </w:r>
          </w:p>
        </w:tc>
        <w:tc>
          <w:tcPr>
            <w:tcW w:w="1099" w:type="dxa"/>
            <w:noWrap/>
            <w:hideMark/>
          </w:tcPr>
          <w:p w14:paraId="25A85FED" w14:textId="77777777" w:rsidR="00482B0C" w:rsidRPr="00482B0C" w:rsidRDefault="00482B0C" w:rsidP="00790A5F">
            <w:pPr>
              <w:spacing w:line="480" w:lineRule="auto"/>
              <w:rPr>
                <w:rFonts w:ascii="Verdana" w:hAnsi="Verdana"/>
                <w:b/>
                <w:bCs/>
              </w:rPr>
            </w:pPr>
            <w:r w:rsidRPr="00482B0C">
              <w:rPr>
                <w:rFonts w:ascii="Verdana" w:hAnsi="Verdana"/>
                <w:b/>
                <w:bCs/>
              </w:rPr>
              <w:t>Private</w:t>
            </w:r>
          </w:p>
        </w:tc>
        <w:tc>
          <w:tcPr>
            <w:tcW w:w="1072" w:type="dxa"/>
            <w:noWrap/>
            <w:hideMark/>
          </w:tcPr>
          <w:p w14:paraId="4774CBF5" w14:textId="77777777" w:rsidR="00482B0C" w:rsidRPr="00482B0C" w:rsidRDefault="00482B0C" w:rsidP="00790A5F">
            <w:pPr>
              <w:spacing w:line="480" w:lineRule="auto"/>
              <w:rPr>
                <w:rFonts w:ascii="Verdana" w:hAnsi="Verdana"/>
                <w:b/>
                <w:bCs/>
              </w:rPr>
            </w:pPr>
            <w:r w:rsidRPr="00482B0C">
              <w:rPr>
                <w:rFonts w:ascii="Verdana" w:hAnsi="Verdana"/>
                <w:b/>
                <w:bCs/>
              </w:rPr>
              <w:t>Public</w:t>
            </w:r>
          </w:p>
        </w:tc>
      </w:tr>
      <w:tr w:rsidR="00CE0C80" w:rsidRPr="00482B0C" w14:paraId="1A2E43D8" w14:textId="77777777" w:rsidTr="00790A5F">
        <w:trPr>
          <w:trHeight w:val="300"/>
        </w:trPr>
        <w:tc>
          <w:tcPr>
            <w:tcW w:w="4524" w:type="dxa"/>
            <w:noWrap/>
            <w:hideMark/>
          </w:tcPr>
          <w:p w14:paraId="20B687EE" w14:textId="77777777" w:rsidR="00482B0C" w:rsidRPr="00482B0C" w:rsidRDefault="00482B0C" w:rsidP="00790A5F">
            <w:pPr>
              <w:spacing w:line="480" w:lineRule="auto"/>
              <w:rPr>
                <w:rFonts w:ascii="Verdana" w:hAnsi="Verdana"/>
              </w:rPr>
            </w:pPr>
            <w:r w:rsidRPr="00482B0C">
              <w:rPr>
                <w:rFonts w:ascii="Verdana" w:hAnsi="Verdana"/>
              </w:rPr>
              <w:t># Green bonds</w:t>
            </w:r>
          </w:p>
        </w:tc>
        <w:tc>
          <w:tcPr>
            <w:tcW w:w="996" w:type="dxa"/>
            <w:noWrap/>
            <w:hideMark/>
          </w:tcPr>
          <w:p w14:paraId="15896784" w14:textId="77777777" w:rsidR="00482B0C" w:rsidRPr="00482B0C" w:rsidRDefault="00482B0C" w:rsidP="00790A5F">
            <w:pPr>
              <w:spacing w:line="480" w:lineRule="auto"/>
              <w:rPr>
                <w:rFonts w:ascii="Verdana" w:hAnsi="Verdana"/>
              </w:rPr>
            </w:pPr>
            <w:r w:rsidRPr="00482B0C">
              <w:rPr>
                <w:rFonts w:ascii="Verdana" w:hAnsi="Verdana"/>
              </w:rPr>
              <w:t>1805</w:t>
            </w:r>
          </w:p>
        </w:tc>
        <w:tc>
          <w:tcPr>
            <w:tcW w:w="1181" w:type="dxa"/>
            <w:noWrap/>
            <w:hideMark/>
          </w:tcPr>
          <w:p w14:paraId="5354F351" w14:textId="77777777" w:rsidR="00482B0C" w:rsidRPr="00482B0C" w:rsidRDefault="00482B0C" w:rsidP="00790A5F">
            <w:pPr>
              <w:spacing w:line="480" w:lineRule="auto"/>
              <w:rPr>
                <w:rFonts w:ascii="Verdana" w:hAnsi="Verdana"/>
              </w:rPr>
            </w:pPr>
            <w:r w:rsidRPr="00482B0C">
              <w:rPr>
                <w:rFonts w:ascii="Verdana" w:hAnsi="Verdana"/>
              </w:rPr>
              <w:t>1038</w:t>
            </w:r>
          </w:p>
        </w:tc>
        <w:tc>
          <w:tcPr>
            <w:tcW w:w="1399" w:type="dxa"/>
            <w:noWrap/>
            <w:hideMark/>
          </w:tcPr>
          <w:p w14:paraId="7D074563" w14:textId="77777777" w:rsidR="00482B0C" w:rsidRPr="00482B0C" w:rsidRDefault="00482B0C" w:rsidP="00790A5F">
            <w:pPr>
              <w:spacing w:line="480" w:lineRule="auto"/>
              <w:rPr>
                <w:rFonts w:ascii="Verdana" w:hAnsi="Verdana"/>
              </w:rPr>
            </w:pPr>
            <w:r w:rsidRPr="00482B0C">
              <w:rPr>
                <w:rFonts w:ascii="Verdana" w:hAnsi="Verdana"/>
              </w:rPr>
              <w:t>766</w:t>
            </w:r>
          </w:p>
        </w:tc>
        <w:tc>
          <w:tcPr>
            <w:tcW w:w="1099" w:type="dxa"/>
            <w:noWrap/>
            <w:hideMark/>
          </w:tcPr>
          <w:p w14:paraId="1AFDD470" w14:textId="77777777" w:rsidR="00482B0C" w:rsidRPr="00482B0C" w:rsidRDefault="00482B0C" w:rsidP="00790A5F">
            <w:pPr>
              <w:spacing w:line="480" w:lineRule="auto"/>
              <w:rPr>
                <w:rFonts w:ascii="Verdana" w:hAnsi="Verdana"/>
              </w:rPr>
            </w:pPr>
            <w:r w:rsidRPr="00482B0C">
              <w:rPr>
                <w:rFonts w:ascii="Verdana" w:hAnsi="Verdana"/>
              </w:rPr>
              <w:t>1348</w:t>
            </w:r>
          </w:p>
        </w:tc>
        <w:tc>
          <w:tcPr>
            <w:tcW w:w="1072" w:type="dxa"/>
            <w:noWrap/>
            <w:hideMark/>
          </w:tcPr>
          <w:p w14:paraId="16CB8EB4" w14:textId="77777777" w:rsidR="00482B0C" w:rsidRPr="00482B0C" w:rsidRDefault="00482B0C" w:rsidP="00790A5F">
            <w:pPr>
              <w:spacing w:line="480" w:lineRule="auto"/>
              <w:rPr>
                <w:rFonts w:ascii="Verdana" w:hAnsi="Verdana"/>
              </w:rPr>
            </w:pPr>
            <w:r w:rsidRPr="00482B0C">
              <w:rPr>
                <w:rFonts w:ascii="Verdana" w:hAnsi="Verdana"/>
              </w:rPr>
              <w:t>456</w:t>
            </w:r>
          </w:p>
        </w:tc>
      </w:tr>
      <w:tr w:rsidR="00CE0C80" w:rsidRPr="00482B0C" w14:paraId="206BA25B" w14:textId="77777777" w:rsidTr="00790A5F">
        <w:trPr>
          <w:trHeight w:val="300"/>
        </w:trPr>
        <w:tc>
          <w:tcPr>
            <w:tcW w:w="4524" w:type="dxa"/>
            <w:noWrap/>
            <w:hideMark/>
          </w:tcPr>
          <w:p w14:paraId="7BED6EA3" w14:textId="77777777" w:rsidR="00482B0C" w:rsidRPr="00482B0C" w:rsidRDefault="00482B0C" w:rsidP="00790A5F">
            <w:pPr>
              <w:spacing w:line="480" w:lineRule="auto"/>
              <w:rPr>
                <w:rFonts w:ascii="Verdana" w:hAnsi="Verdana"/>
              </w:rPr>
            </w:pPr>
            <w:r w:rsidRPr="00482B0C">
              <w:rPr>
                <w:rFonts w:ascii="Verdana" w:hAnsi="Verdana"/>
              </w:rPr>
              <w:t># Green bond issuer-days</w:t>
            </w:r>
          </w:p>
        </w:tc>
        <w:tc>
          <w:tcPr>
            <w:tcW w:w="996" w:type="dxa"/>
            <w:noWrap/>
            <w:hideMark/>
          </w:tcPr>
          <w:p w14:paraId="5EBA53C1" w14:textId="77777777" w:rsidR="00482B0C" w:rsidRPr="00482B0C" w:rsidRDefault="00482B0C" w:rsidP="00790A5F">
            <w:pPr>
              <w:spacing w:line="480" w:lineRule="auto"/>
              <w:rPr>
                <w:rFonts w:ascii="Verdana" w:hAnsi="Verdana"/>
              </w:rPr>
            </w:pPr>
            <w:r w:rsidRPr="00482B0C">
              <w:rPr>
                <w:rFonts w:ascii="Verdana" w:hAnsi="Verdana"/>
              </w:rPr>
              <w:t>1303</w:t>
            </w:r>
          </w:p>
        </w:tc>
        <w:tc>
          <w:tcPr>
            <w:tcW w:w="1181" w:type="dxa"/>
            <w:noWrap/>
            <w:hideMark/>
          </w:tcPr>
          <w:p w14:paraId="2D2C0CB9" w14:textId="77777777" w:rsidR="00482B0C" w:rsidRPr="00482B0C" w:rsidRDefault="00482B0C" w:rsidP="00790A5F">
            <w:pPr>
              <w:spacing w:line="480" w:lineRule="auto"/>
              <w:rPr>
                <w:rFonts w:ascii="Verdana" w:hAnsi="Verdana"/>
              </w:rPr>
            </w:pPr>
            <w:r w:rsidRPr="00482B0C">
              <w:rPr>
                <w:rFonts w:ascii="Verdana" w:hAnsi="Verdana"/>
              </w:rPr>
              <w:t>786</w:t>
            </w:r>
          </w:p>
        </w:tc>
        <w:tc>
          <w:tcPr>
            <w:tcW w:w="1399" w:type="dxa"/>
            <w:noWrap/>
            <w:hideMark/>
          </w:tcPr>
          <w:p w14:paraId="0DF0E77B" w14:textId="77777777" w:rsidR="00482B0C" w:rsidRPr="00482B0C" w:rsidRDefault="00482B0C" w:rsidP="00790A5F">
            <w:pPr>
              <w:spacing w:line="480" w:lineRule="auto"/>
              <w:rPr>
                <w:rFonts w:ascii="Verdana" w:hAnsi="Verdana"/>
              </w:rPr>
            </w:pPr>
            <w:r w:rsidRPr="00482B0C">
              <w:rPr>
                <w:rFonts w:ascii="Verdana" w:hAnsi="Verdana"/>
              </w:rPr>
              <w:t>516</w:t>
            </w:r>
          </w:p>
        </w:tc>
        <w:tc>
          <w:tcPr>
            <w:tcW w:w="1099" w:type="dxa"/>
            <w:noWrap/>
            <w:hideMark/>
          </w:tcPr>
          <w:p w14:paraId="6DED1E17" w14:textId="77777777" w:rsidR="00482B0C" w:rsidRPr="00482B0C" w:rsidRDefault="00482B0C" w:rsidP="00790A5F">
            <w:pPr>
              <w:spacing w:line="480" w:lineRule="auto"/>
              <w:rPr>
                <w:rFonts w:ascii="Verdana" w:hAnsi="Verdana"/>
              </w:rPr>
            </w:pPr>
            <w:r w:rsidRPr="00482B0C">
              <w:rPr>
                <w:rFonts w:ascii="Verdana" w:hAnsi="Verdana"/>
              </w:rPr>
              <w:t>917</w:t>
            </w:r>
          </w:p>
        </w:tc>
        <w:tc>
          <w:tcPr>
            <w:tcW w:w="1072" w:type="dxa"/>
            <w:noWrap/>
            <w:hideMark/>
          </w:tcPr>
          <w:p w14:paraId="3CA85257" w14:textId="77777777" w:rsidR="00482B0C" w:rsidRPr="00482B0C" w:rsidRDefault="00482B0C" w:rsidP="00790A5F">
            <w:pPr>
              <w:spacing w:line="480" w:lineRule="auto"/>
              <w:rPr>
                <w:rFonts w:ascii="Verdana" w:hAnsi="Verdana"/>
              </w:rPr>
            </w:pPr>
            <w:r w:rsidRPr="00482B0C">
              <w:rPr>
                <w:rFonts w:ascii="Verdana" w:hAnsi="Verdana"/>
              </w:rPr>
              <w:t>385</w:t>
            </w:r>
          </w:p>
        </w:tc>
      </w:tr>
      <w:tr w:rsidR="00CE0C80" w:rsidRPr="00482B0C" w14:paraId="4182072E" w14:textId="77777777" w:rsidTr="00790A5F">
        <w:trPr>
          <w:trHeight w:val="300"/>
        </w:trPr>
        <w:tc>
          <w:tcPr>
            <w:tcW w:w="4524" w:type="dxa"/>
            <w:noWrap/>
            <w:hideMark/>
          </w:tcPr>
          <w:p w14:paraId="5C40533A" w14:textId="77777777" w:rsidR="00482B0C" w:rsidRPr="00482B0C" w:rsidRDefault="00482B0C" w:rsidP="00790A5F">
            <w:pPr>
              <w:spacing w:line="480" w:lineRule="auto"/>
              <w:rPr>
                <w:rFonts w:ascii="Verdana" w:hAnsi="Verdana"/>
              </w:rPr>
            </w:pPr>
            <w:r w:rsidRPr="00482B0C">
              <w:rPr>
                <w:rFonts w:ascii="Verdana" w:hAnsi="Verdana"/>
              </w:rPr>
              <w:t># Green bond issuer-years</w:t>
            </w:r>
          </w:p>
        </w:tc>
        <w:tc>
          <w:tcPr>
            <w:tcW w:w="996" w:type="dxa"/>
            <w:noWrap/>
            <w:hideMark/>
          </w:tcPr>
          <w:p w14:paraId="2AC5AD91" w14:textId="77777777" w:rsidR="00482B0C" w:rsidRPr="00482B0C" w:rsidRDefault="00482B0C" w:rsidP="00790A5F">
            <w:pPr>
              <w:spacing w:line="480" w:lineRule="auto"/>
              <w:rPr>
                <w:rFonts w:ascii="Verdana" w:hAnsi="Verdana"/>
              </w:rPr>
            </w:pPr>
            <w:r w:rsidRPr="00482B0C">
              <w:rPr>
                <w:rFonts w:ascii="Verdana" w:hAnsi="Verdana"/>
              </w:rPr>
              <w:t>929</w:t>
            </w:r>
          </w:p>
        </w:tc>
        <w:tc>
          <w:tcPr>
            <w:tcW w:w="1181" w:type="dxa"/>
            <w:noWrap/>
            <w:hideMark/>
          </w:tcPr>
          <w:p w14:paraId="7CA050D0" w14:textId="77777777" w:rsidR="00482B0C" w:rsidRPr="00482B0C" w:rsidRDefault="00482B0C" w:rsidP="00790A5F">
            <w:pPr>
              <w:spacing w:line="480" w:lineRule="auto"/>
              <w:rPr>
                <w:rFonts w:ascii="Verdana" w:hAnsi="Verdana"/>
              </w:rPr>
            </w:pPr>
            <w:r w:rsidRPr="00482B0C">
              <w:rPr>
                <w:rFonts w:ascii="Verdana" w:hAnsi="Verdana"/>
              </w:rPr>
              <w:t>523</w:t>
            </w:r>
          </w:p>
        </w:tc>
        <w:tc>
          <w:tcPr>
            <w:tcW w:w="1399" w:type="dxa"/>
            <w:noWrap/>
            <w:hideMark/>
          </w:tcPr>
          <w:p w14:paraId="2D494429" w14:textId="77777777" w:rsidR="00482B0C" w:rsidRPr="00482B0C" w:rsidRDefault="00482B0C" w:rsidP="00790A5F">
            <w:pPr>
              <w:spacing w:line="480" w:lineRule="auto"/>
              <w:rPr>
                <w:rFonts w:ascii="Verdana" w:hAnsi="Verdana"/>
              </w:rPr>
            </w:pPr>
            <w:r w:rsidRPr="00482B0C">
              <w:rPr>
                <w:rFonts w:ascii="Verdana" w:hAnsi="Verdana"/>
              </w:rPr>
              <w:t>406</w:t>
            </w:r>
          </w:p>
        </w:tc>
        <w:tc>
          <w:tcPr>
            <w:tcW w:w="1099" w:type="dxa"/>
            <w:noWrap/>
            <w:hideMark/>
          </w:tcPr>
          <w:p w14:paraId="6EC89176" w14:textId="77777777" w:rsidR="00482B0C" w:rsidRPr="00482B0C" w:rsidRDefault="00482B0C" w:rsidP="00790A5F">
            <w:pPr>
              <w:spacing w:line="480" w:lineRule="auto"/>
              <w:rPr>
                <w:rFonts w:ascii="Verdana" w:hAnsi="Verdana"/>
              </w:rPr>
            </w:pPr>
            <w:r w:rsidRPr="00482B0C">
              <w:rPr>
                <w:rFonts w:ascii="Verdana" w:hAnsi="Verdana"/>
              </w:rPr>
              <w:t>614</w:t>
            </w:r>
          </w:p>
        </w:tc>
        <w:tc>
          <w:tcPr>
            <w:tcW w:w="1072" w:type="dxa"/>
            <w:noWrap/>
            <w:hideMark/>
          </w:tcPr>
          <w:p w14:paraId="1F816164" w14:textId="77777777" w:rsidR="00482B0C" w:rsidRPr="00482B0C" w:rsidRDefault="00482B0C" w:rsidP="00790A5F">
            <w:pPr>
              <w:spacing w:line="480" w:lineRule="auto"/>
              <w:rPr>
                <w:rFonts w:ascii="Verdana" w:hAnsi="Verdana"/>
              </w:rPr>
            </w:pPr>
            <w:r w:rsidRPr="00482B0C">
              <w:rPr>
                <w:rFonts w:ascii="Verdana" w:hAnsi="Verdana"/>
              </w:rPr>
              <w:t>315</w:t>
            </w:r>
          </w:p>
        </w:tc>
      </w:tr>
      <w:tr w:rsidR="00CE0C80" w:rsidRPr="00482B0C" w14:paraId="5A805B20" w14:textId="77777777" w:rsidTr="00790A5F">
        <w:trPr>
          <w:trHeight w:val="300"/>
        </w:trPr>
        <w:tc>
          <w:tcPr>
            <w:tcW w:w="4524" w:type="dxa"/>
            <w:noWrap/>
            <w:hideMark/>
          </w:tcPr>
          <w:p w14:paraId="345A3EFC" w14:textId="77777777" w:rsidR="00482B0C" w:rsidRPr="00482B0C" w:rsidRDefault="00482B0C" w:rsidP="00790A5F">
            <w:pPr>
              <w:spacing w:line="480" w:lineRule="auto"/>
              <w:rPr>
                <w:rFonts w:ascii="Verdana" w:hAnsi="Verdana"/>
              </w:rPr>
            </w:pPr>
            <w:r w:rsidRPr="00482B0C">
              <w:rPr>
                <w:rFonts w:ascii="Verdana" w:hAnsi="Verdana"/>
              </w:rPr>
              <w:t># Green bond issuers</w:t>
            </w:r>
          </w:p>
        </w:tc>
        <w:tc>
          <w:tcPr>
            <w:tcW w:w="996" w:type="dxa"/>
            <w:noWrap/>
            <w:hideMark/>
          </w:tcPr>
          <w:p w14:paraId="052F2A22" w14:textId="77777777" w:rsidR="00482B0C" w:rsidRPr="00482B0C" w:rsidRDefault="00482B0C" w:rsidP="00790A5F">
            <w:pPr>
              <w:spacing w:line="480" w:lineRule="auto"/>
              <w:rPr>
                <w:rFonts w:ascii="Verdana" w:hAnsi="Verdana"/>
              </w:rPr>
            </w:pPr>
            <w:r w:rsidRPr="00482B0C">
              <w:rPr>
                <w:rFonts w:ascii="Verdana" w:hAnsi="Verdana"/>
              </w:rPr>
              <w:t>643</w:t>
            </w:r>
          </w:p>
        </w:tc>
        <w:tc>
          <w:tcPr>
            <w:tcW w:w="1181" w:type="dxa"/>
            <w:noWrap/>
            <w:hideMark/>
          </w:tcPr>
          <w:p w14:paraId="7D7012FE" w14:textId="77777777" w:rsidR="00482B0C" w:rsidRPr="00482B0C" w:rsidRDefault="00482B0C" w:rsidP="00790A5F">
            <w:pPr>
              <w:spacing w:line="480" w:lineRule="auto"/>
              <w:rPr>
                <w:rFonts w:ascii="Verdana" w:hAnsi="Verdana"/>
              </w:rPr>
            </w:pPr>
            <w:r w:rsidRPr="00482B0C">
              <w:rPr>
                <w:rFonts w:ascii="Verdana" w:hAnsi="Verdana"/>
              </w:rPr>
              <w:t>333</w:t>
            </w:r>
          </w:p>
        </w:tc>
        <w:tc>
          <w:tcPr>
            <w:tcW w:w="1399" w:type="dxa"/>
            <w:noWrap/>
            <w:hideMark/>
          </w:tcPr>
          <w:p w14:paraId="4F95A6C3" w14:textId="77777777" w:rsidR="00482B0C" w:rsidRPr="00482B0C" w:rsidRDefault="00482B0C" w:rsidP="00790A5F">
            <w:pPr>
              <w:spacing w:line="480" w:lineRule="auto"/>
              <w:rPr>
                <w:rFonts w:ascii="Verdana" w:hAnsi="Verdana"/>
              </w:rPr>
            </w:pPr>
            <w:r w:rsidRPr="00482B0C">
              <w:rPr>
                <w:rFonts w:ascii="Verdana" w:hAnsi="Verdana"/>
              </w:rPr>
              <w:t>310</w:t>
            </w:r>
          </w:p>
        </w:tc>
        <w:tc>
          <w:tcPr>
            <w:tcW w:w="1099" w:type="dxa"/>
            <w:noWrap/>
            <w:hideMark/>
          </w:tcPr>
          <w:p w14:paraId="3B2B76DC" w14:textId="77777777" w:rsidR="00482B0C" w:rsidRPr="00482B0C" w:rsidRDefault="00482B0C" w:rsidP="00790A5F">
            <w:pPr>
              <w:spacing w:line="480" w:lineRule="auto"/>
              <w:rPr>
                <w:rFonts w:ascii="Verdana" w:hAnsi="Verdana"/>
              </w:rPr>
            </w:pPr>
            <w:r w:rsidRPr="00482B0C">
              <w:rPr>
                <w:rFonts w:ascii="Verdana" w:hAnsi="Verdana"/>
              </w:rPr>
              <w:t>413</w:t>
            </w:r>
          </w:p>
        </w:tc>
        <w:tc>
          <w:tcPr>
            <w:tcW w:w="1072" w:type="dxa"/>
            <w:noWrap/>
            <w:hideMark/>
          </w:tcPr>
          <w:p w14:paraId="0D7B9E9B" w14:textId="77777777" w:rsidR="00482B0C" w:rsidRPr="00482B0C" w:rsidRDefault="00482B0C" w:rsidP="00790A5F">
            <w:pPr>
              <w:spacing w:line="480" w:lineRule="auto"/>
              <w:rPr>
                <w:rFonts w:ascii="Verdana" w:hAnsi="Verdana"/>
              </w:rPr>
            </w:pPr>
            <w:r w:rsidRPr="00482B0C">
              <w:rPr>
                <w:rFonts w:ascii="Verdana" w:hAnsi="Verdana"/>
              </w:rPr>
              <w:t>230</w:t>
            </w:r>
          </w:p>
        </w:tc>
      </w:tr>
      <w:tr w:rsidR="00CE0C80" w:rsidRPr="00482B0C" w14:paraId="31D2465C" w14:textId="77777777" w:rsidTr="00790A5F">
        <w:trPr>
          <w:trHeight w:val="300"/>
        </w:trPr>
        <w:tc>
          <w:tcPr>
            <w:tcW w:w="4524" w:type="dxa"/>
            <w:noWrap/>
            <w:hideMark/>
          </w:tcPr>
          <w:p w14:paraId="0934CB05" w14:textId="77777777" w:rsidR="00482B0C" w:rsidRPr="00482B0C" w:rsidRDefault="00482B0C" w:rsidP="00790A5F">
            <w:pPr>
              <w:spacing w:line="480" w:lineRule="auto"/>
              <w:rPr>
                <w:rFonts w:ascii="Verdana" w:hAnsi="Verdana"/>
              </w:rPr>
            </w:pPr>
            <w:r w:rsidRPr="00482B0C">
              <w:rPr>
                <w:rFonts w:ascii="Verdana" w:hAnsi="Verdana"/>
              </w:rPr>
              <w:t>Amount (in $M)</w:t>
            </w:r>
          </w:p>
        </w:tc>
        <w:tc>
          <w:tcPr>
            <w:tcW w:w="996" w:type="dxa"/>
            <w:noWrap/>
            <w:hideMark/>
          </w:tcPr>
          <w:p w14:paraId="495D43FA" w14:textId="77777777" w:rsidR="00482B0C" w:rsidRPr="00482B0C" w:rsidRDefault="00482B0C" w:rsidP="00790A5F">
            <w:pPr>
              <w:spacing w:line="480" w:lineRule="auto"/>
              <w:rPr>
                <w:rFonts w:ascii="Verdana" w:hAnsi="Verdana"/>
              </w:rPr>
            </w:pPr>
            <w:r w:rsidRPr="00482B0C">
              <w:rPr>
                <w:rFonts w:ascii="Verdana" w:hAnsi="Verdana"/>
              </w:rPr>
              <w:t>282.17</w:t>
            </w:r>
          </w:p>
        </w:tc>
        <w:tc>
          <w:tcPr>
            <w:tcW w:w="1181" w:type="dxa"/>
            <w:noWrap/>
            <w:hideMark/>
          </w:tcPr>
          <w:p w14:paraId="1A059A66" w14:textId="77777777" w:rsidR="00482B0C" w:rsidRPr="00482B0C" w:rsidRDefault="00482B0C" w:rsidP="00790A5F">
            <w:pPr>
              <w:spacing w:line="480" w:lineRule="auto"/>
              <w:rPr>
                <w:rFonts w:ascii="Verdana" w:hAnsi="Verdana"/>
              </w:rPr>
            </w:pPr>
            <w:r w:rsidRPr="00482B0C">
              <w:rPr>
                <w:rFonts w:ascii="Verdana" w:hAnsi="Verdana"/>
              </w:rPr>
              <w:t>275.12</w:t>
            </w:r>
          </w:p>
        </w:tc>
        <w:tc>
          <w:tcPr>
            <w:tcW w:w="1399" w:type="dxa"/>
            <w:noWrap/>
            <w:hideMark/>
          </w:tcPr>
          <w:p w14:paraId="640106F5" w14:textId="77777777" w:rsidR="00482B0C" w:rsidRPr="00482B0C" w:rsidRDefault="00482B0C" w:rsidP="00790A5F">
            <w:pPr>
              <w:spacing w:line="480" w:lineRule="auto"/>
              <w:rPr>
                <w:rFonts w:ascii="Verdana" w:hAnsi="Verdana"/>
              </w:rPr>
            </w:pPr>
            <w:r w:rsidRPr="00482B0C">
              <w:rPr>
                <w:rFonts w:ascii="Verdana" w:hAnsi="Verdana"/>
              </w:rPr>
              <w:t>292.03</w:t>
            </w:r>
          </w:p>
        </w:tc>
        <w:tc>
          <w:tcPr>
            <w:tcW w:w="1099" w:type="dxa"/>
            <w:noWrap/>
            <w:hideMark/>
          </w:tcPr>
          <w:p w14:paraId="1674BEEC" w14:textId="77777777" w:rsidR="00482B0C" w:rsidRPr="00482B0C" w:rsidRDefault="00482B0C" w:rsidP="00790A5F">
            <w:pPr>
              <w:spacing w:line="480" w:lineRule="auto"/>
              <w:rPr>
                <w:rFonts w:ascii="Verdana" w:hAnsi="Verdana"/>
              </w:rPr>
            </w:pPr>
            <w:r w:rsidRPr="00482B0C">
              <w:rPr>
                <w:rFonts w:ascii="Verdana" w:hAnsi="Verdana"/>
              </w:rPr>
              <w:t>252.24</w:t>
            </w:r>
          </w:p>
        </w:tc>
        <w:tc>
          <w:tcPr>
            <w:tcW w:w="1072" w:type="dxa"/>
            <w:noWrap/>
            <w:hideMark/>
          </w:tcPr>
          <w:p w14:paraId="17CD1604" w14:textId="77777777" w:rsidR="00482B0C" w:rsidRPr="00482B0C" w:rsidRDefault="00482B0C" w:rsidP="00790A5F">
            <w:pPr>
              <w:spacing w:line="480" w:lineRule="auto"/>
              <w:rPr>
                <w:rFonts w:ascii="Verdana" w:hAnsi="Verdana"/>
              </w:rPr>
            </w:pPr>
            <w:r w:rsidRPr="00482B0C">
              <w:rPr>
                <w:rFonts w:ascii="Verdana" w:hAnsi="Verdana"/>
              </w:rPr>
              <w:t>371.35</w:t>
            </w:r>
          </w:p>
        </w:tc>
      </w:tr>
      <w:tr w:rsidR="00CE0C80" w:rsidRPr="00482B0C" w14:paraId="0AE5A091" w14:textId="77777777" w:rsidTr="00790A5F">
        <w:trPr>
          <w:trHeight w:val="300"/>
        </w:trPr>
        <w:tc>
          <w:tcPr>
            <w:tcW w:w="4524" w:type="dxa"/>
            <w:noWrap/>
            <w:hideMark/>
          </w:tcPr>
          <w:p w14:paraId="6AE20605" w14:textId="77777777" w:rsidR="00482B0C" w:rsidRPr="00482B0C" w:rsidRDefault="00482B0C" w:rsidP="00790A5F">
            <w:pPr>
              <w:spacing w:line="480" w:lineRule="auto"/>
              <w:rPr>
                <w:rFonts w:ascii="Verdana" w:hAnsi="Verdana"/>
                <w:b/>
                <w:bCs/>
              </w:rPr>
            </w:pPr>
            <w:r w:rsidRPr="00482B0C">
              <w:rPr>
                <w:rFonts w:ascii="Verdana" w:hAnsi="Verdana"/>
                <w:b/>
                <w:bCs/>
              </w:rPr>
              <w:t>Amount (in $M) SD</w:t>
            </w:r>
          </w:p>
        </w:tc>
        <w:tc>
          <w:tcPr>
            <w:tcW w:w="996" w:type="dxa"/>
            <w:noWrap/>
            <w:hideMark/>
          </w:tcPr>
          <w:p w14:paraId="7C0DDC68" w14:textId="77777777" w:rsidR="00482B0C" w:rsidRPr="00482B0C" w:rsidRDefault="00482B0C" w:rsidP="00790A5F">
            <w:pPr>
              <w:spacing w:line="480" w:lineRule="auto"/>
              <w:rPr>
                <w:rFonts w:ascii="Verdana" w:hAnsi="Verdana"/>
                <w:b/>
                <w:bCs/>
              </w:rPr>
            </w:pPr>
            <w:r w:rsidRPr="00482B0C">
              <w:rPr>
                <w:rFonts w:ascii="Verdana" w:hAnsi="Verdana"/>
                <w:b/>
                <w:bCs/>
              </w:rPr>
              <w:t>0.44</w:t>
            </w:r>
          </w:p>
        </w:tc>
        <w:tc>
          <w:tcPr>
            <w:tcW w:w="1181" w:type="dxa"/>
            <w:noWrap/>
            <w:hideMark/>
          </w:tcPr>
          <w:p w14:paraId="3ACD85E1" w14:textId="77777777" w:rsidR="00482B0C" w:rsidRPr="00482B0C" w:rsidRDefault="00482B0C" w:rsidP="00790A5F">
            <w:pPr>
              <w:spacing w:line="480" w:lineRule="auto"/>
              <w:rPr>
                <w:rFonts w:ascii="Verdana" w:hAnsi="Verdana"/>
                <w:b/>
                <w:bCs/>
              </w:rPr>
            </w:pPr>
            <w:r w:rsidRPr="00482B0C">
              <w:rPr>
                <w:rFonts w:ascii="Verdana" w:hAnsi="Verdana"/>
                <w:b/>
                <w:bCs/>
              </w:rPr>
              <w:t>0.42</w:t>
            </w:r>
          </w:p>
        </w:tc>
        <w:tc>
          <w:tcPr>
            <w:tcW w:w="1399" w:type="dxa"/>
            <w:noWrap/>
            <w:hideMark/>
          </w:tcPr>
          <w:p w14:paraId="7995EB91" w14:textId="77777777" w:rsidR="00482B0C" w:rsidRPr="00482B0C" w:rsidRDefault="00482B0C" w:rsidP="00790A5F">
            <w:pPr>
              <w:spacing w:line="480" w:lineRule="auto"/>
              <w:rPr>
                <w:rFonts w:ascii="Verdana" w:hAnsi="Verdana"/>
                <w:b/>
                <w:bCs/>
              </w:rPr>
            </w:pPr>
            <w:r w:rsidRPr="00482B0C">
              <w:rPr>
                <w:rFonts w:ascii="Verdana" w:hAnsi="Verdana"/>
                <w:b/>
                <w:bCs/>
              </w:rPr>
              <w:t>0.46</w:t>
            </w:r>
          </w:p>
        </w:tc>
        <w:tc>
          <w:tcPr>
            <w:tcW w:w="1099" w:type="dxa"/>
            <w:noWrap/>
            <w:hideMark/>
          </w:tcPr>
          <w:p w14:paraId="077B09EC" w14:textId="77777777" w:rsidR="00482B0C" w:rsidRPr="00482B0C" w:rsidRDefault="00482B0C" w:rsidP="00790A5F">
            <w:pPr>
              <w:spacing w:line="480" w:lineRule="auto"/>
              <w:rPr>
                <w:rFonts w:ascii="Verdana" w:hAnsi="Verdana"/>
                <w:b/>
                <w:bCs/>
              </w:rPr>
            </w:pPr>
            <w:r w:rsidRPr="00482B0C">
              <w:rPr>
                <w:rFonts w:ascii="Verdana" w:hAnsi="Verdana"/>
                <w:b/>
                <w:bCs/>
              </w:rPr>
              <w:t>0.40</w:t>
            </w:r>
          </w:p>
        </w:tc>
        <w:tc>
          <w:tcPr>
            <w:tcW w:w="1072" w:type="dxa"/>
            <w:noWrap/>
            <w:hideMark/>
          </w:tcPr>
          <w:p w14:paraId="16385A1C" w14:textId="77777777" w:rsidR="00482B0C" w:rsidRPr="00482B0C" w:rsidRDefault="00482B0C" w:rsidP="00790A5F">
            <w:pPr>
              <w:spacing w:line="480" w:lineRule="auto"/>
              <w:rPr>
                <w:rFonts w:ascii="Verdana" w:hAnsi="Verdana"/>
                <w:b/>
                <w:bCs/>
              </w:rPr>
            </w:pPr>
            <w:r w:rsidRPr="00482B0C">
              <w:rPr>
                <w:rFonts w:ascii="Verdana" w:hAnsi="Verdana"/>
                <w:b/>
                <w:bCs/>
              </w:rPr>
              <w:t>0.53</w:t>
            </w:r>
          </w:p>
        </w:tc>
      </w:tr>
      <w:tr w:rsidR="00CE0C80" w:rsidRPr="00482B0C" w14:paraId="65DB39DF" w14:textId="77777777" w:rsidTr="00790A5F">
        <w:trPr>
          <w:trHeight w:val="300"/>
        </w:trPr>
        <w:tc>
          <w:tcPr>
            <w:tcW w:w="4524" w:type="dxa"/>
            <w:noWrap/>
            <w:hideMark/>
          </w:tcPr>
          <w:p w14:paraId="264D9D97" w14:textId="77777777" w:rsidR="00482B0C" w:rsidRPr="00482B0C" w:rsidRDefault="00482B0C" w:rsidP="00790A5F">
            <w:pPr>
              <w:spacing w:line="480" w:lineRule="auto"/>
              <w:rPr>
                <w:rFonts w:ascii="Verdana" w:hAnsi="Verdana"/>
              </w:rPr>
            </w:pPr>
            <w:r w:rsidRPr="00482B0C">
              <w:rPr>
                <w:rFonts w:ascii="Verdana" w:hAnsi="Verdana"/>
              </w:rPr>
              <w:t>Maturity (years)</w:t>
            </w:r>
          </w:p>
        </w:tc>
        <w:tc>
          <w:tcPr>
            <w:tcW w:w="996" w:type="dxa"/>
            <w:noWrap/>
            <w:hideMark/>
          </w:tcPr>
          <w:p w14:paraId="0AA36534" w14:textId="77777777" w:rsidR="00482B0C" w:rsidRPr="00482B0C" w:rsidRDefault="00482B0C" w:rsidP="00790A5F">
            <w:pPr>
              <w:spacing w:line="480" w:lineRule="auto"/>
              <w:rPr>
                <w:rFonts w:ascii="Verdana" w:hAnsi="Verdana"/>
              </w:rPr>
            </w:pPr>
            <w:r w:rsidRPr="00482B0C">
              <w:rPr>
                <w:rFonts w:ascii="Verdana" w:hAnsi="Verdana"/>
              </w:rPr>
              <w:t>8.62</w:t>
            </w:r>
          </w:p>
        </w:tc>
        <w:tc>
          <w:tcPr>
            <w:tcW w:w="1181" w:type="dxa"/>
            <w:noWrap/>
            <w:hideMark/>
          </w:tcPr>
          <w:p w14:paraId="396E29F9" w14:textId="77777777" w:rsidR="00482B0C" w:rsidRPr="00482B0C" w:rsidRDefault="00482B0C" w:rsidP="00790A5F">
            <w:pPr>
              <w:spacing w:line="480" w:lineRule="auto"/>
              <w:rPr>
                <w:rFonts w:ascii="Verdana" w:hAnsi="Verdana"/>
              </w:rPr>
            </w:pPr>
            <w:r w:rsidRPr="00482B0C">
              <w:rPr>
                <w:rFonts w:ascii="Verdana" w:hAnsi="Verdana"/>
              </w:rPr>
              <w:t>9.39</w:t>
            </w:r>
          </w:p>
        </w:tc>
        <w:tc>
          <w:tcPr>
            <w:tcW w:w="1399" w:type="dxa"/>
            <w:noWrap/>
            <w:hideMark/>
          </w:tcPr>
          <w:p w14:paraId="524D0422" w14:textId="77777777" w:rsidR="00482B0C" w:rsidRPr="00482B0C" w:rsidRDefault="00482B0C" w:rsidP="00790A5F">
            <w:pPr>
              <w:spacing w:line="480" w:lineRule="auto"/>
              <w:rPr>
                <w:rFonts w:ascii="Verdana" w:hAnsi="Verdana"/>
              </w:rPr>
            </w:pPr>
            <w:r w:rsidRPr="00482B0C">
              <w:rPr>
                <w:rFonts w:ascii="Verdana" w:hAnsi="Verdana"/>
              </w:rPr>
              <w:t>7.59</w:t>
            </w:r>
          </w:p>
        </w:tc>
        <w:tc>
          <w:tcPr>
            <w:tcW w:w="1099" w:type="dxa"/>
            <w:noWrap/>
            <w:hideMark/>
          </w:tcPr>
          <w:p w14:paraId="6FA45B8C" w14:textId="77777777" w:rsidR="00482B0C" w:rsidRPr="00482B0C" w:rsidRDefault="00482B0C" w:rsidP="00790A5F">
            <w:pPr>
              <w:spacing w:line="480" w:lineRule="auto"/>
              <w:rPr>
                <w:rFonts w:ascii="Verdana" w:hAnsi="Verdana"/>
              </w:rPr>
            </w:pPr>
            <w:r w:rsidRPr="00482B0C">
              <w:rPr>
                <w:rFonts w:ascii="Verdana" w:hAnsi="Verdana"/>
              </w:rPr>
              <w:t>7.76</w:t>
            </w:r>
          </w:p>
        </w:tc>
        <w:tc>
          <w:tcPr>
            <w:tcW w:w="1072" w:type="dxa"/>
            <w:noWrap/>
            <w:hideMark/>
          </w:tcPr>
          <w:p w14:paraId="0F5909D7" w14:textId="77777777" w:rsidR="00482B0C" w:rsidRPr="00482B0C" w:rsidRDefault="00482B0C" w:rsidP="00790A5F">
            <w:pPr>
              <w:spacing w:line="480" w:lineRule="auto"/>
              <w:rPr>
                <w:rFonts w:ascii="Verdana" w:hAnsi="Verdana"/>
              </w:rPr>
            </w:pPr>
            <w:r w:rsidRPr="00482B0C">
              <w:rPr>
                <w:rFonts w:ascii="Verdana" w:hAnsi="Verdana"/>
              </w:rPr>
              <w:t>11.22</w:t>
            </w:r>
          </w:p>
        </w:tc>
      </w:tr>
      <w:tr w:rsidR="00CE0C80" w:rsidRPr="00482B0C" w14:paraId="5C00E718" w14:textId="77777777" w:rsidTr="00790A5F">
        <w:trPr>
          <w:trHeight w:val="300"/>
        </w:trPr>
        <w:tc>
          <w:tcPr>
            <w:tcW w:w="4524" w:type="dxa"/>
            <w:noWrap/>
            <w:hideMark/>
          </w:tcPr>
          <w:p w14:paraId="264805C4" w14:textId="77777777" w:rsidR="00482B0C" w:rsidRPr="00482B0C" w:rsidRDefault="00482B0C" w:rsidP="00790A5F">
            <w:pPr>
              <w:spacing w:line="480" w:lineRule="auto"/>
              <w:rPr>
                <w:rFonts w:ascii="Verdana" w:hAnsi="Verdana"/>
                <w:b/>
                <w:bCs/>
              </w:rPr>
            </w:pPr>
            <w:r w:rsidRPr="00482B0C">
              <w:rPr>
                <w:rFonts w:ascii="Verdana" w:hAnsi="Verdana"/>
                <w:b/>
                <w:bCs/>
              </w:rPr>
              <w:t>Maturity (years) SD</w:t>
            </w:r>
          </w:p>
        </w:tc>
        <w:tc>
          <w:tcPr>
            <w:tcW w:w="996" w:type="dxa"/>
            <w:noWrap/>
            <w:hideMark/>
          </w:tcPr>
          <w:p w14:paraId="3411FD4E" w14:textId="77777777" w:rsidR="00482B0C" w:rsidRPr="00482B0C" w:rsidRDefault="00482B0C" w:rsidP="00790A5F">
            <w:pPr>
              <w:spacing w:line="480" w:lineRule="auto"/>
              <w:rPr>
                <w:rFonts w:ascii="Verdana" w:hAnsi="Verdana"/>
                <w:b/>
                <w:bCs/>
              </w:rPr>
            </w:pPr>
            <w:r w:rsidRPr="00482B0C">
              <w:rPr>
                <w:rFonts w:ascii="Verdana" w:hAnsi="Verdana"/>
                <w:b/>
                <w:bCs/>
              </w:rPr>
              <w:t>33.87</w:t>
            </w:r>
          </w:p>
        </w:tc>
        <w:tc>
          <w:tcPr>
            <w:tcW w:w="1181" w:type="dxa"/>
            <w:noWrap/>
            <w:hideMark/>
          </w:tcPr>
          <w:p w14:paraId="312F6FA8" w14:textId="77777777" w:rsidR="00482B0C" w:rsidRPr="00482B0C" w:rsidRDefault="00482B0C" w:rsidP="00790A5F">
            <w:pPr>
              <w:spacing w:line="480" w:lineRule="auto"/>
              <w:rPr>
                <w:rFonts w:ascii="Verdana" w:hAnsi="Verdana"/>
                <w:b/>
                <w:bCs/>
              </w:rPr>
            </w:pPr>
            <w:r w:rsidRPr="00482B0C">
              <w:rPr>
                <w:rFonts w:ascii="Verdana" w:hAnsi="Verdana"/>
                <w:b/>
                <w:bCs/>
              </w:rPr>
              <w:t>44.27</w:t>
            </w:r>
          </w:p>
        </w:tc>
        <w:tc>
          <w:tcPr>
            <w:tcW w:w="1399" w:type="dxa"/>
            <w:noWrap/>
            <w:hideMark/>
          </w:tcPr>
          <w:p w14:paraId="03DB3D1A" w14:textId="77777777" w:rsidR="00482B0C" w:rsidRPr="00482B0C" w:rsidRDefault="00482B0C" w:rsidP="00790A5F">
            <w:pPr>
              <w:spacing w:line="480" w:lineRule="auto"/>
              <w:rPr>
                <w:rFonts w:ascii="Verdana" w:hAnsi="Verdana"/>
                <w:b/>
                <w:bCs/>
              </w:rPr>
            </w:pPr>
            <w:r w:rsidRPr="00482B0C">
              <w:rPr>
                <w:rFonts w:ascii="Verdana" w:hAnsi="Verdana"/>
                <w:b/>
                <w:bCs/>
              </w:rPr>
              <w:t>6.76</w:t>
            </w:r>
          </w:p>
        </w:tc>
        <w:tc>
          <w:tcPr>
            <w:tcW w:w="1099" w:type="dxa"/>
            <w:noWrap/>
            <w:hideMark/>
          </w:tcPr>
          <w:p w14:paraId="0CC3C359" w14:textId="77777777" w:rsidR="00482B0C" w:rsidRPr="00482B0C" w:rsidRDefault="00482B0C" w:rsidP="00790A5F">
            <w:pPr>
              <w:spacing w:line="480" w:lineRule="auto"/>
              <w:rPr>
                <w:rFonts w:ascii="Verdana" w:hAnsi="Verdana"/>
                <w:b/>
                <w:bCs/>
              </w:rPr>
            </w:pPr>
            <w:r w:rsidRPr="00482B0C">
              <w:rPr>
                <w:rFonts w:ascii="Verdana" w:hAnsi="Verdana"/>
                <w:b/>
                <w:bCs/>
              </w:rPr>
              <w:t>6.61</w:t>
            </w:r>
          </w:p>
        </w:tc>
        <w:tc>
          <w:tcPr>
            <w:tcW w:w="1072" w:type="dxa"/>
            <w:noWrap/>
            <w:hideMark/>
          </w:tcPr>
          <w:p w14:paraId="4D29E9F3" w14:textId="77777777" w:rsidR="00482B0C" w:rsidRPr="00482B0C" w:rsidRDefault="00482B0C" w:rsidP="00790A5F">
            <w:pPr>
              <w:spacing w:line="480" w:lineRule="auto"/>
              <w:rPr>
                <w:rFonts w:ascii="Verdana" w:hAnsi="Verdana"/>
                <w:b/>
                <w:bCs/>
              </w:rPr>
            </w:pPr>
            <w:r w:rsidRPr="00482B0C">
              <w:rPr>
                <w:rFonts w:ascii="Verdana" w:hAnsi="Verdana"/>
                <w:b/>
                <w:bCs/>
              </w:rPr>
              <w:t>66.47</w:t>
            </w:r>
          </w:p>
        </w:tc>
      </w:tr>
      <w:tr w:rsidR="00CE0C80" w:rsidRPr="00482B0C" w14:paraId="204C51F2" w14:textId="77777777" w:rsidTr="00790A5F">
        <w:trPr>
          <w:trHeight w:val="300"/>
        </w:trPr>
        <w:tc>
          <w:tcPr>
            <w:tcW w:w="4524" w:type="dxa"/>
            <w:noWrap/>
            <w:hideMark/>
          </w:tcPr>
          <w:p w14:paraId="29AE5910" w14:textId="77777777" w:rsidR="00482B0C" w:rsidRPr="00482B0C" w:rsidRDefault="00482B0C" w:rsidP="00790A5F">
            <w:pPr>
              <w:spacing w:line="480" w:lineRule="auto"/>
              <w:rPr>
                <w:rFonts w:ascii="Verdana" w:hAnsi="Verdana"/>
              </w:rPr>
            </w:pPr>
            <w:r w:rsidRPr="00482B0C">
              <w:rPr>
                <w:rFonts w:ascii="Verdana" w:hAnsi="Verdana"/>
              </w:rPr>
              <w:t>Fixed-rate bond</w:t>
            </w:r>
          </w:p>
        </w:tc>
        <w:tc>
          <w:tcPr>
            <w:tcW w:w="996" w:type="dxa"/>
            <w:noWrap/>
            <w:hideMark/>
          </w:tcPr>
          <w:p w14:paraId="209B9062" w14:textId="77777777" w:rsidR="00482B0C" w:rsidRPr="00482B0C" w:rsidRDefault="00482B0C" w:rsidP="00790A5F">
            <w:pPr>
              <w:spacing w:line="480" w:lineRule="auto"/>
              <w:rPr>
                <w:rFonts w:ascii="Verdana" w:hAnsi="Verdana"/>
              </w:rPr>
            </w:pPr>
            <w:r w:rsidRPr="00482B0C">
              <w:rPr>
                <w:rFonts w:ascii="Verdana" w:hAnsi="Verdana"/>
              </w:rPr>
              <w:t>0.79</w:t>
            </w:r>
          </w:p>
        </w:tc>
        <w:tc>
          <w:tcPr>
            <w:tcW w:w="1181" w:type="dxa"/>
            <w:noWrap/>
            <w:hideMark/>
          </w:tcPr>
          <w:p w14:paraId="0AFEC3B7" w14:textId="77777777" w:rsidR="00482B0C" w:rsidRPr="00482B0C" w:rsidRDefault="00482B0C" w:rsidP="00790A5F">
            <w:pPr>
              <w:spacing w:line="480" w:lineRule="auto"/>
              <w:rPr>
                <w:rFonts w:ascii="Verdana" w:hAnsi="Verdana"/>
              </w:rPr>
            </w:pPr>
            <w:r w:rsidRPr="00482B0C">
              <w:rPr>
                <w:rFonts w:ascii="Verdana" w:hAnsi="Verdana"/>
              </w:rPr>
              <w:t>0.77</w:t>
            </w:r>
          </w:p>
        </w:tc>
        <w:tc>
          <w:tcPr>
            <w:tcW w:w="1399" w:type="dxa"/>
            <w:noWrap/>
            <w:hideMark/>
          </w:tcPr>
          <w:p w14:paraId="6AA6FB3A" w14:textId="77777777" w:rsidR="00482B0C" w:rsidRPr="00482B0C" w:rsidRDefault="00482B0C" w:rsidP="00790A5F">
            <w:pPr>
              <w:spacing w:line="480" w:lineRule="auto"/>
              <w:rPr>
                <w:rFonts w:ascii="Verdana" w:hAnsi="Verdana"/>
              </w:rPr>
            </w:pPr>
            <w:r w:rsidRPr="00482B0C">
              <w:rPr>
                <w:rFonts w:ascii="Verdana" w:hAnsi="Verdana"/>
              </w:rPr>
              <w:t>0.81</w:t>
            </w:r>
          </w:p>
        </w:tc>
        <w:tc>
          <w:tcPr>
            <w:tcW w:w="1099" w:type="dxa"/>
            <w:noWrap/>
            <w:hideMark/>
          </w:tcPr>
          <w:p w14:paraId="2300BF4E" w14:textId="77777777" w:rsidR="00482B0C" w:rsidRPr="00482B0C" w:rsidRDefault="00482B0C" w:rsidP="00790A5F">
            <w:pPr>
              <w:spacing w:line="480" w:lineRule="auto"/>
              <w:rPr>
                <w:rFonts w:ascii="Verdana" w:hAnsi="Verdana"/>
              </w:rPr>
            </w:pPr>
            <w:r w:rsidRPr="00482B0C">
              <w:rPr>
                <w:rFonts w:ascii="Verdana" w:hAnsi="Verdana"/>
              </w:rPr>
              <w:t>0.8</w:t>
            </w:r>
          </w:p>
        </w:tc>
        <w:tc>
          <w:tcPr>
            <w:tcW w:w="1072" w:type="dxa"/>
            <w:noWrap/>
            <w:hideMark/>
          </w:tcPr>
          <w:p w14:paraId="6EB7E801" w14:textId="77777777" w:rsidR="00482B0C" w:rsidRPr="00482B0C" w:rsidRDefault="00482B0C" w:rsidP="00790A5F">
            <w:pPr>
              <w:spacing w:line="480" w:lineRule="auto"/>
              <w:rPr>
                <w:rFonts w:ascii="Verdana" w:hAnsi="Verdana"/>
              </w:rPr>
            </w:pPr>
            <w:r w:rsidRPr="00482B0C">
              <w:rPr>
                <w:rFonts w:ascii="Verdana" w:hAnsi="Verdana"/>
              </w:rPr>
              <w:t>0.76</w:t>
            </w:r>
          </w:p>
        </w:tc>
      </w:tr>
      <w:tr w:rsidR="00CE0C80" w:rsidRPr="00482B0C" w14:paraId="1184B5D5" w14:textId="77777777" w:rsidTr="00790A5F">
        <w:trPr>
          <w:trHeight w:val="300"/>
        </w:trPr>
        <w:tc>
          <w:tcPr>
            <w:tcW w:w="4524" w:type="dxa"/>
            <w:noWrap/>
            <w:hideMark/>
          </w:tcPr>
          <w:p w14:paraId="2AF073D4" w14:textId="77777777" w:rsidR="00482B0C" w:rsidRPr="00482B0C" w:rsidRDefault="00482B0C" w:rsidP="00790A5F">
            <w:pPr>
              <w:spacing w:line="480" w:lineRule="auto"/>
              <w:rPr>
                <w:rFonts w:ascii="Verdana" w:hAnsi="Verdana"/>
                <w:b/>
                <w:bCs/>
              </w:rPr>
            </w:pPr>
            <w:r w:rsidRPr="00482B0C">
              <w:rPr>
                <w:rFonts w:ascii="Verdana" w:hAnsi="Verdana"/>
                <w:b/>
                <w:bCs/>
              </w:rPr>
              <w:t>Fixed-rate bond SD</w:t>
            </w:r>
          </w:p>
        </w:tc>
        <w:tc>
          <w:tcPr>
            <w:tcW w:w="996" w:type="dxa"/>
            <w:noWrap/>
            <w:hideMark/>
          </w:tcPr>
          <w:p w14:paraId="6598475B" w14:textId="77777777" w:rsidR="00482B0C" w:rsidRPr="00482B0C" w:rsidRDefault="00482B0C" w:rsidP="00790A5F">
            <w:pPr>
              <w:spacing w:line="480" w:lineRule="auto"/>
              <w:rPr>
                <w:rFonts w:ascii="Verdana" w:hAnsi="Verdana"/>
                <w:b/>
                <w:bCs/>
              </w:rPr>
            </w:pPr>
            <w:r w:rsidRPr="00482B0C">
              <w:rPr>
                <w:rFonts w:ascii="Verdana" w:hAnsi="Verdana"/>
                <w:b/>
                <w:bCs/>
              </w:rPr>
              <w:t>2.35</w:t>
            </w:r>
          </w:p>
        </w:tc>
        <w:tc>
          <w:tcPr>
            <w:tcW w:w="1181" w:type="dxa"/>
            <w:noWrap/>
            <w:hideMark/>
          </w:tcPr>
          <w:p w14:paraId="1DF668DE" w14:textId="77777777" w:rsidR="00482B0C" w:rsidRPr="00482B0C" w:rsidRDefault="00482B0C" w:rsidP="00790A5F">
            <w:pPr>
              <w:spacing w:line="480" w:lineRule="auto"/>
              <w:rPr>
                <w:rFonts w:ascii="Verdana" w:hAnsi="Verdana"/>
                <w:b/>
                <w:bCs/>
              </w:rPr>
            </w:pPr>
            <w:r w:rsidRPr="00482B0C">
              <w:rPr>
                <w:rFonts w:ascii="Verdana" w:hAnsi="Verdana"/>
                <w:b/>
                <w:bCs/>
              </w:rPr>
              <w:t>2.49</w:t>
            </w:r>
          </w:p>
        </w:tc>
        <w:tc>
          <w:tcPr>
            <w:tcW w:w="1399" w:type="dxa"/>
            <w:noWrap/>
            <w:hideMark/>
          </w:tcPr>
          <w:p w14:paraId="1121DB54" w14:textId="77777777" w:rsidR="00482B0C" w:rsidRPr="00482B0C" w:rsidRDefault="00482B0C" w:rsidP="00790A5F">
            <w:pPr>
              <w:spacing w:line="480" w:lineRule="auto"/>
              <w:rPr>
                <w:rFonts w:ascii="Verdana" w:hAnsi="Verdana"/>
                <w:b/>
                <w:bCs/>
              </w:rPr>
            </w:pPr>
            <w:r w:rsidRPr="00482B0C">
              <w:rPr>
                <w:rFonts w:ascii="Verdana" w:hAnsi="Verdana"/>
                <w:b/>
                <w:bCs/>
              </w:rPr>
              <w:t>2.14</w:t>
            </w:r>
          </w:p>
        </w:tc>
        <w:tc>
          <w:tcPr>
            <w:tcW w:w="1099" w:type="dxa"/>
            <w:noWrap/>
            <w:hideMark/>
          </w:tcPr>
          <w:p w14:paraId="5AE7CE5A" w14:textId="77777777" w:rsidR="00482B0C" w:rsidRPr="00482B0C" w:rsidRDefault="00482B0C" w:rsidP="00790A5F">
            <w:pPr>
              <w:spacing w:line="480" w:lineRule="auto"/>
              <w:rPr>
                <w:rFonts w:ascii="Verdana" w:hAnsi="Verdana"/>
                <w:b/>
                <w:bCs/>
              </w:rPr>
            </w:pPr>
            <w:r w:rsidRPr="00482B0C">
              <w:rPr>
                <w:rFonts w:ascii="Verdana" w:hAnsi="Verdana"/>
                <w:b/>
                <w:bCs/>
              </w:rPr>
              <w:t>2.3</w:t>
            </w:r>
          </w:p>
        </w:tc>
        <w:tc>
          <w:tcPr>
            <w:tcW w:w="1072" w:type="dxa"/>
            <w:noWrap/>
            <w:hideMark/>
          </w:tcPr>
          <w:p w14:paraId="09E42C50" w14:textId="77777777" w:rsidR="00482B0C" w:rsidRPr="00482B0C" w:rsidRDefault="00482B0C" w:rsidP="00790A5F">
            <w:pPr>
              <w:spacing w:line="480" w:lineRule="auto"/>
              <w:rPr>
                <w:rFonts w:ascii="Verdana" w:hAnsi="Verdana"/>
                <w:b/>
                <w:bCs/>
              </w:rPr>
            </w:pPr>
            <w:r w:rsidRPr="00482B0C">
              <w:rPr>
                <w:rFonts w:ascii="Verdana" w:hAnsi="Verdana"/>
                <w:b/>
                <w:bCs/>
              </w:rPr>
              <w:t>2.37</w:t>
            </w:r>
          </w:p>
        </w:tc>
      </w:tr>
      <w:tr w:rsidR="00CE0C80" w:rsidRPr="00482B0C" w14:paraId="75A8AD30" w14:textId="77777777" w:rsidTr="00790A5F">
        <w:trPr>
          <w:trHeight w:val="300"/>
        </w:trPr>
        <w:tc>
          <w:tcPr>
            <w:tcW w:w="4524" w:type="dxa"/>
            <w:noWrap/>
            <w:hideMark/>
          </w:tcPr>
          <w:p w14:paraId="2B406BC5" w14:textId="77777777" w:rsidR="00482B0C" w:rsidRPr="00482B0C" w:rsidRDefault="00482B0C" w:rsidP="00790A5F">
            <w:pPr>
              <w:spacing w:line="480" w:lineRule="auto"/>
              <w:rPr>
                <w:rFonts w:ascii="Verdana" w:hAnsi="Verdana"/>
              </w:rPr>
            </w:pPr>
            <w:r w:rsidRPr="00482B0C">
              <w:rPr>
                <w:rFonts w:ascii="Verdana" w:hAnsi="Verdana"/>
              </w:rPr>
              <w:t>Coupon (for fixed-rate bonds)</w:t>
            </w:r>
          </w:p>
        </w:tc>
        <w:tc>
          <w:tcPr>
            <w:tcW w:w="996" w:type="dxa"/>
            <w:noWrap/>
            <w:hideMark/>
          </w:tcPr>
          <w:p w14:paraId="617331AA" w14:textId="77777777" w:rsidR="00482B0C" w:rsidRPr="00482B0C" w:rsidRDefault="00482B0C" w:rsidP="00790A5F">
            <w:pPr>
              <w:spacing w:line="480" w:lineRule="auto"/>
              <w:rPr>
                <w:rFonts w:ascii="Verdana" w:hAnsi="Verdana"/>
              </w:rPr>
            </w:pPr>
            <w:r w:rsidRPr="00482B0C">
              <w:rPr>
                <w:rFonts w:ascii="Verdana" w:hAnsi="Verdana"/>
              </w:rPr>
              <w:t>3.26</w:t>
            </w:r>
          </w:p>
        </w:tc>
        <w:tc>
          <w:tcPr>
            <w:tcW w:w="1181" w:type="dxa"/>
            <w:noWrap/>
            <w:hideMark/>
          </w:tcPr>
          <w:p w14:paraId="1B454371" w14:textId="77777777" w:rsidR="00482B0C" w:rsidRPr="00482B0C" w:rsidRDefault="00482B0C" w:rsidP="00790A5F">
            <w:pPr>
              <w:spacing w:line="480" w:lineRule="auto"/>
              <w:rPr>
                <w:rFonts w:ascii="Verdana" w:hAnsi="Verdana"/>
              </w:rPr>
            </w:pPr>
            <w:r w:rsidRPr="00482B0C">
              <w:rPr>
                <w:rFonts w:ascii="Verdana" w:hAnsi="Verdana"/>
              </w:rPr>
              <w:t>3.39</w:t>
            </w:r>
          </w:p>
        </w:tc>
        <w:tc>
          <w:tcPr>
            <w:tcW w:w="1399" w:type="dxa"/>
            <w:noWrap/>
            <w:hideMark/>
          </w:tcPr>
          <w:p w14:paraId="4B39031E" w14:textId="77777777" w:rsidR="00482B0C" w:rsidRPr="00482B0C" w:rsidRDefault="00482B0C" w:rsidP="00790A5F">
            <w:pPr>
              <w:spacing w:line="480" w:lineRule="auto"/>
              <w:rPr>
                <w:rFonts w:ascii="Verdana" w:hAnsi="Verdana"/>
              </w:rPr>
            </w:pPr>
            <w:r w:rsidRPr="00482B0C">
              <w:rPr>
                <w:rFonts w:ascii="Verdana" w:hAnsi="Verdana"/>
              </w:rPr>
              <w:t>3.09</w:t>
            </w:r>
          </w:p>
        </w:tc>
        <w:tc>
          <w:tcPr>
            <w:tcW w:w="1099" w:type="dxa"/>
            <w:noWrap/>
            <w:hideMark/>
          </w:tcPr>
          <w:p w14:paraId="65397129" w14:textId="77777777" w:rsidR="00482B0C" w:rsidRPr="00482B0C" w:rsidRDefault="00482B0C" w:rsidP="00790A5F">
            <w:pPr>
              <w:spacing w:line="480" w:lineRule="auto"/>
              <w:rPr>
                <w:rFonts w:ascii="Verdana" w:hAnsi="Verdana"/>
              </w:rPr>
            </w:pPr>
            <w:r w:rsidRPr="00482B0C">
              <w:rPr>
                <w:rFonts w:ascii="Verdana" w:hAnsi="Verdana"/>
              </w:rPr>
              <w:t>3.48</w:t>
            </w:r>
          </w:p>
        </w:tc>
        <w:tc>
          <w:tcPr>
            <w:tcW w:w="1072" w:type="dxa"/>
            <w:noWrap/>
            <w:hideMark/>
          </w:tcPr>
          <w:p w14:paraId="67B714DF" w14:textId="77777777" w:rsidR="00482B0C" w:rsidRPr="00482B0C" w:rsidRDefault="00482B0C" w:rsidP="00790A5F">
            <w:pPr>
              <w:spacing w:line="480" w:lineRule="auto"/>
              <w:rPr>
                <w:rFonts w:ascii="Verdana" w:hAnsi="Verdana"/>
              </w:rPr>
            </w:pPr>
            <w:r w:rsidRPr="00482B0C">
              <w:rPr>
                <w:rFonts w:ascii="Verdana" w:hAnsi="Verdana"/>
              </w:rPr>
              <w:t>2.57</w:t>
            </w:r>
          </w:p>
        </w:tc>
      </w:tr>
      <w:tr w:rsidR="00CE0C80" w:rsidRPr="00482B0C" w14:paraId="5DB5EC0C" w14:textId="77777777" w:rsidTr="00790A5F">
        <w:trPr>
          <w:trHeight w:val="300"/>
        </w:trPr>
        <w:tc>
          <w:tcPr>
            <w:tcW w:w="4524" w:type="dxa"/>
            <w:noWrap/>
            <w:hideMark/>
          </w:tcPr>
          <w:p w14:paraId="63090624" w14:textId="77777777" w:rsidR="00482B0C" w:rsidRPr="00482B0C" w:rsidRDefault="00482B0C" w:rsidP="00790A5F">
            <w:pPr>
              <w:spacing w:line="480" w:lineRule="auto"/>
              <w:rPr>
                <w:rFonts w:ascii="Verdana" w:hAnsi="Verdana"/>
                <w:b/>
                <w:bCs/>
              </w:rPr>
            </w:pPr>
            <w:r w:rsidRPr="00482B0C">
              <w:rPr>
                <w:rFonts w:ascii="Verdana" w:hAnsi="Verdana"/>
                <w:b/>
                <w:bCs/>
              </w:rPr>
              <w:t>Coupon (for fixed-rate bonds) SD</w:t>
            </w:r>
          </w:p>
        </w:tc>
        <w:tc>
          <w:tcPr>
            <w:tcW w:w="996" w:type="dxa"/>
            <w:noWrap/>
            <w:hideMark/>
          </w:tcPr>
          <w:p w14:paraId="6C3D8F15" w14:textId="77777777" w:rsidR="00482B0C" w:rsidRPr="00482B0C" w:rsidRDefault="00482B0C" w:rsidP="00790A5F">
            <w:pPr>
              <w:spacing w:line="480" w:lineRule="auto"/>
              <w:rPr>
                <w:rFonts w:ascii="Verdana" w:hAnsi="Verdana"/>
                <w:b/>
                <w:bCs/>
              </w:rPr>
            </w:pPr>
            <w:r w:rsidRPr="00482B0C">
              <w:rPr>
                <w:rFonts w:ascii="Verdana" w:hAnsi="Verdana"/>
                <w:b/>
                <w:bCs/>
              </w:rPr>
              <w:t>2.35</w:t>
            </w:r>
          </w:p>
        </w:tc>
        <w:tc>
          <w:tcPr>
            <w:tcW w:w="1181" w:type="dxa"/>
            <w:noWrap/>
            <w:hideMark/>
          </w:tcPr>
          <w:p w14:paraId="10A70A13" w14:textId="77777777" w:rsidR="00482B0C" w:rsidRPr="00482B0C" w:rsidRDefault="00482B0C" w:rsidP="00790A5F">
            <w:pPr>
              <w:spacing w:line="480" w:lineRule="auto"/>
              <w:rPr>
                <w:rFonts w:ascii="Verdana" w:hAnsi="Verdana"/>
                <w:b/>
                <w:bCs/>
              </w:rPr>
            </w:pPr>
            <w:r w:rsidRPr="00482B0C">
              <w:rPr>
                <w:rFonts w:ascii="Verdana" w:hAnsi="Verdana"/>
                <w:b/>
                <w:bCs/>
              </w:rPr>
              <w:t>2.49</w:t>
            </w:r>
          </w:p>
        </w:tc>
        <w:tc>
          <w:tcPr>
            <w:tcW w:w="1399" w:type="dxa"/>
            <w:noWrap/>
            <w:hideMark/>
          </w:tcPr>
          <w:p w14:paraId="733A2EAD" w14:textId="77777777" w:rsidR="00482B0C" w:rsidRPr="00482B0C" w:rsidRDefault="00482B0C" w:rsidP="00790A5F">
            <w:pPr>
              <w:spacing w:line="480" w:lineRule="auto"/>
              <w:rPr>
                <w:rFonts w:ascii="Verdana" w:hAnsi="Verdana"/>
                <w:b/>
                <w:bCs/>
              </w:rPr>
            </w:pPr>
            <w:r w:rsidRPr="00482B0C">
              <w:rPr>
                <w:rFonts w:ascii="Verdana" w:hAnsi="Verdana"/>
                <w:b/>
                <w:bCs/>
              </w:rPr>
              <w:t>2.14</w:t>
            </w:r>
          </w:p>
        </w:tc>
        <w:tc>
          <w:tcPr>
            <w:tcW w:w="1099" w:type="dxa"/>
            <w:noWrap/>
            <w:hideMark/>
          </w:tcPr>
          <w:p w14:paraId="1A1D9065" w14:textId="77777777" w:rsidR="00482B0C" w:rsidRPr="00482B0C" w:rsidRDefault="00482B0C" w:rsidP="00790A5F">
            <w:pPr>
              <w:spacing w:line="480" w:lineRule="auto"/>
              <w:rPr>
                <w:rFonts w:ascii="Verdana" w:hAnsi="Verdana"/>
                <w:b/>
                <w:bCs/>
              </w:rPr>
            </w:pPr>
            <w:r w:rsidRPr="00482B0C">
              <w:rPr>
                <w:rFonts w:ascii="Verdana" w:hAnsi="Verdana"/>
                <w:b/>
                <w:bCs/>
              </w:rPr>
              <w:t>2.3</w:t>
            </w:r>
          </w:p>
        </w:tc>
        <w:tc>
          <w:tcPr>
            <w:tcW w:w="1072" w:type="dxa"/>
            <w:noWrap/>
            <w:hideMark/>
          </w:tcPr>
          <w:p w14:paraId="7B393BBE" w14:textId="77777777" w:rsidR="00482B0C" w:rsidRPr="00482B0C" w:rsidRDefault="00482B0C" w:rsidP="00790A5F">
            <w:pPr>
              <w:spacing w:line="480" w:lineRule="auto"/>
              <w:rPr>
                <w:rFonts w:ascii="Verdana" w:hAnsi="Verdana"/>
                <w:b/>
                <w:bCs/>
              </w:rPr>
            </w:pPr>
            <w:r w:rsidRPr="00482B0C">
              <w:rPr>
                <w:rFonts w:ascii="Verdana" w:hAnsi="Verdana"/>
                <w:b/>
                <w:bCs/>
              </w:rPr>
              <w:t>2.37</w:t>
            </w:r>
          </w:p>
        </w:tc>
      </w:tr>
    </w:tbl>
    <w:p w14:paraId="5644BF75" w14:textId="2671D8C0" w:rsidR="008051DC" w:rsidRPr="008051DC" w:rsidRDefault="008051DC" w:rsidP="00790A5F">
      <w:pPr>
        <w:spacing w:line="480" w:lineRule="auto"/>
        <w:rPr>
          <w:rFonts w:ascii="Verdana" w:hAnsi="Verdana"/>
        </w:rPr>
      </w:pPr>
    </w:p>
    <w:p w14:paraId="78951124" w14:textId="77777777" w:rsidR="008051DC" w:rsidRPr="008051DC" w:rsidRDefault="008051DC" w:rsidP="00790A5F">
      <w:pPr>
        <w:spacing w:line="480" w:lineRule="auto"/>
        <w:rPr>
          <w:rFonts w:ascii="Verdana" w:hAnsi="Verdana"/>
        </w:rPr>
      </w:pPr>
    </w:p>
    <w:p w14:paraId="078E2E34" w14:textId="33C26A49" w:rsidR="004A3738" w:rsidRDefault="004A3738" w:rsidP="00790A5F">
      <w:pPr>
        <w:pStyle w:val="Heading1"/>
        <w:spacing w:line="480" w:lineRule="auto"/>
        <w:rPr>
          <w:rFonts w:ascii="Verdana" w:hAnsi="Verdana"/>
        </w:rPr>
      </w:pPr>
      <w:r w:rsidRPr="008051DC">
        <w:rPr>
          <w:rFonts w:ascii="Verdana" w:hAnsi="Verdana"/>
        </w:rPr>
        <w:t>The analysis</w:t>
      </w:r>
    </w:p>
    <w:p w14:paraId="0A0A81C5" w14:textId="1A491065" w:rsidR="007122EA" w:rsidRDefault="00683569" w:rsidP="00790A5F">
      <w:pPr>
        <w:spacing w:line="480" w:lineRule="auto"/>
        <w:rPr>
          <w:rFonts w:ascii="Verdana" w:hAnsi="Verdana"/>
          <w:sz w:val="24"/>
          <w:szCs w:val="24"/>
        </w:rPr>
      </w:pPr>
      <w:r>
        <w:rPr>
          <w:rFonts w:ascii="Verdana" w:hAnsi="Verdana"/>
          <w:sz w:val="24"/>
          <w:szCs w:val="24"/>
        </w:rPr>
        <w:t xml:space="preserve">For the analysis, I replicate the event study by Flammer about the stock price </w:t>
      </w:r>
      <w:r w:rsidR="007877ED">
        <w:rPr>
          <w:rFonts w:ascii="Verdana" w:hAnsi="Verdana"/>
          <w:sz w:val="24"/>
          <w:szCs w:val="24"/>
        </w:rPr>
        <w:t>returns</w:t>
      </w:r>
      <w:r>
        <w:rPr>
          <w:rFonts w:ascii="Verdana" w:hAnsi="Verdana"/>
          <w:sz w:val="24"/>
          <w:szCs w:val="24"/>
        </w:rPr>
        <w:t xml:space="preserve"> for different time windows around the issuance of a green bond. Like Bloomberg, Refinitiv allows to </w:t>
      </w:r>
      <w:r w:rsidR="007877ED">
        <w:rPr>
          <w:rFonts w:ascii="Verdana" w:hAnsi="Verdana"/>
          <w:sz w:val="24"/>
          <w:szCs w:val="24"/>
        </w:rPr>
        <w:t>obtain</w:t>
      </w:r>
      <w:r>
        <w:rPr>
          <w:rFonts w:ascii="Verdana" w:hAnsi="Verdana"/>
          <w:sz w:val="24"/>
          <w:szCs w:val="24"/>
        </w:rPr>
        <w:t xml:space="preserve"> the first announcement date of a bond, that is the exact day on which the company declared its </w:t>
      </w:r>
      <w:r>
        <w:rPr>
          <w:rFonts w:ascii="Verdana" w:hAnsi="Verdana"/>
          <w:sz w:val="24"/>
          <w:szCs w:val="24"/>
        </w:rPr>
        <w:lastRenderedPageBreak/>
        <w:t>intentions to issue the bond.</w:t>
      </w:r>
      <w:r w:rsidR="007122EA">
        <w:rPr>
          <w:rFonts w:ascii="Verdana" w:hAnsi="Verdana"/>
          <w:sz w:val="24"/>
          <w:szCs w:val="24"/>
        </w:rPr>
        <w:t xml:space="preserve"> T</w:t>
      </w:r>
      <w:r>
        <w:rPr>
          <w:rFonts w:ascii="Verdana" w:hAnsi="Verdana"/>
          <w:sz w:val="24"/>
          <w:szCs w:val="24"/>
        </w:rPr>
        <w:t xml:space="preserve">his piece of information is fundamental as it </w:t>
      </w:r>
      <w:r w:rsidR="007877ED">
        <w:rPr>
          <w:rFonts w:ascii="Verdana" w:hAnsi="Verdana"/>
          <w:sz w:val="24"/>
          <w:szCs w:val="24"/>
        </w:rPr>
        <w:t>indicates exactly</w:t>
      </w:r>
      <w:r w:rsidR="007122EA">
        <w:rPr>
          <w:rFonts w:ascii="Verdana" w:hAnsi="Verdana"/>
          <w:sz w:val="24"/>
          <w:szCs w:val="24"/>
        </w:rPr>
        <w:t xml:space="preserve"> when the market publicly received the information for the first time. Following Flammer (2020), I:</w:t>
      </w:r>
    </w:p>
    <w:p w14:paraId="44744E75" w14:textId="6A0A0DEE" w:rsidR="00683569" w:rsidRDefault="007122EA" w:rsidP="00790A5F">
      <w:pPr>
        <w:pStyle w:val="ListParagraph"/>
        <w:numPr>
          <w:ilvl w:val="0"/>
          <w:numId w:val="11"/>
        </w:numPr>
        <w:spacing w:line="480" w:lineRule="auto"/>
        <w:rPr>
          <w:rFonts w:ascii="Verdana" w:hAnsi="Verdana"/>
          <w:sz w:val="24"/>
          <w:szCs w:val="24"/>
        </w:rPr>
      </w:pPr>
      <w:r w:rsidRPr="007122EA">
        <w:rPr>
          <w:rFonts w:ascii="Verdana" w:hAnsi="Verdana"/>
          <w:sz w:val="24"/>
          <w:szCs w:val="24"/>
        </w:rPr>
        <w:t>use as a baseline time window [-5, 10] from 5 days prior until 10 days following the announcement</w:t>
      </w:r>
      <w:r w:rsidR="002B732B">
        <w:rPr>
          <w:rFonts w:ascii="Verdana" w:hAnsi="Verdana"/>
          <w:sz w:val="24"/>
          <w:szCs w:val="24"/>
        </w:rPr>
        <w:t xml:space="preserve"> in order</w:t>
      </w:r>
      <w:r>
        <w:rPr>
          <w:rFonts w:ascii="Verdana" w:hAnsi="Verdana"/>
          <w:sz w:val="24"/>
          <w:szCs w:val="24"/>
        </w:rPr>
        <w:t xml:space="preserve"> to see if the market has obtained some information in the 5 days before the announcement and if there is an impact in the following 10 days.</w:t>
      </w:r>
    </w:p>
    <w:p w14:paraId="265D1A22" w14:textId="75BA997C" w:rsidR="007122EA" w:rsidRDefault="00211B6B" w:rsidP="00790A5F">
      <w:pPr>
        <w:pStyle w:val="ListParagraph"/>
        <w:numPr>
          <w:ilvl w:val="0"/>
          <w:numId w:val="11"/>
        </w:numPr>
        <w:spacing w:line="480" w:lineRule="auto"/>
        <w:rPr>
          <w:rFonts w:ascii="Verdana" w:hAnsi="Verdana"/>
          <w:sz w:val="24"/>
          <w:szCs w:val="24"/>
        </w:rPr>
      </w:pPr>
      <w:r>
        <w:rPr>
          <w:rFonts w:ascii="Verdana" w:hAnsi="Verdana"/>
          <w:sz w:val="24"/>
          <w:szCs w:val="24"/>
        </w:rPr>
        <w:t>a</w:t>
      </w:r>
      <w:r w:rsidR="007122EA">
        <w:rPr>
          <w:rFonts w:ascii="Verdana" w:hAnsi="Verdana"/>
          <w:sz w:val="24"/>
          <w:szCs w:val="24"/>
        </w:rPr>
        <w:t xml:space="preserve">nalyse </w:t>
      </w:r>
      <w:r>
        <w:rPr>
          <w:rFonts w:ascii="Verdana" w:hAnsi="Verdana"/>
          <w:sz w:val="24"/>
          <w:szCs w:val="24"/>
        </w:rPr>
        <w:t xml:space="preserve">also the time windows [-20, -11], [-10, -6] and [11, 20], [21, 60] to see </w:t>
      </w:r>
      <w:r w:rsidR="009C08EB">
        <w:rPr>
          <w:rFonts w:ascii="Verdana" w:hAnsi="Verdana"/>
          <w:sz w:val="24"/>
          <w:szCs w:val="24"/>
        </w:rPr>
        <w:t>if there are any impacts before or after the announcement.</w:t>
      </w:r>
    </w:p>
    <w:p w14:paraId="129F193E" w14:textId="41CF02AD" w:rsidR="009C08EB" w:rsidRDefault="009C08EB" w:rsidP="00790A5F">
      <w:pPr>
        <w:spacing w:line="480" w:lineRule="auto"/>
        <w:rPr>
          <w:rFonts w:ascii="Verdana" w:hAnsi="Verdana"/>
          <w:sz w:val="24"/>
          <w:szCs w:val="24"/>
        </w:rPr>
      </w:pPr>
      <w:r>
        <w:rPr>
          <w:rFonts w:ascii="Verdana" w:hAnsi="Verdana"/>
          <w:sz w:val="24"/>
          <w:szCs w:val="24"/>
        </w:rPr>
        <w:t>For every firm</w:t>
      </w:r>
      <w:r w:rsidR="002B732B">
        <w:rPr>
          <w:rFonts w:ascii="Verdana" w:hAnsi="Verdana"/>
          <w:sz w:val="24"/>
          <w:szCs w:val="24"/>
        </w:rPr>
        <w:t xml:space="preserve"> with a public ultimate parent</w:t>
      </w:r>
      <w:r>
        <w:rPr>
          <w:rFonts w:ascii="Verdana" w:hAnsi="Verdana"/>
          <w:sz w:val="24"/>
          <w:szCs w:val="24"/>
        </w:rPr>
        <w:t xml:space="preserve">, I formalize a market model using an Ordinary Least Square that uses a constant α and a coefficient β trained over the 200 </w:t>
      </w:r>
      <w:r w:rsidR="007333A4">
        <w:rPr>
          <w:rFonts w:ascii="Verdana" w:hAnsi="Verdana"/>
          <w:sz w:val="24"/>
          <w:szCs w:val="24"/>
        </w:rPr>
        <w:t xml:space="preserve">trading </w:t>
      </w:r>
      <w:r>
        <w:rPr>
          <w:rFonts w:ascii="Verdana" w:hAnsi="Verdana"/>
          <w:sz w:val="24"/>
          <w:szCs w:val="24"/>
        </w:rPr>
        <w:t xml:space="preserve">days prior to the first time window. </w:t>
      </w:r>
      <w:r w:rsidR="007333A4">
        <w:rPr>
          <w:rFonts w:ascii="Verdana" w:hAnsi="Verdana"/>
          <w:sz w:val="24"/>
          <w:szCs w:val="24"/>
        </w:rPr>
        <w:t>This means that the period for estimating the model corresponds to the time window [-220, -21].</w:t>
      </w:r>
    </w:p>
    <w:p w14:paraId="05227C2F" w14:textId="183BCF1C" w:rsidR="001065E7" w:rsidRDefault="001065E7" w:rsidP="00790A5F">
      <w:pPr>
        <w:spacing w:line="480" w:lineRule="auto"/>
        <w:rPr>
          <w:rFonts w:ascii="Verdana" w:hAnsi="Verdana"/>
          <w:sz w:val="24"/>
          <w:szCs w:val="24"/>
        </w:rPr>
      </w:pPr>
      <w:r>
        <w:rPr>
          <w:rFonts w:ascii="Verdana" w:hAnsi="Verdana"/>
          <w:sz w:val="24"/>
          <w:szCs w:val="24"/>
        </w:rPr>
        <w:t>Therefore, the market model simply analyses the relationship between the market returns and the stock returns. The equation is:</w:t>
      </w:r>
    </w:p>
    <w:p w14:paraId="0FFAE5BE" w14:textId="552471BA" w:rsidR="00BE4169" w:rsidRDefault="00B422A2" w:rsidP="00790A5F">
      <w:pPr>
        <w:autoSpaceDE w:val="0"/>
        <w:autoSpaceDN w:val="0"/>
        <w:adjustRightInd w:val="0"/>
        <w:spacing w:after="0" w:line="480" w:lineRule="auto"/>
        <w:rPr>
          <w:rFonts w:ascii="TimesNewRomanPSMT" w:eastAsia="TimesNewRomanPSMT" w:cs="TimesNewRomanPSMT"/>
          <w:color w:val="000000"/>
          <w:sz w:val="24"/>
          <w:szCs w:val="24"/>
        </w:rPr>
      </w:pPr>
      <m:oMathPara>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R</m:t>
              </m:r>
              <m:ctrlPr>
                <w:rPr>
                  <w:rFonts w:ascii="Cambria Math" w:eastAsiaTheme="minorEastAsia" w:hAnsi="Cambria Math"/>
                  <w:sz w:val="24"/>
                  <w:szCs w:val="24"/>
                </w:rPr>
              </m:ctrlPr>
            </m:e>
            <m:sub>
              <m:r>
                <m:rPr>
                  <m:sty m:val="p"/>
                </m:rPr>
                <w:rPr>
                  <w:rFonts w:ascii="Cambria Math" w:eastAsiaTheme="minorEastAsia" w:hAnsi="Cambria Math"/>
                  <w:sz w:val="24"/>
                  <w:szCs w:val="24"/>
                </w:rPr>
                <m:t>i</m:t>
              </m:r>
            </m:sub>
          </m:sSub>
          <m:r>
            <w:rPr>
              <w:rFonts w:ascii="Cambria Math" w:eastAsiaTheme="minorEastAsia" w:hAnsi="Cambria Math"/>
              <w:sz w:val="24"/>
              <w:szCs w:val="24"/>
            </w:rPr>
            <m:t>= </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α</m:t>
              </m:r>
            </m:e>
            <m:sub>
              <m:r>
                <m:rPr>
                  <m:sty m:val="p"/>
                </m:rPr>
                <w:rPr>
                  <w:rFonts w:ascii="Cambria Math" w:eastAsiaTheme="minorEastAsia" w:hAnsi="Cambria Math"/>
                  <w:sz w:val="24"/>
                  <w:szCs w:val="24"/>
                </w:rPr>
                <m:t>i</m:t>
              </m:r>
            </m:sub>
          </m:sSub>
          <m:r>
            <w:rPr>
              <w:rFonts w:ascii="Cambria Math" w:eastAsiaTheme="minorEastAsia" w:hAnsi="Cambria Math"/>
              <w:sz w:val="24"/>
              <w:szCs w:val="24"/>
            </w:rPr>
            <m:t> + </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β</m:t>
              </m:r>
            </m:e>
            <m:sub>
              <m:r>
                <m:rPr>
                  <m:sty m:val="p"/>
                </m:rPr>
                <w:rPr>
                  <w:rFonts w:ascii="Cambria Math" w:eastAsiaTheme="minorEastAsia" w:hAnsi="Cambria Math"/>
                  <w:sz w:val="24"/>
                  <w:szCs w:val="24"/>
                </w:rPr>
                <m:t>i</m:t>
              </m:r>
            </m:sub>
          </m:sSub>
          <m:r>
            <m:rPr>
              <m:sty m:val="p"/>
            </m:rPr>
            <w:rPr>
              <w:rFonts w:ascii="Cambria Math" w:eastAsiaTheme="minorEastAsia" w:hAnsi="Cambria Math"/>
              <w:sz w:val="24"/>
              <w:szCs w:val="24"/>
            </w:rPr>
            <m:t> × </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R</m:t>
              </m:r>
              <m:ctrlPr>
                <w:rPr>
                  <w:rFonts w:ascii="Cambria Math" w:eastAsiaTheme="minorEastAsia" w:hAnsi="Cambria Math"/>
                  <w:sz w:val="24"/>
                  <w:szCs w:val="24"/>
                </w:rPr>
              </m:ctrlPr>
            </m:e>
            <m:sub>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m</m:t>
                  </m:r>
                </m:e>
                <m:sub>
                  <m:r>
                    <m:rPr>
                      <m:sty m:val="p"/>
                    </m:rPr>
                    <w:rPr>
                      <w:rFonts w:ascii="Cambria Math" w:eastAsiaTheme="minorEastAsia" w:hAnsi="Cambria Math"/>
                      <w:sz w:val="24"/>
                      <w:szCs w:val="24"/>
                    </w:rPr>
                    <m:t>t</m:t>
                  </m:r>
                </m:sub>
              </m:sSub>
            </m:sub>
          </m:sSub>
          <m:r>
            <w:rPr>
              <w:rFonts w:ascii="Cambria Math" w:eastAsiaTheme="minorEastAsia" w:hAnsi="Cambria Math"/>
              <w:sz w:val="24"/>
              <w:szCs w:val="24"/>
            </w:rPr>
            <m:t> + </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ϵ</m:t>
              </m:r>
            </m:e>
            <m:sub>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i</m:t>
                  </m:r>
                </m:e>
                <m:sub>
                  <m:r>
                    <m:rPr>
                      <m:sty m:val="p"/>
                    </m:rPr>
                    <w:rPr>
                      <w:rFonts w:ascii="Cambria Math" w:eastAsiaTheme="minorEastAsia" w:hAnsi="Cambria Math"/>
                      <w:sz w:val="24"/>
                      <w:szCs w:val="24"/>
                    </w:rPr>
                    <m:t>t</m:t>
                  </m:r>
                </m:sub>
              </m:sSub>
            </m:sub>
          </m:sSub>
        </m:oMath>
      </m:oMathPara>
    </w:p>
    <w:p w14:paraId="10021456" w14:textId="77777777" w:rsidR="00EB07D8" w:rsidRDefault="00EB07D8" w:rsidP="00790A5F">
      <w:pPr>
        <w:autoSpaceDE w:val="0"/>
        <w:autoSpaceDN w:val="0"/>
        <w:adjustRightInd w:val="0"/>
        <w:spacing w:after="0" w:line="480" w:lineRule="auto"/>
        <w:rPr>
          <w:rFonts w:ascii="TimesNewRomanPSMT" w:eastAsia="TimesNewRomanPSMT" w:cs="TimesNewRomanPSMT"/>
          <w:color w:val="000000"/>
          <w:sz w:val="24"/>
          <w:szCs w:val="24"/>
        </w:rPr>
      </w:pPr>
    </w:p>
    <w:p w14:paraId="47BE63C3" w14:textId="408E115E" w:rsidR="00EB07D8" w:rsidRDefault="002B3028" w:rsidP="00790A5F">
      <w:pPr>
        <w:autoSpaceDE w:val="0"/>
        <w:autoSpaceDN w:val="0"/>
        <w:adjustRightInd w:val="0"/>
        <w:spacing w:after="0" w:line="480" w:lineRule="auto"/>
        <w:rPr>
          <w:rFonts w:ascii="Verdana" w:eastAsia="TimesNewRomanPSMT" w:hAnsi="Verdana" w:cs="TimesNewRomanPSMT"/>
          <w:color w:val="000000"/>
          <w:sz w:val="24"/>
          <w:szCs w:val="24"/>
        </w:rPr>
      </w:pPr>
      <w:r>
        <w:rPr>
          <w:rFonts w:ascii="Verdana" w:eastAsia="TimesNewRomanPSMT" w:hAnsi="Verdana" w:cs="TimesNewRomanPSMT"/>
          <w:color w:val="000000"/>
          <w:sz w:val="24"/>
          <w:szCs w:val="24"/>
        </w:rPr>
        <w:t>For each bond issuer’s country of incorporation, I identify the corresponding m</w:t>
      </w:r>
      <w:r w:rsidR="00EB07D8">
        <w:rPr>
          <w:rFonts w:ascii="Verdana" w:eastAsia="TimesNewRomanPSMT" w:hAnsi="Verdana" w:cs="TimesNewRomanPSMT"/>
          <w:color w:val="000000"/>
          <w:sz w:val="24"/>
          <w:szCs w:val="24"/>
        </w:rPr>
        <w:t xml:space="preserve">arket </w:t>
      </w:r>
      <w:r>
        <w:rPr>
          <w:rFonts w:ascii="Verdana" w:eastAsia="TimesNewRomanPSMT" w:hAnsi="Verdana" w:cs="TimesNewRomanPSMT"/>
          <w:color w:val="000000"/>
          <w:sz w:val="24"/>
          <w:szCs w:val="24"/>
        </w:rPr>
        <w:t xml:space="preserve">index. The relationship country-to-index is listed on table 5. For Bermuda, British Virgin Islands and Cayman Islands’ stock </w:t>
      </w:r>
      <w:r>
        <w:rPr>
          <w:rFonts w:ascii="Verdana" w:eastAsia="TimesNewRomanPSMT" w:hAnsi="Verdana" w:cs="TimesNewRomanPSMT"/>
          <w:color w:val="000000"/>
          <w:sz w:val="24"/>
          <w:szCs w:val="24"/>
        </w:rPr>
        <w:lastRenderedPageBreak/>
        <w:t>markets</w:t>
      </w:r>
      <w:r w:rsidR="007701B0">
        <w:rPr>
          <w:rFonts w:ascii="Verdana" w:eastAsia="TimesNewRomanPSMT" w:hAnsi="Verdana" w:cs="TimesNewRomanPSMT"/>
          <w:color w:val="000000"/>
          <w:sz w:val="24"/>
          <w:szCs w:val="24"/>
        </w:rPr>
        <w:t xml:space="preserve">, I could not identify any specific market index. Since these three are very international stock markets, I use as market index </w:t>
      </w:r>
      <w:r w:rsidR="007701B0">
        <w:rPr>
          <w:rFonts w:ascii="Verdana" w:eastAsia="TimesNewRomanPSMT" w:hAnsi="Verdana" w:cs="TimesNewRomanPSMT"/>
          <w:color w:val="000000"/>
          <w:sz w:val="24"/>
          <w:szCs w:val="24"/>
        </w:rPr>
        <w:t>the S&amp;P500 (.SPX)</w:t>
      </w:r>
      <w:r w:rsidR="007701B0">
        <w:rPr>
          <w:rFonts w:ascii="Verdana" w:eastAsia="TimesNewRomanPSMT" w:hAnsi="Verdana" w:cs="TimesNewRomanPSMT"/>
          <w:color w:val="000000"/>
          <w:sz w:val="24"/>
          <w:szCs w:val="24"/>
        </w:rPr>
        <w:t>, given that it is one of the most commonly followed equity indexes.</w:t>
      </w:r>
    </w:p>
    <w:p w14:paraId="2C314BE4" w14:textId="77777777" w:rsidR="002B3028" w:rsidRDefault="002B3028" w:rsidP="00790A5F">
      <w:pPr>
        <w:autoSpaceDE w:val="0"/>
        <w:autoSpaceDN w:val="0"/>
        <w:adjustRightInd w:val="0"/>
        <w:spacing w:after="0" w:line="480" w:lineRule="auto"/>
        <w:rPr>
          <w:rFonts w:ascii="Verdana" w:eastAsia="TimesNewRomanPSMT" w:hAnsi="Verdana" w:cs="TimesNewRomanPSMT"/>
          <w:color w:val="000000"/>
          <w:sz w:val="24"/>
          <w:szCs w:val="24"/>
        </w:rPr>
      </w:pPr>
    </w:p>
    <w:p w14:paraId="2F8E42E0" w14:textId="379C8EB5" w:rsidR="002B3028" w:rsidRDefault="002B3028" w:rsidP="00790A5F">
      <w:pPr>
        <w:autoSpaceDE w:val="0"/>
        <w:autoSpaceDN w:val="0"/>
        <w:adjustRightInd w:val="0"/>
        <w:spacing w:after="0" w:line="480" w:lineRule="auto"/>
        <w:rPr>
          <w:rFonts w:ascii="Verdana" w:hAnsi="Verdana" w:cs="Tahoma"/>
          <w:b/>
          <w:bCs/>
        </w:rPr>
      </w:pPr>
      <w:r w:rsidRPr="008051DC">
        <w:rPr>
          <w:rFonts w:ascii="Verdana" w:hAnsi="Verdana" w:cs="Tahoma"/>
          <w:b/>
          <w:bCs/>
        </w:rPr>
        <w:t xml:space="preserve">Table </w:t>
      </w:r>
      <w:r>
        <w:rPr>
          <w:rFonts w:ascii="Verdana" w:hAnsi="Verdana" w:cs="Tahoma"/>
          <w:b/>
          <w:bCs/>
        </w:rPr>
        <w:t>5.</w:t>
      </w:r>
      <w:r w:rsidRPr="008051DC">
        <w:rPr>
          <w:rFonts w:ascii="Verdana" w:hAnsi="Verdana" w:cs="Tahoma"/>
          <w:b/>
          <w:bCs/>
        </w:rPr>
        <w:t xml:space="preserve"> </w:t>
      </w:r>
      <w:r>
        <w:rPr>
          <w:rFonts w:ascii="Verdana" w:hAnsi="Verdana" w:cs="Tahoma"/>
          <w:b/>
          <w:bCs/>
        </w:rPr>
        <w:t>Specific Market Indexes.</w:t>
      </w:r>
    </w:p>
    <w:p w14:paraId="43F1F89A" w14:textId="77777777" w:rsidR="002B3028" w:rsidRPr="002B3028" w:rsidRDefault="002B3028" w:rsidP="00790A5F">
      <w:pPr>
        <w:autoSpaceDE w:val="0"/>
        <w:autoSpaceDN w:val="0"/>
        <w:adjustRightInd w:val="0"/>
        <w:spacing w:after="0" w:line="480" w:lineRule="auto"/>
        <w:rPr>
          <w:rFonts w:ascii="Verdana" w:eastAsia="TimesNewRomanPSMT" w:hAnsi="Verdana" w:cs="TimesNewRomanPSMT"/>
          <w:b/>
          <w:bCs/>
          <w:color w:val="000000"/>
          <w:sz w:val="24"/>
          <w:szCs w:val="24"/>
        </w:rPr>
      </w:pPr>
    </w:p>
    <w:tbl>
      <w:tblPr>
        <w:tblStyle w:val="TableGrid"/>
        <w:tblW w:w="0" w:type="auto"/>
        <w:jc w:val="center"/>
        <w:tblLook w:val="04A0" w:firstRow="1" w:lastRow="0" w:firstColumn="1" w:lastColumn="0" w:noHBand="0" w:noVBand="1"/>
      </w:tblPr>
      <w:tblGrid>
        <w:gridCol w:w="4135"/>
        <w:gridCol w:w="2610"/>
      </w:tblGrid>
      <w:tr w:rsidR="002B3028" w:rsidRPr="002B3028" w14:paraId="67A71D37" w14:textId="77777777" w:rsidTr="002B3028">
        <w:trPr>
          <w:trHeight w:val="315"/>
          <w:jc w:val="center"/>
        </w:trPr>
        <w:tc>
          <w:tcPr>
            <w:tcW w:w="4135" w:type="dxa"/>
            <w:noWrap/>
            <w:hideMark/>
          </w:tcPr>
          <w:p w14:paraId="1423E782" w14:textId="77777777" w:rsidR="002B3028" w:rsidRPr="002B3028" w:rsidRDefault="002B3028" w:rsidP="00790A5F">
            <w:pPr>
              <w:autoSpaceDE w:val="0"/>
              <w:autoSpaceDN w:val="0"/>
              <w:adjustRightInd w:val="0"/>
              <w:spacing w:line="480" w:lineRule="auto"/>
              <w:rPr>
                <w:rFonts w:ascii="Verdana" w:eastAsia="TimesNewRomanPSMT" w:hAnsi="Verdana" w:cs="TimesNewRomanPSMT"/>
                <w:b/>
                <w:bCs/>
                <w:color w:val="000000"/>
                <w:sz w:val="24"/>
                <w:szCs w:val="24"/>
              </w:rPr>
            </w:pPr>
            <w:r w:rsidRPr="002B3028">
              <w:rPr>
                <w:rFonts w:ascii="Verdana" w:eastAsia="TimesNewRomanPSMT" w:hAnsi="Verdana" w:cs="TimesNewRomanPSMT"/>
                <w:b/>
                <w:bCs/>
                <w:color w:val="000000"/>
                <w:sz w:val="24"/>
                <w:szCs w:val="24"/>
              </w:rPr>
              <w:t>Country of Incorporation</w:t>
            </w:r>
          </w:p>
        </w:tc>
        <w:tc>
          <w:tcPr>
            <w:tcW w:w="2610" w:type="dxa"/>
            <w:noWrap/>
            <w:hideMark/>
          </w:tcPr>
          <w:p w14:paraId="40751B5A" w14:textId="77777777" w:rsidR="002B3028" w:rsidRPr="002B3028" w:rsidRDefault="002B3028" w:rsidP="00790A5F">
            <w:pPr>
              <w:autoSpaceDE w:val="0"/>
              <w:autoSpaceDN w:val="0"/>
              <w:adjustRightInd w:val="0"/>
              <w:spacing w:line="480" w:lineRule="auto"/>
              <w:rPr>
                <w:rFonts w:ascii="Verdana" w:eastAsia="TimesNewRomanPSMT" w:hAnsi="Verdana" w:cs="TimesNewRomanPSMT"/>
                <w:b/>
                <w:bCs/>
                <w:color w:val="000000"/>
                <w:sz w:val="24"/>
                <w:szCs w:val="24"/>
              </w:rPr>
            </w:pPr>
            <w:r w:rsidRPr="002B3028">
              <w:rPr>
                <w:rFonts w:ascii="Verdana" w:eastAsia="TimesNewRomanPSMT" w:hAnsi="Verdana" w:cs="TimesNewRomanPSMT"/>
                <w:b/>
                <w:bCs/>
                <w:color w:val="000000"/>
                <w:sz w:val="24"/>
                <w:szCs w:val="24"/>
              </w:rPr>
              <w:t>Market Index</w:t>
            </w:r>
          </w:p>
        </w:tc>
      </w:tr>
      <w:tr w:rsidR="002B3028" w:rsidRPr="002B3028" w14:paraId="5F9838C4" w14:textId="77777777" w:rsidTr="002B3028">
        <w:trPr>
          <w:trHeight w:val="300"/>
          <w:jc w:val="center"/>
        </w:trPr>
        <w:tc>
          <w:tcPr>
            <w:tcW w:w="4135" w:type="dxa"/>
            <w:noWrap/>
            <w:hideMark/>
          </w:tcPr>
          <w:p w14:paraId="1118B8CD"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Australia</w:t>
            </w:r>
          </w:p>
        </w:tc>
        <w:tc>
          <w:tcPr>
            <w:tcW w:w="2610" w:type="dxa"/>
            <w:noWrap/>
            <w:hideMark/>
          </w:tcPr>
          <w:p w14:paraId="7C764093"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.AXJO</w:t>
            </w:r>
          </w:p>
        </w:tc>
      </w:tr>
      <w:tr w:rsidR="002B3028" w:rsidRPr="002B3028" w14:paraId="56191B5F" w14:textId="77777777" w:rsidTr="002B3028">
        <w:trPr>
          <w:trHeight w:val="300"/>
          <w:jc w:val="center"/>
        </w:trPr>
        <w:tc>
          <w:tcPr>
            <w:tcW w:w="4135" w:type="dxa"/>
            <w:noWrap/>
            <w:hideMark/>
          </w:tcPr>
          <w:p w14:paraId="6DC6B0A9"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Austria</w:t>
            </w:r>
          </w:p>
        </w:tc>
        <w:tc>
          <w:tcPr>
            <w:tcW w:w="2610" w:type="dxa"/>
            <w:noWrap/>
            <w:hideMark/>
          </w:tcPr>
          <w:p w14:paraId="7A742E17"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.ATX</w:t>
            </w:r>
          </w:p>
        </w:tc>
      </w:tr>
      <w:tr w:rsidR="002B3028" w:rsidRPr="002B3028" w14:paraId="78070498" w14:textId="77777777" w:rsidTr="002B3028">
        <w:trPr>
          <w:trHeight w:val="300"/>
          <w:jc w:val="center"/>
        </w:trPr>
        <w:tc>
          <w:tcPr>
            <w:tcW w:w="4135" w:type="dxa"/>
            <w:noWrap/>
            <w:hideMark/>
          </w:tcPr>
          <w:p w14:paraId="1C3BDE76"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Belgium</w:t>
            </w:r>
          </w:p>
        </w:tc>
        <w:tc>
          <w:tcPr>
            <w:tcW w:w="2610" w:type="dxa"/>
            <w:noWrap/>
            <w:hideMark/>
          </w:tcPr>
          <w:p w14:paraId="3FD20B44"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.BFX</w:t>
            </w:r>
          </w:p>
        </w:tc>
      </w:tr>
      <w:tr w:rsidR="002B3028" w:rsidRPr="002B3028" w14:paraId="35A955EF" w14:textId="77777777" w:rsidTr="002B3028">
        <w:trPr>
          <w:trHeight w:val="300"/>
          <w:jc w:val="center"/>
        </w:trPr>
        <w:tc>
          <w:tcPr>
            <w:tcW w:w="4135" w:type="dxa"/>
            <w:noWrap/>
            <w:hideMark/>
          </w:tcPr>
          <w:p w14:paraId="404833B4"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Bermuda</w:t>
            </w:r>
          </w:p>
        </w:tc>
        <w:tc>
          <w:tcPr>
            <w:tcW w:w="2610" w:type="dxa"/>
            <w:noWrap/>
            <w:hideMark/>
          </w:tcPr>
          <w:p w14:paraId="2CF45D3A"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.SPX</w:t>
            </w:r>
          </w:p>
        </w:tc>
      </w:tr>
      <w:tr w:rsidR="002B3028" w:rsidRPr="002B3028" w14:paraId="1A215CA1" w14:textId="77777777" w:rsidTr="002B3028">
        <w:trPr>
          <w:trHeight w:val="300"/>
          <w:jc w:val="center"/>
        </w:trPr>
        <w:tc>
          <w:tcPr>
            <w:tcW w:w="4135" w:type="dxa"/>
            <w:noWrap/>
            <w:hideMark/>
          </w:tcPr>
          <w:p w14:paraId="3C527FD3"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Brazil</w:t>
            </w:r>
          </w:p>
        </w:tc>
        <w:tc>
          <w:tcPr>
            <w:tcW w:w="2610" w:type="dxa"/>
            <w:noWrap/>
            <w:hideMark/>
          </w:tcPr>
          <w:p w14:paraId="43FE9EDD"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.BVSP</w:t>
            </w:r>
          </w:p>
        </w:tc>
      </w:tr>
      <w:tr w:rsidR="002B3028" w:rsidRPr="002B3028" w14:paraId="3CC6CE2C" w14:textId="77777777" w:rsidTr="002B3028">
        <w:trPr>
          <w:trHeight w:val="300"/>
          <w:jc w:val="center"/>
        </w:trPr>
        <w:tc>
          <w:tcPr>
            <w:tcW w:w="4135" w:type="dxa"/>
            <w:noWrap/>
            <w:hideMark/>
          </w:tcPr>
          <w:p w14:paraId="0CEB45E3"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British Virgin Islands</w:t>
            </w:r>
          </w:p>
        </w:tc>
        <w:tc>
          <w:tcPr>
            <w:tcW w:w="2610" w:type="dxa"/>
            <w:noWrap/>
            <w:hideMark/>
          </w:tcPr>
          <w:p w14:paraId="38E4CE30"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.SPX</w:t>
            </w:r>
          </w:p>
        </w:tc>
      </w:tr>
      <w:tr w:rsidR="002B3028" w:rsidRPr="002B3028" w14:paraId="1E903649" w14:textId="77777777" w:rsidTr="002B3028">
        <w:trPr>
          <w:trHeight w:val="300"/>
          <w:jc w:val="center"/>
        </w:trPr>
        <w:tc>
          <w:tcPr>
            <w:tcW w:w="4135" w:type="dxa"/>
            <w:noWrap/>
            <w:hideMark/>
          </w:tcPr>
          <w:p w14:paraId="31E03372"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Canada</w:t>
            </w:r>
          </w:p>
        </w:tc>
        <w:tc>
          <w:tcPr>
            <w:tcW w:w="2610" w:type="dxa"/>
            <w:noWrap/>
            <w:hideMark/>
          </w:tcPr>
          <w:p w14:paraId="01225E81"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.SPTSE</w:t>
            </w:r>
          </w:p>
        </w:tc>
      </w:tr>
      <w:tr w:rsidR="002B3028" w:rsidRPr="002B3028" w14:paraId="38398CF1" w14:textId="77777777" w:rsidTr="002B3028">
        <w:trPr>
          <w:trHeight w:val="300"/>
          <w:jc w:val="center"/>
        </w:trPr>
        <w:tc>
          <w:tcPr>
            <w:tcW w:w="4135" w:type="dxa"/>
            <w:noWrap/>
            <w:hideMark/>
          </w:tcPr>
          <w:p w14:paraId="1D7F4393"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Cayman Islands</w:t>
            </w:r>
          </w:p>
        </w:tc>
        <w:tc>
          <w:tcPr>
            <w:tcW w:w="2610" w:type="dxa"/>
            <w:noWrap/>
            <w:hideMark/>
          </w:tcPr>
          <w:p w14:paraId="36500E18"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.SPX</w:t>
            </w:r>
          </w:p>
        </w:tc>
      </w:tr>
      <w:tr w:rsidR="002B3028" w:rsidRPr="002B3028" w14:paraId="6DA6BD4F" w14:textId="77777777" w:rsidTr="002B3028">
        <w:trPr>
          <w:trHeight w:val="300"/>
          <w:jc w:val="center"/>
        </w:trPr>
        <w:tc>
          <w:tcPr>
            <w:tcW w:w="4135" w:type="dxa"/>
            <w:noWrap/>
            <w:hideMark/>
          </w:tcPr>
          <w:p w14:paraId="12E0D005"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Chile</w:t>
            </w:r>
          </w:p>
        </w:tc>
        <w:tc>
          <w:tcPr>
            <w:tcW w:w="2610" w:type="dxa"/>
            <w:noWrap/>
            <w:hideMark/>
          </w:tcPr>
          <w:p w14:paraId="55991AD2"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.SPIPSA</w:t>
            </w:r>
          </w:p>
        </w:tc>
      </w:tr>
      <w:tr w:rsidR="002B3028" w:rsidRPr="002B3028" w14:paraId="4ABE35AA" w14:textId="77777777" w:rsidTr="002B3028">
        <w:trPr>
          <w:trHeight w:val="300"/>
          <w:jc w:val="center"/>
        </w:trPr>
        <w:tc>
          <w:tcPr>
            <w:tcW w:w="4135" w:type="dxa"/>
            <w:noWrap/>
            <w:hideMark/>
          </w:tcPr>
          <w:p w14:paraId="30B9636E"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China (Mainland)</w:t>
            </w:r>
          </w:p>
        </w:tc>
        <w:tc>
          <w:tcPr>
            <w:tcW w:w="2610" w:type="dxa"/>
            <w:noWrap/>
            <w:hideMark/>
          </w:tcPr>
          <w:p w14:paraId="532843CF"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.SSEC</w:t>
            </w:r>
          </w:p>
        </w:tc>
      </w:tr>
      <w:tr w:rsidR="002B3028" w:rsidRPr="002B3028" w14:paraId="57DC88C8" w14:textId="77777777" w:rsidTr="002B3028">
        <w:trPr>
          <w:trHeight w:val="300"/>
          <w:jc w:val="center"/>
        </w:trPr>
        <w:tc>
          <w:tcPr>
            <w:tcW w:w="4135" w:type="dxa"/>
            <w:noWrap/>
            <w:hideMark/>
          </w:tcPr>
          <w:p w14:paraId="7E1D8FF3"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Colombia</w:t>
            </w:r>
          </w:p>
        </w:tc>
        <w:tc>
          <w:tcPr>
            <w:tcW w:w="2610" w:type="dxa"/>
            <w:noWrap/>
            <w:hideMark/>
          </w:tcPr>
          <w:p w14:paraId="4F284B45"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.COLCAP</w:t>
            </w:r>
          </w:p>
        </w:tc>
      </w:tr>
      <w:tr w:rsidR="002B3028" w:rsidRPr="002B3028" w14:paraId="2818AE74" w14:textId="77777777" w:rsidTr="002B3028">
        <w:trPr>
          <w:trHeight w:val="300"/>
          <w:jc w:val="center"/>
        </w:trPr>
        <w:tc>
          <w:tcPr>
            <w:tcW w:w="4135" w:type="dxa"/>
            <w:noWrap/>
            <w:hideMark/>
          </w:tcPr>
          <w:p w14:paraId="42783E04"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Denmark</w:t>
            </w:r>
          </w:p>
        </w:tc>
        <w:tc>
          <w:tcPr>
            <w:tcW w:w="2610" w:type="dxa"/>
            <w:noWrap/>
            <w:hideMark/>
          </w:tcPr>
          <w:p w14:paraId="19F005BC"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.OMXC20</w:t>
            </w:r>
          </w:p>
        </w:tc>
      </w:tr>
      <w:tr w:rsidR="002B3028" w:rsidRPr="002B3028" w14:paraId="7DB7A92E" w14:textId="77777777" w:rsidTr="002B3028">
        <w:trPr>
          <w:trHeight w:val="300"/>
          <w:jc w:val="center"/>
        </w:trPr>
        <w:tc>
          <w:tcPr>
            <w:tcW w:w="4135" w:type="dxa"/>
            <w:noWrap/>
            <w:hideMark/>
          </w:tcPr>
          <w:p w14:paraId="55E9519C"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Finland</w:t>
            </w:r>
          </w:p>
        </w:tc>
        <w:tc>
          <w:tcPr>
            <w:tcW w:w="2610" w:type="dxa"/>
            <w:noWrap/>
            <w:hideMark/>
          </w:tcPr>
          <w:p w14:paraId="72ECB3B9"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.OMXH25</w:t>
            </w:r>
          </w:p>
        </w:tc>
      </w:tr>
      <w:tr w:rsidR="002B3028" w:rsidRPr="002B3028" w14:paraId="4B81308E" w14:textId="77777777" w:rsidTr="002B3028">
        <w:trPr>
          <w:trHeight w:val="300"/>
          <w:jc w:val="center"/>
        </w:trPr>
        <w:tc>
          <w:tcPr>
            <w:tcW w:w="4135" w:type="dxa"/>
            <w:noWrap/>
            <w:hideMark/>
          </w:tcPr>
          <w:p w14:paraId="09E235FC"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France</w:t>
            </w:r>
          </w:p>
        </w:tc>
        <w:tc>
          <w:tcPr>
            <w:tcW w:w="2610" w:type="dxa"/>
            <w:noWrap/>
            <w:hideMark/>
          </w:tcPr>
          <w:p w14:paraId="463DCA28"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.FCHI</w:t>
            </w:r>
          </w:p>
        </w:tc>
      </w:tr>
      <w:tr w:rsidR="002B3028" w:rsidRPr="002B3028" w14:paraId="258D8CE5" w14:textId="77777777" w:rsidTr="002B3028">
        <w:trPr>
          <w:trHeight w:val="300"/>
          <w:jc w:val="center"/>
        </w:trPr>
        <w:tc>
          <w:tcPr>
            <w:tcW w:w="4135" w:type="dxa"/>
            <w:noWrap/>
            <w:hideMark/>
          </w:tcPr>
          <w:p w14:paraId="36309120"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Germany</w:t>
            </w:r>
          </w:p>
        </w:tc>
        <w:tc>
          <w:tcPr>
            <w:tcW w:w="2610" w:type="dxa"/>
            <w:noWrap/>
            <w:hideMark/>
          </w:tcPr>
          <w:p w14:paraId="003C54CB"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.GDAXI</w:t>
            </w:r>
          </w:p>
        </w:tc>
      </w:tr>
      <w:tr w:rsidR="002B3028" w:rsidRPr="002B3028" w14:paraId="18C37E76" w14:textId="77777777" w:rsidTr="002B3028">
        <w:trPr>
          <w:trHeight w:val="300"/>
          <w:jc w:val="center"/>
        </w:trPr>
        <w:tc>
          <w:tcPr>
            <w:tcW w:w="4135" w:type="dxa"/>
            <w:noWrap/>
            <w:hideMark/>
          </w:tcPr>
          <w:p w14:paraId="4262F9EB"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Greece</w:t>
            </w:r>
          </w:p>
        </w:tc>
        <w:tc>
          <w:tcPr>
            <w:tcW w:w="2610" w:type="dxa"/>
            <w:noWrap/>
            <w:hideMark/>
          </w:tcPr>
          <w:p w14:paraId="6A1A9498"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.ATFMI</w:t>
            </w:r>
          </w:p>
        </w:tc>
      </w:tr>
      <w:tr w:rsidR="002B3028" w:rsidRPr="002B3028" w14:paraId="565D21A1" w14:textId="77777777" w:rsidTr="002B3028">
        <w:trPr>
          <w:trHeight w:val="300"/>
          <w:jc w:val="center"/>
        </w:trPr>
        <w:tc>
          <w:tcPr>
            <w:tcW w:w="4135" w:type="dxa"/>
            <w:noWrap/>
            <w:hideMark/>
          </w:tcPr>
          <w:p w14:paraId="1ED73648"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lastRenderedPageBreak/>
              <w:t>Hong Kong</w:t>
            </w:r>
          </w:p>
        </w:tc>
        <w:tc>
          <w:tcPr>
            <w:tcW w:w="2610" w:type="dxa"/>
            <w:noWrap/>
            <w:hideMark/>
          </w:tcPr>
          <w:p w14:paraId="414A3196"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.HSI</w:t>
            </w:r>
          </w:p>
        </w:tc>
      </w:tr>
      <w:tr w:rsidR="002B3028" w:rsidRPr="002B3028" w14:paraId="4A498B12" w14:textId="77777777" w:rsidTr="002B3028">
        <w:trPr>
          <w:trHeight w:val="300"/>
          <w:jc w:val="center"/>
        </w:trPr>
        <w:tc>
          <w:tcPr>
            <w:tcW w:w="4135" w:type="dxa"/>
            <w:noWrap/>
            <w:hideMark/>
          </w:tcPr>
          <w:p w14:paraId="4DE00B08"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India</w:t>
            </w:r>
          </w:p>
        </w:tc>
        <w:tc>
          <w:tcPr>
            <w:tcW w:w="2610" w:type="dxa"/>
            <w:noWrap/>
            <w:hideMark/>
          </w:tcPr>
          <w:p w14:paraId="2714212D"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.BSESN</w:t>
            </w:r>
          </w:p>
        </w:tc>
      </w:tr>
      <w:tr w:rsidR="002B3028" w:rsidRPr="002B3028" w14:paraId="3F7C5A2B" w14:textId="77777777" w:rsidTr="002B3028">
        <w:trPr>
          <w:trHeight w:val="300"/>
          <w:jc w:val="center"/>
        </w:trPr>
        <w:tc>
          <w:tcPr>
            <w:tcW w:w="4135" w:type="dxa"/>
            <w:noWrap/>
            <w:hideMark/>
          </w:tcPr>
          <w:p w14:paraId="02691593"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Italy</w:t>
            </w:r>
          </w:p>
        </w:tc>
        <w:tc>
          <w:tcPr>
            <w:tcW w:w="2610" w:type="dxa"/>
            <w:noWrap/>
            <w:hideMark/>
          </w:tcPr>
          <w:p w14:paraId="146D4853"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.FTMIB</w:t>
            </w:r>
          </w:p>
        </w:tc>
      </w:tr>
      <w:tr w:rsidR="002B3028" w:rsidRPr="002B3028" w14:paraId="4EA94184" w14:textId="77777777" w:rsidTr="002B3028">
        <w:trPr>
          <w:trHeight w:val="300"/>
          <w:jc w:val="center"/>
        </w:trPr>
        <w:tc>
          <w:tcPr>
            <w:tcW w:w="4135" w:type="dxa"/>
            <w:noWrap/>
            <w:hideMark/>
          </w:tcPr>
          <w:p w14:paraId="209BEF13"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Japan</w:t>
            </w:r>
          </w:p>
        </w:tc>
        <w:tc>
          <w:tcPr>
            <w:tcW w:w="2610" w:type="dxa"/>
            <w:noWrap/>
            <w:hideMark/>
          </w:tcPr>
          <w:p w14:paraId="192F825F"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.N225E</w:t>
            </w:r>
          </w:p>
        </w:tc>
      </w:tr>
      <w:tr w:rsidR="002B3028" w:rsidRPr="002B3028" w14:paraId="0B6A1537" w14:textId="77777777" w:rsidTr="002B3028">
        <w:trPr>
          <w:trHeight w:val="300"/>
          <w:jc w:val="center"/>
        </w:trPr>
        <w:tc>
          <w:tcPr>
            <w:tcW w:w="4135" w:type="dxa"/>
            <w:noWrap/>
            <w:hideMark/>
          </w:tcPr>
          <w:p w14:paraId="4E4337F9"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Lithuania</w:t>
            </w:r>
          </w:p>
        </w:tc>
        <w:tc>
          <w:tcPr>
            <w:tcW w:w="2610" w:type="dxa"/>
            <w:noWrap/>
            <w:hideMark/>
          </w:tcPr>
          <w:p w14:paraId="03C72F31"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.OMXVGI</w:t>
            </w:r>
          </w:p>
        </w:tc>
      </w:tr>
      <w:tr w:rsidR="002B3028" w:rsidRPr="002B3028" w14:paraId="305A6274" w14:textId="77777777" w:rsidTr="002B3028">
        <w:trPr>
          <w:trHeight w:val="300"/>
          <w:jc w:val="center"/>
        </w:trPr>
        <w:tc>
          <w:tcPr>
            <w:tcW w:w="4135" w:type="dxa"/>
            <w:noWrap/>
            <w:hideMark/>
          </w:tcPr>
          <w:p w14:paraId="7FBC8B1C"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Luxembourg</w:t>
            </w:r>
          </w:p>
        </w:tc>
        <w:tc>
          <w:tcPr>
            <w:tcW w:w="2610" w:type="dxa"/>
            <w:noWrap/>
            <w:hideMark/>
          </w:tcPr>
          <w:p w14:paraId="7F31B0D9"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.LUXX</w:t>
            </w:r>
          </w:p>
        </w:tc>
      </w:tr>
      <w:tr w:rsidR="002B3028" w:rsidRPr="002B3028" w14:paraId="12244462" w14:textId="77777777" w:rsidTr="002B3028">
        <w:trPr>
          <w:trHeight w:val="300"/>
          <w:jc w:val="center"/>
        </w:trPr>
        <w:tc>
          <w:tcPr>
            <w:tcW w:w="4135" w:type="dxa"/>
            <w:noWrap/>
            <w:hideMark/>
          </w:tcPr>
          <w:p w14:paraId="167FCC18"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Malaysia</w:t>
            </w:r>
          </w:p>
        </w:tc>
        <w:tc>
          <w:tcPr>
            <w:tcW w:w="2610" w:type="dxa"/>
            <w:noWrap/>
            <w:hideMark/>
          </w:tcPr>
          <w:p w14:paraId="3FC560ED"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.KLSE</w:t>
            </w:r>
          </w:p>
        </w:tc>
      </w:tr>
      <w:tr w:rsidR="002B3028" w:rsidRPr="002B3028" w14:paraId="69B8E2B9" w14:textId="77777777" w:rsidTr="002B3028">
        <w:trPr>
          <w:trHeight w:val="300"/>
          <w:jc w:val="center"/>
        </w:trPr>
        <w:tc>
          <w:tcPr>
            <w:tcW w:w="4135" w:type="dxa"/>
            <w:noWrap/>
            <w:hideMark/>
          </w:tcPr>
          <w:p w14:paraId="146026BE"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Mexico</w:t>
            </w:r>
          </w:p>
        </w:tc>
        <w:tc>
          <w:tcPr>
            <w:tcW w:w="2610" w:type="dxa"/>
            <w:noWrap/>
            <w:hideMark/>
          </w:tcPr>
          <w:p w14:paraId="47BAF0E9"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.MXX</w:t>
            </w:r>
          </w:p>
        </w:tc>
      </w:tr>
      <w:tr w:rsidR="002B3028" w:rsidRPr="002B3028" w14:paraId="2A58A1F8" w14:textId="77777777" w:rsidTr="002B3028">
        <w:trPr>
          <w:trHeight w:val="300"/>
          <w:jc w:val="center"/>
        </w:trPr>
        <w:tc>
          <w:tcPr>
            <w:tcW w:w="4135" w:type="dxa"/>
            <w:noWrap/>
            <w:hideMark/>
          </w:tcPr>
          <w:p w14:paraId="74DEC95E"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Morocco</w:t>
            </w:r>
          </w:p>
        </w:tc>
        <w:tc>
          <w:tcPr>
            <w:tcW w:w="2610" w:type="dxa"/>
            <w:noWrap/>
            <w:hideMark/>
          </w:tcPr>
          <w:p w14:paraId="21E00626"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.MASI</w:t>
            </w:r>
          </w:p>
        </w:tc>
      </w:tr>
      <w:tr w:rsidR="002B3028" w:rsidRPr="002B3028" w14:paraId="27BDC3C0" w14:textId="77777777" w:rsidTr="002B3028">
        <w:trPr>
          <w:trHeight w:val="300"/>
          <w:jc w:val="center"/>
        </w:trPr>
        <w:tc>
          <w:tcPr>
            <w:tcW w:w="4135" w:type="dxa"/>
            <w:noWrap/>
            <w:hideMark/>
          </w:tcPr>
          <w:p w14:paraId="254A697B"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Namibia</w:t>
            </w:r>
          </w:p>
        </w:tc>
        <w:tc>
          <w:tcPr>
            <w:tcW w:w="2610" w:type="dxa"/>
            <w:noWrap/>
            <w:hideMark/>
          </w:tcPr>
          <w:p w14:paraId="32BD6AFA"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.FTN098</w:t>
            </w:r>
          </w:p>
        </w:tc>
      </w:tr>
      <w:tr w:rsidR="002B3028" w:rsidRPr="002B3028" w14:paraId="666F088C" w14:textId="77777777" w:rsidTr="002B3028">
        <w:trPr>
          <w:trHeight w:val="300"/>
          <w:jc w:val="center"/>
        </w:trPr>
        <w:tc>
          <w:tcPr>
            <w:tcW w:w="4135" w:type="dxa"/>
            <w:noWrap/>
            <w:hideMark/>
          </w:tcPr>
          <w:p w14:paraId="360B68CE"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Netherlands</w:t>
            </w:r>
          </w:p>
        </w:tc>
        <w:tc>
          <w:tcPr>
            <w:tcW w:w="2610" w:type="dxa"/>
            <w:noWrap/>
            <w:hideMark/>
          </w:tcPr>
          <w:p w14:paraId="6EC06852"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.AEX</w:t>
            </w:r>
          </w:p>
        </w:tc>
      </w:tr>
      <w:tr w:rsidR="002B3028" w:rsidRPr="002B3028" w14:paraId="2777F5E8" w14:textId="77777777" w:rsidTr="002B3028">
        <w:trPr>
          <w:trHeight w:val="300"/>
          <w:jc w:val="center"/>
        </w:trPr>
        <w:tc>
          <w:tcPr>
            <w:tcW w:w="4135" w:type="dxa"/>
            <w:noWrap/>
            <w:hideMark/>
          </w:tcPr>
          <w:p w14:paraId="4CA7DF51"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New Zealand</w:t>
            </w:r>
          </w:p>
        </w:tc>
        <w:tc>
          <w:tcPr>
            <w:tcW w:w="2610" w:type="dxa"/>
            <w:noWrap/>
            <w:hideMark/>
          </w:tcPr>
          <w:p w14:paraId="5F2EF4F3"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.NZ50</w:t>
            </w:r>
          </w:p>
        </w:tc>
      </w:tr>
      <w:tr w:rsidR="002B3028" w:rsidRPr="002B3028" w14:paraId="606FD97E" w14:textId="77777777" w:rsidTr="002B3028">
        <w:trPr>
          <w:trHeight w:val="300"/>
          <w:jc w:val="center"/>
        </w:trPr>
        <w:tc>
          <w:tcPr>
            <w:tcW w:w="4135" w:type="dxa"/>
            <w:noWrap/>
            <w:hideMark/>
          </w:tcPr>
          <w:p w14:paraId="402180C6"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Nigeria</w:t>
            </w:r>
          </w:p>
        </w:tc>
        <w:tc>
          <w:tcPr>
            <w:tcW w:w="2610" w:type="dxa"/>
            <w:noWrap/>
            <w:hideMark/>
          </w:tcPr>
          <w:p w14:paraId="60560E4F"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.NGSEINDEX</w:t>
            </w:r>
          </w:p>
        </w:tc>
      </w:tr>
      <w:tr w:rsidR="002B3028" w:rsidRPr="002B3028" w14:paraId="69A12F98" w14:textId="77777777" w:rsidTr="002B3028">
        <w:trPr>
          <w:trHeight w:val="300"/>
          <w:jc w:val="center"/>
        </w:trPr>
        <w:tc>
          <w:tcPr>
            <w:tcW w:w="4135" w:type="dxa"/>
            <w:noWrap/>
            <w:hideMark/>
          </w:tcPr>
          <w:p w14:paraId="3DF7AD16"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Norway</w:t>
            </w:r>
          </w:p>
        </w:tc>
        <w:tc>
          <w:tcPr>
            <w:tcW w:w="2610" w:type="dxa"/>
            <w:noWrap/>
            <w:hideMark/>
          </w:tcPr>
          <w:p w14:paraId="61B7F790"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.OBX</w:t>
            </w:r>
          </w:p>
        </w:tc>
      </w:tr>
      <w:tr w:rsidR="002B3028" w:rsidRPr="002B3028" w14:paraId="294172CD" w14:textId="77777777" w:rsidTr="002B3028">
        <w:trPr>
          <w:trHeight w:val="300"/>
          <w:jc w:val="center"/>
        </w:trPr>
        <w:tc>
          <w:tcPr>
            <w:tcW w:w="4135" w:type="dxa"/>
            <w:noWrap/>
            <w:hideMark/>
          </w:tcPr>
          <w:p w14:paraId="67ABC3B7"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Peru</w:t>
            </w:r>
          </w:p>
        </w:tc>
        <w:tc>
          <w:tcPr>
            <w:tcW w:w="2610" w:type="dxa"/>
            <w:noWrap/>
            <w:hideMark/>
          </w:tcPr>
          <w:p w14:paraId="43803A18"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.SPBLPGPT</w:t>
            </w:r>
          </w:p>
        </w:tc>
      </w:tr>
      <w:tr w:rsidR="002B3028" w:rsidRPr="002B3028" w14:paraId="3C3B4A57" w14:textId="77777777" w:rsidTr="002B3028">
        <w:trPr>
          <w:trHeight w:val="300"/>
          <w:jc w:val="center"/>
        </w:trPr>
        <w:tc>
          <w:tcPr>
            <w:tcW w:w="4135" w:type="dxa"/>
            <w:noWrap/>
            <w:hideMark/>
          </w:tcPr>
          <w:p w14:paraId="4EDDF245"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Philippines</w:t>
            </w:r>
          </w:p>
        </w:tc>
        <w:tc>
          <w:tcPr>
            <w:tcW w:w="2610" w:type="dxa"/>
            <w:noWrap/>
            <w:hideMark/>
          </w:tcPr>
          <w:p w14:paraId="33A42C11"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.PSI</w:t>
            </w:r>
          </w:p>
        </w:tc>
      </w:tr>
      <w:tr w:rsidR="002B3028" w:rsidRPr="002B3028" w14:paraId="4F02459A" w14:textId="77777777" w:rsidTr="002B3028">
        <w:trPr>
          <w:trHeight w:val="300"/>
          <w:jc w:val="center"/>
        </w:trPr>
        <w:tc>
          <w:tcPr>
            <w:tcW w:w="4135" w:type="dxa"/>
            <w:noWrap/>
            <w:hideMark/>
          </w:tcPr>
          <w:p w14:paraId="499FADFE"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Poland</w:t>
            </w:r>
          </w:p>
        </w:tc>
        <w:tc>
          <w:tcPr>
            <w:tcW w:w="2610" w:type="dxa"/>
            <w:noWrap/>
            <w:hideMark/>
          </w:tcPr>
          <w:p w14:paraId="0DE2C091"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.WIG</w:t>
            </w:r>
          </w:p>
        </w:tc>
      </w:tr>
      <w:tr w:rsidR="002B3028" w:rsidRPr="002B3028" w14:paraId="7BB9A9D3" w14:textId="77777777" w:rsidTr="002B3028">
        <w:trPr>
          <w:trHeight w:val="300"/>
          <w:jc w:val="center"/>
        </w:trPr>
        <w:tc>
          <w:tcPr>
            <w:tcW w:w="4135" w:type="dxa"/>
            <w:noWrap/>
            <w:hideMark/>
          </w:tcPr>
          <w:p w14:paraId="2535175D"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Portugal</w:t>
            </w:r>
          </w:p>
        </w:tc>
        <w:tc>
          <w:tcPr>
            <w:tcW w:w="2610" w:type="dxa"/>
            <w:noWrap/>
            <w:hideMark/>
          </w:tcPr>
          <w:p w14:paraId="00CE0C47"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.PSI20</w:t>
            </w:r>
          </w:p>
        </w:tc>
      </w:tr>
      <w:tr w:rsidR="002B3028" w:rsidRPr="002B3028" w14:paraId="34E5D67C" w14:textId="77777777" w:rsidTr="002B3028">
        <w:trPr>
          <w:trHeight w:val="300"/>
          <w:jc w:val="center"/>
        </w:trPr>
        <w:tc>
          <w:tcPr>
            <w:tcW w:w="4135" w:type="dxa"/>
            <w:noWrap/>
            <w:hideMark/>
          </w:tcPr>
          <w:p w14:paraId="1CB50009"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Singapore</w:t>
            </w:r>
          </w:p>
        </w:tc>
        <w:tc>
          <w:tcPr>
            <w:tcW w:w="2610" w:type="dxa"/>
            <w:noWrap/>
            <w:hideMark/>
          </w:tcPr>
          <w:p w14:paraId="66CF2C5D"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.STI</w:t>
            </w:r>
          </w:p>
        </w:tc>
      </w:tr>
      <w:tr w:rsidR="002B3028" w:rsidRPr="002B3028" w14:paraId="2A019580" w14:textId="77777777" w:rsidTr="002B3028">
        <w:trPr>
          <w:trHeight w:val="300"/>
          <w:jc w:val="center"/>
        </w:trPr>
        <w:tc>
          <w:tcPr>
            <w:tcW w:w="4135" w:type="dxa"/>
            <w:noWrap/>
            <w:hideMark/>
          </w:tcPr>
          <w:p w14:paraId="70621FB2"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South Africa</w:t>
            </w:r>
          </w:p>
        </w:tc>
        <w:tc>
          <w:tcPr>
            <w:tcW w:w="2610" w:type="dxa"/>
            <w:noWrap/>
            <w:hideMark/>
          </w:tcPr>
          <w:p w14:paraId="7F66E8E5"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.JTOPI</w:t>
            </w:r>
          </w:p>
        </w:tc>
      </w:tr>
      <w:tr w:rsidR="002B3028" w:rsidRPr="002B3028" w14:paraId="551141EB" w14:textId="77777777" w:rsidTr="002B3028">
        <w:trPr>
          <w:trHeight w:val="300"/>
          <w:jc w:val="center"/>
        </w:trPr>
        <w:tc>
          <w:tcPr>
            <w:tcW w:w="4135" w:type="dxa"/>
            <w:noWrap/>
            <w:hideMark/>
          </w:tcPr>
          <w:p w14:paraId="19D1102A"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South Korea</w:t>
            </w:r>
          </w:p>
        </w:tc>
        <w:tc>
          <w:tcPr>
            <w:tcW w:w="2610" w:type="dxa"/>
            <w:noWrap/>
            <w:hideMark/>
          </w:tcPr>
          <w:p w14:paraId="0465EBBC"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.KS11</w:t>
            </w:r>
          </w:p>
        </w:tc>
      </w:tr>
      <w:tr w:rsidR="002B3028" w:rsidRPr="002B3028" w14:paraId="08454DFD" w14:textId="77777777" w:rsidTr="002B3028">
        <w:trPr>
          <w:trHeight w:val="300"/>
          <w:jc w:val="center"/>
        </w:trPr>
        <w:tc>
          <w:tcPr>
            <w:tcW w:w="4135" w:type="dxa"/>
            <w:noWrap/>
            <w:hideMark/>
          </w:tcPr>
          <w:p w14:paraId="121ABE2C"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Spain</w:t>
            </w:r>
          </w:p>
        </w:tc>
        <w:tc>
          <w:tcPr>
            <w:tcW w:w="2610" w:type="dxa"/>
            <w:noWrap/>
            <w:hideMark/>
          </w:tcPr>
          <w:p w14:paraId="26FE63BF"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.IBEX</w:t>
            </w:r>
          </w:p>
        </w:tc>
      </w:tr>
      <w:tr w:rsidR="002B3028" w:rsidRPr="002B3028" w14:paraId="13C89012" w14:textId="77777777" w:rsidTr="002B3028">
        <w:trPr>
          <w:trHeight w:val="300"/>
          <w:jc w:val="center"/>
        </w:trPr>
        <w:tc>
          <w:tcPr>
            <w:tcW w:w="4135" w:type="dxa"/>
            <w:noWrap/>
            <w:hideMark/>
          </w:tcPr>
          <w:p w14:paraId="65CD8DD8"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Sweden</w:t>
            </w:r>
          </w:p>
        </w:tc>
        <w:tc>
          <w:tcPr>
            <w:tcW w:w="2610" w:type="dxa"/>
            <w:noWrap/>
            <w:hideMark/>
          </w:tcPr>
          <w:p w14:paraId="19C77462"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.OMXS30</w:t>
            </w:r>
          </w:p>
        </w:tc>
      </w:tr>
      <w:tr w:rsidR="002B3028" w:rsidRPr="002B3028" w14:paraId="33E11753" w14:textId="77777777" w:rsidTr="002B3028">
        <w:trPr>
          <w:trHeight w:val="300"/>
          <w:jc w:val="center"/>
        </w:trPr>
        <w:tc>
          <w:tcPr>
            <w:tcW w:w="4135" w:type="dxa"/>
            <w:noWrap/>
            <w:hideMark/>
          </w:tcPr>
          <w:p w14:paraId="104BCC6C"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lastRenderedPageBreak/>
              <w:t>Switzerland</w:t>
            </w:r>
          </w:p>
        </w:tc>
        <w:tc>
          <w:tcPr>
            <w:tcW w:w="2610" w:type="dxa"/>
            <w:noWrap/>
            <w:hideMark/>
          </w:tcPr>
          <w:p w14:paraId="46EE0275"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.SSMI</w:t>
            </w:r>
          </w:p>
        </w:tc>
      </w:tr>
      <w:tr w:rsidR="002B3028" w:rsidRPr="002B3028" w14:paraId="57468BBC" w14:textId="77777777" w:rsidTr="002B3028">
        <w:trPr>
          <w:trHeight w:val="300"/>
          <w:jc w:val="center"/>
        </w:trPr>
        <w:tc>
          <w:tcPr>
            <w:tcW w:w="4135" w:type="dxa"/>
            <w:noWrap/>
            <w:hideMark/>
          </w:tcPr>
          <w:p w14:paraId="5D48964E"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Taiwan</w:t>
            </w:r>
          </w:p>
        </w:tc>
        <w:tc>
          <w:tcPr>
            <w:tcW w:w="2610" w:type="dxa"/>
            <w:noWrap/>
            <w:hideMark/>
          </w:tcPr>
          <w:p w14:paraId="44BB0F4B"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.TWII</w:t>
            </w:r>
          </w:p>
        </w:tc>
      </w:tr>
      <w:tr w:rsidR="002B3028" w:rsidRPr="002B3028" w14:paraId="4720027E" w14:textId="77777777" w:rsidTr="002B3028">
        <w:trPr>
          <w:trHeight w:val="300"/>
          <w:jc w:val="center"/>
        </w:trPr>
        <w:tc>
          <w:tcPr>
            <w:tcW w:w="4135" w:type="dxa"/>
            <w:noWrap/>
            <w:hideMark/>
          </w:tcPr>
          <w:p w14:paraId="486B7CD2"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Thailand</w:t>
            </w:r>
          </w:p>
        </w:tc>
        <w:tc>
          <w:tcPr>
            <w:tcW w:w="2610" w:type="dxa"/>
            <w:noWrap/>
            <w:hideMark/>
          </w:tcPr>
          <w:p w14:paraId="5EA04FBE"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.SETI</w:t>
            </w:r>
          </w:p>
        </w:tc>
      </w:tr>
      <w:tr w:rsidR="002B3028" w:rsidRPr="002B3028" w14:paraId="5B1EE7CA" w14:textId="77777777" w:rsidTr="002B3028">
        <w:trPr>
          <w:trHeight w:val="300"/>
          <w:jc w:val="center"/>
        </w:trPr>
        <w:tc>
          <w:tcPr>
            <w:tcW w:w="4135" w:type="dxa"/>
            <w:noWrap/>
            <w:hideMark/>
          </w:tcPr>
          <w:p w14:paraId="320C66C7"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Turkey</w:t>
            </w:r>
          </w:p>
        </w:tc>
        <w:tc>
          <w:tcPr>
            <w:tcW w:w="2610" w:type="dxa"/>
            <w:noWrap/>
            <w:hideMark/>
          </w:tcPr>
          <w:p w14:paraId="20CFB351"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.XU100</w:t>
            </w:r>
          </w:p>
        </w:tc>
      </w:tr>
      <w:tr w:rsidR="002B3028" w:rsidRPr="002B3028" w14:paraId="27E263E1" w14:textId="77777777" w:rsidTr="002B3028">
        <w:trPr>
          <w:trHeight w:val="300"/>
          <w:jc w:val="center"/>
        </w:trPr>
        <w:tc>
          <w:tcPr>
            <w:tcW w:w="4135" w:type="dxa"/>
            <w:noWrap/>
            <w:hideMark/>
          </w:tcPr>
          <w:p w14:paraId="4BAF2785"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United Arab Emirates</w:t>
            </w:r>
          </w:p>
        </w:tc>
        <w:tc>
          <w:tcPr>
            <w:tcW w:w="2610" w:type="dxa"/>
            <w:noWrap/>
            <w:hideMark/>
          </w:tcPr>
          <w:p w14:paraId="198BEBD1"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.ADI</w:t>
            </w:r>
          </w:p>
        </w:tc>
      </w:tr>
      <w:tr w:rsidR="002B3028" w:rsidRPr="002B3028" w14:paraId="79D87830" w14:textId="77777777" w:rsidTr="002B3028">
        <w:trPr>
          <w:trHeight w:val="300"/>
          <w:jc w:val="center"/>
        </w:trPr>
        <w:tc>
          <w:tcPr>
            <w:tcW w:w="4135" w:type="dxa"/>
            <w:noWrap/>
            <w:hideMark/>
          </w:tcPr>
          <w:p w14:paraId="331E75FF"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United Kingdom</w:t>
            </w:r>
          </w:p>
        </w:tc>
        <w:tc>
          <w:tcPr>
            <w:tcW w:w="2610" w:type="dxa"/>
            <w:noWrap/>
            <w:hideMark/>
          </w:tcPr>
          <w:p w14:paraId="32A18783"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.FTSE</w:t>
            </w:r>
          </w:p>
        </w:tc>
      </w:tr>
      <w:tr w:rsidR="002B3028" w:rsidRPr="002B3028" w14:paraId="62744539" w14:textId="77777777" w:rsidTr="002B3028">
        <w:trPr>
          <w:trHeight w:val="300"/>
          <w:jc w:val="center"/>
        </w:trPr>
        <w:tc>
          <w:tcPr>
            <w:tcW w:w="4135" w:type="dxa"/>
            <w:noWrap/>
            <w:hideMark/>
          </w:tcPr>
          <w:p w14:paraId="0087D435"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United States</w:t>
            </w:r>
          </w:p>
        </w:tc>
        <w:tc>
          <w:tcPr>
            <w:tcW w:w="2610" w:type="dxa"/>
            <w:noWrap/>
            <w:hideMark/>
          </w:tcPr>
          <w:p w14:paraId="75E4B803" w14:textId="77777777" w:rsidR="002B3028" w:rsidRPr="002B3028" w:rsidRDefault="002B3028" w:rsidP="00790A5F">
            <w:pPr>
              <w:autoSpaceDE w:val="0"/>
              <w:autoSpaceDN w:val="0"/>
              <w:adjustRightInd w:val="0"/>
              <w:spacing w:line="480" w:lineRule="auto"/>
              <w:rPr>
                <w:rFonts w:ascii="Verdana" w:eastAsia="TimesNewRomanPSMT" w:hAnsi="Verdana" w:cs="TimesNewRomanPSMT"/>
                <w:color w:val="000000"/>
                <w:sz w:val="24"/>
                <w:szCs w:val="24"/>
              </w:rPr>
            </w:pPr>
            <w:r w:rsidRPr="002B3028">
              <w:rPr>
                <w:rFonts w:ascii="Verdana" w:eastAsia="TimesNewRomanPSMT" w:hAnsi="Verdana" w:cs="TimesNewRomanPSMT"/>
                <w:color w:val="000000"/>
                <w:sz w:val="24"/>
                <w:szCs w:val="24"/>
              </w:rPr>
              <w:t>.SPX</w:t>
            </w:r>
          </w:p>
        </w:tc>
      </w:tr>
    </w:tbl>
    <w:p w14:paraId="76FE2627" w14:textId="77777777" w:rsidR="002B3028" w:rsidRPr="00EB07D8" w:rsidRDefault="002B3028" w:rsidP="00790A5F">
      <w:pPr>
        <w:autoSpaceDE w:val="0"/>
        <w:autoSpaceDN w:val="0"/>
        <w:adjustRightInd w:val="0"/>
        <w:spacing w:after="0" w:line="480" w:lineRule="auto"/>
        <w:rPr>
          <w:rFonts w:ascii="Verdana" w:eastAsia="TimesNewRomanPSMT" w:hAnsi="Verdana" w:cs="TimesNewRomanPSMT"/>
          <w:color w:val="000000"/>
          <w:sz w:val="24"/>
          <w:szCs w:val="24"/>
        </w:rPr>
      </w:pPr>
    </w:p>
    <w:p w14:paraId="34124D25" w14:textId="77777777" w:rsidR="007701B0" w:rsidRDefault="007701B0" w:rsidP="00790A5F">
      <w:pPr>
        <w:autoSpaceDE w:val="0"/>
        <w:autoSpaceDN w:val="0"/>
        <w:adjustRightInd w:val="0"/>
        <w:spacing w:after="0" w:line="480" w:lineRule="auto"/>
        <w:rPr>
          <w:rFonts w:ascii="TimesNewRomanPSMT" w:eastAsia="TimesNewRomanPSMT" w:cs="TimesNewRomanPSMT"/>
          <w:color w:val="000000"/>
          <w:sz w:val="24"/>
          <w:szCs w:val="24"/>
        </w:rPr>
      </w:pPr>
    </w:p>
    <w:p w14:paraId="73BA7CDB" w14:textId="68D2EDAA" w:rsidR="00683569" w:rsidRDefault="007701B0" w:rsidP="00790A5F">
      <w:pPr>
        <w:autoSpaceDE w:val="0"/>
        <w:autoSpaceDN w:val="0"/>
        <w:adjustRightInd w:val="0"/>
        <w:spacing w:after="0" w:line="480" w:lineRule="auto"/>
        <w:rPr>
          <w:rFonts w:ascii="Verdana" w:eastAsia="TimesNewRomanPSMT" w:hAnsi="Verdana" w:cs="TimesNewRomanPSMT"/>
          <w:color w:val="000000"/>
          <w:sz w:val="24"/>
          <w:szCs w:val="24"/>
        </w:rPr>
      </w:pPr>
      <w:r>
        <w:rPr>
          <w:rFonts w:ascii="Verdana" w:eastAsia="TimesNewRomanPSMT" w:hAnsi="Verdana" w:cs="TimesNewRomanPSMT"/>
          <w:color w:val="000000"/>
          <w:sz w:val="24"/>
          <w:szCs w:val="24"/>
        </w:rPr>
        <w:t xml:space="preserve">Therefore, the estimated returns on the stock of firm </w:t>
      </w:r>
      <w:r w:rsidR="006274DA">
        <w:rPr>
          <w:rFonts w:ascii="Verdana" w:eastAsia="TimesNewRomanPSMT" w:hAnsi="Verdana" w:cs="TimesNewRomanPSMT"/>
          <w:color w:val="000000"/>
          <w:sz w:val="24"/>
          <w:szCs w:val="24"/>
        </w:rPr>
        <w:t>are:</w:t>
      </w:r>
    </w:p>
    <w:p w14:paraId="7EF491C2" w14:textId="4E0FC191" w:rsidR="006274DA" w:rsidRDefault="00B422A2" w:rsidP="00790A5F">
      <w:pPr>
        <w:autoSpaceDE w:val="0"/>
        <w:autoSpaceDN w:val="0"/>
        <w:adjustRightInd w:val="0"/>
        <w:spacing w:after="0" w:line="480" w:lineRule="auto"/>
        <w:rPr>
          <w:rFonts w:ascii="Verdana" w:eastAsia="TimesNewRomanPSMT" w:hAnsi="Verdana" w:cs="TimesNewRomanPSMT"/>
          <w:color w:val="000000"/>
          <w:sz w:val="24"/>
          <w:szCs w:val="24"/>
        </w:rPr>
      </w:pPr>
      <m:oMathPara>
        <m:oMath>
          <m:acc>
            <m:accPr>
              <m:ctrlPr>
                <w:rPr>
                  <w:rFonts w:ascii="Cambria Math" w:eastAsiaTheme="minorEastAsia" w:hAnsi="Cambria Math"/>
                  <w:sz w:val="24"/>
                  <w:szCs w:val="24"/>
                </w:rPr>
              </m:ctrlPr>
            </m:accPr>
            <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R</m:t>
                  </m:r>
                  <m:ctrlPr>
                    <w:rPr>
                      <w:rFonts w:ascii="Cambria Math" w:eastAsiaTheme="minorEastAsia" w:hAnsi="Cambria Math"/>
                      <w:sz w:val="24"/>
                      <w:szCs w:val="24"/>
                    </w:rPr>
                  </m:ctrlPr>
                </m:e>
                <m:sub>
                  <m:r>
                    <m:rPr>
                      <m:sty m:val="p"/>
                    </m:rPr>
                    <w:rPr>
                      <w:rFonts w:ascii="Cambria Math" w:eastAsiaTheme="minorEastAsia" w:hAnsi="Cambria Math"/>
                      <w:sz w:val="24"/>
                      <w:szCs w:val="24"/>
                    </w:rPr>
                    <m:t>i</m:t>
                  </m:r>
                </m:sub>
              </m:sSub>
            </m:e>
          </m:acc>
          <m:r>
            <w:rPr>
              <w:rFonts w:ascii="Cambria Math" w:eastAsiaTheme="minorEastAsia" w:hAnsi="Cambria Math"/>
              <w:sz w:val="24"/>
              <w:szCs w:val="24"/>
            </w:rPr>
            <m:t>= </m:t>
          </m:r>
          <m:acc>
            <m:accPr>
              <m:ctrlPr>
                <w:rPr>
                  <w:rFonts w:ascii="Cambria Math" w:eastAsiaTheme="minorEastAsia" w:hAnsi="Cambria Math"/>
                  <w:sz w:val="24"/>
                  <w:szCs w:val="24"/>
                </w:rPr>
              </m:ctrlPr>
            </m:accPr>
            <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α</m:t>
                  </m:r>
                  <m:ctrlPr>
                    <w:rPr>
                      <w:rFonts w:ascii="Cambria Math" w:eastAsiaTheme="minorEastAsia" w:hAnsi="Cambria Math"/>
                      <w:sz w:val="24"/>
                      <w:szCs w:val="24"/>
                    </w:rPr>
                  </m:ctrlPr>
                </m:e>
                <m:sub>
                  <m:r>
                    <m:rPr>
                      <m:sty m:val="p"/>
                    </m:rPr>
                    <w:rPr>
                      <w:rFonts w:ascii="Cambria Math" w:eastAsiaTheme="minorEastAsia" w:hAnsi="Cambria Math"/>
                      <w:sz w:val="24"/>
                      <w:szCs w:val="24"/>
                    </w:rPr>
                    <m:t>i</m:t>
                  </m:r>
                </m:sub>
              </m:sSub>
            </m:e>
          </m:acc>
          <m:r>
            <w:rPr>
              <w:rFonts w:ascii="Cambria Math" w:eastAsiaTheme="minorEastAsia" w:hAnsi="Cambria Math"/>
              <w:sz w:val="24"/>
              <w:szCs w:val="24"/>
            </w:rPr>
            <m:t> + </m:t>
          </m:r>
          <m:acc>
            <m:accPr>
              <m:ctrlPr>
                <w:rPr>
                  <w:rFonts w:ascii="Cambria Math" w:eastAsiaTheme="minorEastAsia" w:hAnsi="Cambria Math"/>
                  <w:sz w:val="24"/>
                  <w:szCs w:val="24"/>
                </w:rPr>
              </m:ctrlPr>
            </m:accPr>
            <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β</m:t>
                  </m:r>
                  <m:ctrlPr>
                    <w:rPr>
                      <w:rFonts w:ascii="Cambria Math" w:eastAsiaTheme="minorEastAsia" w:hAnsi="Cambria Math"/>
                      <w:sz w:val="24"/>
                      <w:szCs w:val="24"/>
                    </w:rPr>
                  </m:ctrlPr>
                </m:e>
                <m:sub>
                  <m:r>
                    <m:rPr>
                      <m:sty m:val="p"/>
                    </m:rPr>
                    <w:rPr>
                      <w:rFonts w:ascii="Cambria Math" w:eastAsiaTheme="minorEastAsia" w:hAnsi="Cambria Math"/>
                      <w:sz w:val="24"/>
                      <w:szCs w:val="24"/>
                    </w:rPr>
                    <m:t>i</m:t>
                  </m:r>
                </m:sub>
              </m:sSub>
            </m:e>
          </m:acc>
          <m:r>
            <w:rPr>
              <w:rFonts w:ascii="Cambria Math" w:eastAsiaTheme="minorEastAsia" w:hAnsi="Cambria Math"/>
              <w:sz w:val="24"/>
              <w:szCs w:val="24"/>
            </w:rPr>
            <m:t> </m:t>
          </m:r>
          <m:r>
            <m:rPr>
              <m:sty m:val="p"/>
            </m:rPr>
            <w:rPr>
              <w:rFonts w:ascii="Cambria Math" w:eastAsiaTheme="minorEastAsia" w:hAnsi="Cambria Math"/>
              <w:sz w:val="24"/>
              <w:szCs w:val="24"/>
            </w:rPr>
            <m:t>×</m:t>
          </m:r>
          <m:acc>
            <m:accPr>
              <m:ctrlPr>
                <w:rPr>
                  <w:rFonts w:ascii="Cambria Math" w:eastAsiaTheme="minorEastAsia" w:hAnsi="Cambria Math"/>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R</m:t>
                  </m:r>
                  <m:ctrlPr>
                    <w:rPr>
                      <w:rFonts w:ascii="Cambria Math" w:eastAsiaTheme="minorEastAsia" w:hAnsi="Cambria Math"/>
                      <w:sz w:val="24"/>
                      <w:szCs w:val="24"/>
                    </w:rPr>
                  </m:ctrlPr>
                </m:e>
                <m:sub>
                  <m:r>
                    <m:rPr>
                      <m:sty m:val="p"/>
                    </m:rPr>
                    <w:rPr>
                      <w:rFonts w:ascii="Cambria Math" w:eastAsiaTheme="minorEastAsia" w:hAnsi="Cambria Math"/>
                      <w:sz w:val="24"/>
                      <w:szCs w:val="24"/>
                    </w:rPr>
                    <m:t>m</m:t>
                  </m:r>
                  <m:r>
                    <m:rPr>
                      <m:sty m:val="p"/>
                    </m:rPr>
                    <w:rPr>
                      <w:rFonts w:ascii="Cambria Math" w:eastAsiaTheme="minorEastAsia" w:hAnsi="Cambria Math"/>
                      <w:sz w:val="24"/>
                      <w:szCs w:val="24"/>
                    </w:rPr>
                    <m:t>t</m:t>
                  </m:r>
                </m:sub>
              </m:sSub>
            </m:e>
          </m:acc>
        </m:oMath>
      </m:oMathPara>
    </w:p>
    <w:p w14:paraId="3953B3BA" w14:textId="340EEC71" w:rsidR="006274DA" w:rsidRDefault="006274DA" w:rsidP="00790A5F">
      <w:pPr>
        <w:autoSpaceDE w:val="0"/>
        <w:autoSpaceDN w:val="0"/>
        <w:adjustRightInd w:val="0"/>
        <w:spacing w:after="0" w:line="480" w:lineRule="auto"/>
        <w:rPr>
          <w:rFonts w:ascii="Verdana" w:eastAsia="TimesNewRomanPSMT" w:hAnsi="Verdana" w:cs="TimesNewRomanPSMT"/>
          <w:color w:val="000000"/>
          <w:sz w:val="16"/>
          <w:szCs w:val="16"/>
        </w:rPr>
      </w:pPr>
    </w:p>
    <w:p w14:paraId="32848E32" w14:textId="1CA1F3C4" w:rsidR="008B4C76" w:rsidRDefault="008B4C76" w:rsidP="00790A5F">
      <w:pPr>
        <w:autoSpaceDE w:val="0"/>
        <w:autoSpaceDN w:val="0"/>
        <w:adjustRightInd w:val="0"/>
        <w:spacing w:after="0" w:line="480" w:lineRule="auto"/>
        <w:rPr>
          <w:rFonts w:ascii="Verdana" w:eastAsia="TimesNewRomanPSMT" w:hAnsi="Verdana" w:cs="TimesNewRomanPSMT"/>
          <w:color w:val="000000"/>
          <w:sz w:val="24"/>
          <w:szCs w:val="24"/>
        </w:rPr>
      </w:pPr>
      <w:r>
        <w:rPr>
          <w:rFonts w:ascii="Verdana" w:eastAsia="TimesNewRomanPSMT" w:hAnsi="Verdana" w:cs="TimesNewRomanPSMT"/>
          <w:color w:val="000000"/>
          <w:sz w:val="24"/>
          <w:szCs w:val="24"/>
        </w:rPr>
        <w:t xml:space="preserve">And the abnormal daily returns </w:t>
      </w:r>
      <w:r w:rsidR="00C732EE">
        <w:rPr>
          <w:rFonts w:ascii="Verdana" w:eastAsia="TimesNewRomanPSMT" w:hAnsi="Verdana" w:cs="TimesNewRomanPSMT"/>
          <w:color w:val="000000"/>
          <w:sz w:val="24"/>
          <w:szCs w:val="24"/>
        </w:rPr>
        <w:t xml:space="preserve">on the day t of the time window </w:t>
      </w:r>
      <w:r w:rsidR="00C732EE">
        <w:rPr>
          <w:rFonts w:ascii="Verdana" w:eastAsia="TimesNewRomanPSMT" w:hAnsi="Verdana" w:cs="TimesNewRomanPSMT"/>
          <w:color w:val="000000"/>
          <w:sz w:val="24"/>
          <w:szCs w:val="24"/>
        </w:rPr>
        <w:t>are instead</w:t>
      </w:r>
      <w:r>
        <w:rPr>
          <w:rFonts w:ascii="Verdana" w:eastAsia="TimesNewRomanPSMT" w:hAnsi="Verdana" w:cs="TimesNewRomanPSMT"/>
          <w:color w:val="000000"/>
          <w:sz w:val="24"/>
          <w:szCs w:val="24"/>
        </w:rPr>
        <w:t>:</w:t>
      </w:r>
    </w:p>
    <w:p w14:paraId="1830DDC8" w14:textId="0881DB97" w:rsidR="008B4C76" w:rsidRDefault="00B422A2" w:rsidP="00790A5F">
      <w:pPr>
        <w:autoSpaceDE w:val="0"/>
        <w:autoSpaceDN w:val="0"/>
        <w:adjustRightInd w:val="0"/>
        <w:spacing w:after="0" w:line="480" w:lineRule="auto"/>
        <w:rPr>
          <w:rFonts w:ascii="TimesNewRomanPSMT" w:eastAsia="TimesNewRomanPSMT" w:cs="TimesNewRomanPSMT"/>
          <w:sz w:val="24"/>
          <w:szCs w:val="24"/>
        </w:rPr>
      </w:pPr>
      <m:oMathPara>
        <m:oMath>
          <m:r>
            <m:rPr>
              <m:sty m:val="p"/>
            </m:rPr>
            <w:rPr>
              <w:rFonts w:ascii="Cambria Math" w:eastAsia="TimesNewRomanPSMT" w:hAnsi="Cambria Math" w:cs="TimesNewRomanPSMT"/>
              <w:sz w:val="24"/>
              <w:szCs w:val="24"/>
            </w:rPr>
            <m:t>A</m:t>
          </m:r>
          <m:sSub>
            <m:sSubPr>
              <m:ctrlPr>
                <w:rPr>
                  <w:rFonts w:ascii="Cambria Math" w:eastAsia="TimesNewRomanPSMT" w:hAnsi="Cambria Math" w:cs="TimesNewRomanPSMT"/>
                  <w:i/>
                  <w:sz w:val="24"/>
                  <w:szCs w:val="24"/>
                </w:rPr>
              </m:ctrlPr>
            </m:sSubPr>
            <m:e>
              <m:r>
                <m:rPr>
                  <m:sty m:val="p"/>
                </m:rPr>
                <w:rPr>
                  <w:rFonts w:ascii="Cambria Math" w:eastAsia="TimesNewRomanPSMT" w:hAnsi="Cambria Math" w:cs="TimesNewRomanPSMT"/>
                  <w:sz w:val="24"/>
                  <w:szCs w:val="24"/>
                </w:rPr>
                <m:t>R</m:t>
              </m:r>
              <m:ctrlPr>
                <w:rPr>
                  <w:rFonts w:ascii="Cambria Math" w:eastAsia="TimesNewRomanPSMT" w:hAnsi="Cambria Math" w:cs="TimesNewRomanPSMT"/>
                  <w:sz w:val="24"/>
                  <w:szCs w:val="24"/>
                </w:rPr>
              </m:ctrlPr>
            </m:e>
            <m:sub>
              <m:r>
                <m:rPr>
                  <m:sty m:val="p"/>
                </m:rPr>
                <w:rPr>
                  <w:rFonts w:ascii="Cambria Math" w:eastAsia="TimesNewRomanPSMT" w:hAnsi="Cambria Math" w:cs="TimesNewRomanPSMT"/>
                </w:rPr>
                <m:t>it</m:t>
              </m:r>
            </m:sub>
          </m:sSub>
          <m:r>
            <w:rPr>
              <w:rFonts w:ascii="Cambria Math" w:eastAsia="TimesNewRomanPSMT" w:hAnsi="Cambria Math" w:cs="TimesNewRomanPSMT"/>
              <w:sz w:val="24"/>
              <w:szCs w:val="24"/>
            </w:rPr>
            <m:t> = </m:t>
          </m:r>
          <m:sSub>
            <m:sSubPr>
              <m:ctrlPr>
                <w:rPr>
                  <w:rFonts w:ascii="Cambria Math" w:eastAsia="TimesNewRomanPSMT" w:hAnsi="Cambria Math" w:cs="TimesNewRomanPSMT"/>
                  <w:i/>
                  <w:sz w:val="24"/>
                  <w:szCs w:val="24"/>
                </w:rPr>
              </m:ctrlPr>
            </m:sSubPr>
            <m:e>
              <m:r>
                <w:rPr>
                  <w:rFonts w:ascii="Cambria Math" w:eastAsia="TimesNewRomanPSMT" w:hAnsi="Cambria Math" w:cs="TimesNewRomanPSMT"/>
                  <w:sz w:val="24"/>
                  <w:szCs w:val="24"/>
                </w:rPr>
                <m:t>R</m:t>
              </m:r>
            </m:e>
            <m:sub>
              <m:r>
                <w:rPr>
                  <w:rFonts w:ascii="Cambria Math" w:eastAsia="TimesNewRomanPSMT" w:hAnsi="Cambria Math" w:cs="TimesNewRomanPSMT"/>
                  <w:sz w:val="24"/>
                  <w:szCs w:val="24"/>
                </w:rPr>
                <m:t>it</m:t>
              </m:r>
            </m:sub>
          </m:sSub>
          <m:r>
            <w:rPr>
              <w:rFonts w:ascii="Cambria Math" w:eastAsia="TimesNewRomanPSMT" w:hAnsi="Cambria Math" w:cs="TimesNewRomanPSMT"/>
              <w:sz w:val="24"/>
              <w:szCs w:val="24"/>
            </w:rPr>
            <m:t>- </m:t>
          </m:r>
          <m:acc>
            <m:accPr>
              <m:ctrlPr>
                <w:rPr>
                  <w:rFonts w:ascii="Cambria Math" w:eastAsiaTheme="minorEastAsia" w:hAnsi="Cambria Math"/>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R</m:t>
                  </m:r>
                  <m:ctrlPr>
                    <w:rPr>
                      <w:rFonts w:ascii="Cambria Math" w:eastAsia="TimesNewRomanPSMT" w:hAnsi="Cambria Math" w:cs="TimesNewRomanPSMT"/>
                      <w:sz w:val="24"/>
                      <w:szCs w:val="24"/>
                    </w:rPr>
                  </m:ctrlPr>
                </m:e>
                <m:sub>
                  <m:r>
                    <m:rPr>
                      <m:sty m:val="p"/>
                    </m:rPr>
                    <w:rPr>
                      <w:rFonts w:ascii="Cambria Math" w:eastAsiaTheme="minorEastAsia" w:hAnsi="Cambria Math"/>
                      <w:sz w:val="24"/>
                      <w:szCs w:val="24"/>
                    </w:rPr>
                    <m:t>i</m:t>
                  </m:r>
                  <m:r>
                    <m:rPr>
                      <m:sty m:val="p"/>
                    </m:rPr>
                    <w:rPr>
                      <w:rFonts w:ascii="Cambria Math" w:eastAsiaTheme="minorEastAsia" w:hAnsi="Cambria Math"/>
                      <w:sz w:val="24"/>
                      <w:szCs w:val="24"/>
                    </w:rPr>
                    <m:t>t</m:t>
                  </m:r>
                </m:sub>
              </m:sSub>
            </m:e>
          </m:acc>
        </m:oMath>
      </m:oMathPara>
    </w:p>
    <w:p w14:paraId="3EF07B6D" w14:textId="3EB4B09C" w:rsidR="00C732EE" w:rsidRDefault="00C732EE" w:rsidP="00790A5F">
      <w:pPr>
        <w:autoSpaceDE w:val="0"/>
        <w:autoSpaceDN w:val="0"/>
        <w:adjustRightInd w:val="0"/>
        <w:spacing w:after="0" w:line="480" w:lineRule="auto"/>
        <w:rPr>
          <w:rFonts w:ascii="TimesNewRomanPSMT" w:eastAsia="TimesNewRomanPSMT" w:cs="TimesNewRomanPSMT"/>
          <w:color w:val="000000"/>
          <w:sz w:val="24"/>
          <w:szCs w:val="24"/>
        </w:rPr>
      </w:pPr>
    </w:p>
    <w:p w14:paraId="34E818C1" w14:textId="77777777" w:rsidR="00C732EE" w:rsidRDefault="00C732EE" w:rsidP="00790A5F">
      <w:pPr>
        <w:autoSpaceDE w:val="0"/>
        <w:autoSpaceDN w:val="0"/>
        <w:adjustRightInd w:val="0"/>
        <w:spacing w:after="0" w:line="480" w:lineRule="auto"/>
        <w:rPr>
          <w:rFonts w:ascii="TimesNewRomanPSMT" w:eastAsia="TimesNewRomanPSMT" w:cs="TimesNewRomanPSMT"/>
          <w:color w:val="000000"/>
          <w:sz w:val="24"/>
          <w:szCs w:val="24"/>
        </w:rPr>
      </w:pPr>
    </w:p>
    <w:p w14:paraId="13B536D7" w14:textId="2F72B10A" w:rsidR="00C732EE" w:rsidRDefault="00C732EE" w:rsidP="00790A5F">
      <w:pPr>
        <w:autoSpaceDE w:val="0"/>
        <w:autoSpaceDN w:val="0"/>
        <w:adjustRightInd w:val="0"/>
        <w:spacing w:after="0" w:line="480" w:lineRule="auto"/>
        <w:rPr>
          <w:rFonts w:ascii="Verdana" w:eastAsia="TimesNewRomanPSMT" w:hAnsi="Verdana" w:cs="TimesNewRomanPSMT"/>
          <w:color w:val="000000"/>
          <w:sz w:val="24"/>
          <w:szCs w:val="24"/>
        </w:rPr>
      </w:pPr>
      <w:r w:rsidRPr="00C732EE">
        <w:rPr>
          <w:rFonts w:ascii="Verdana" w:eastAsia="TimesNewRomanPSMT" w:hAnsi="Verdana" w:cs="TimesNewRomanPSMT"/>
          <w:color w:val="000000"/>
          <w:sz w:val="24"/>
          <w:szCs w:val="24"/>
        </w:rPr>
        <w:t xml:space="preserve">By summing all the abnormal return, I obtain the cumulative abnormal returns (CAR) for each time window among the already listed </w:t>
      </w:r>
      <w:r w:rsidRPr="00C732EE">
        <w:rPr>
          <w:rFonts w:ascii="Verdana" w:eastAsia="TimesNewRomanPSMT" w:hAnsi="Verdana" w:cs="TimesNewRomanPSMT"/>
          <w:color w:val="000000"/>
          <w:sz w:val="24"/>
          <w:szCs w:val="24"/>
        </w:rPr>
        <w:t>[–20, –11], [–10, –6], [–5, 10]</w:t>
      </w:r>
      <w:r w:rsidRPr="00C732EE">
        <w:rPr>
          <w:rFonts w:ascii="Verdana" w:eastAsia="TimesNewRomanPSMT" w:hAnsi="Verdana" w:cs="TimesNewRomanPSMT"/>
          <w:color w:val="000000"/>
          <w:sz w:val="24"/>
          <w:szCs w:val="24"/>
        </w:rPr>
        <w:t>, [</w:t>
      </w:r>
      <w:r w:rsidRPr="00C732EE">
        <w:rPr>
          <w:rFonts w:ascii="Verdana" w:eastAsia="TimesNewRomanPSMT" w:hAnsi="Verdana" w:cs="TimesNewRomanPSMT"/>
          <w:color w:val="000000"/>
          <w:sz w:val="24"/>
          <w:szCs w:val="24"/>
        </w:rPr>
        <w:t>11, 20], and [21, 60]</w:t>
      </w:r>
      <w:r w:rsidRPr="00C732EE">
        <w:rPr>
          <w:rFonts w:ascii="Verdana" w:eastAsia="TimesNewRomanPSMT" w:hAnsi="Verdana" w:cs="TimesNewRomanPSMT"/>
          <w:color w:val="000000"/>
          <w:sz w:val="24"/>
          <w:szCs w:val="24"/>
        </w:rPr>
        <w:t>.</w:t>
      </w:r>
    </w:p>
    <w:p w14:paraId="5DFEAA24" w14:textId="0DD21B4C" w:rsidR="00C732EE" w:rsidRDefault="00C732EE" w:rsidP="00790A5F">
      <w:pPr>
        <w:autoSpaceDE w:val="0"/>
        <w:autoSpaceDN w:val="0"/>
        <w:adjustRightInd w:val="0"/>
        <w:spacing w:after="0" w:line="480" w:lineRule="auto"/>
        <w:rPr>
          <w:rFonts w:ascii="Verdana" w:eastAsia="TimesNewRomanPSMT" w:hAnsi="Verdana" w:cs="TimesNewRomanPSMT"/>
          <w:color w:val="000000"/>
          <w:sz w:val="24"/>
          <w:szCs w:val="24"/>
        </w:rPr>
      </w:pPr>
    </w:p>
    <w:p w14:paraId="506DDB85" w14:textId="034D5DC1" w:rsidR="00C732EE" w:rsidRDefault="002B732B" w:rsidP="00790A5F">
      <w:pPr>
        <w:autoSpaceDE w:val="0"/>
        <w:autoSpaceDN w:val="0"/>
        <w:adjustRightInd w:val="0"/>
        <w:spacing w:after="0" w:line="480" w:lineRule="auto"/>
        <w:rPr>
          <w:rFonts w:ascii="Verdana" w:eastAsia="TimesNewRomanPSMT" w:hAnsi="Verdana" w:cs="TimesNewRomanPSMT"/>
          <w:color w:val="000000"/>
          <w:sz w:val="24"/>
          <w:szCs w:val="24"/>
        </w:rPr>
      </w:pPr>
      <w:r>
        <w:rPr>
          <w:rFonts w:ascii="Verdana" w:eastAsia="TimesNewRomanPSMT" w:hAnsi="Verdana" w:cs="TimesNewRomanPSMT"/>
          <w:color w:val="000000"/>
          <w:sz w:val="24"/>
          <w:szCs w:val="24"/>
        </w:rPr>
        <w:t xml:space="preserve">Table 6 shows the results of the event study over </w:t>
      </w:r>
      <w:r w:rsidR="007C6454">
        <w:rPr>
          <w:rFonts w:ascii="Verdana" w:eastAsia="TimesNewRomanPSMT" w:hAnsi="Verdana" w:cs="TimesNewRomanPSMT"/>
          <w:color w:val="000000"/>
          <w:sz w:val="24"/>
          <w:szCs w:val="24"/>
        </w:rPr>
        <w:t xml:space="preserve">the 519 unique combinations between issuers with public parent and the day of </w:t>
      </w:r>
      <w:r w:rsidR="007C6454">
        <w:rPr>
          <w:rFonts w:ascii="Verdana" w:eastAsia="TimesNewRomanPSMT" w:hAnsi="Verdana" w:cs="TimesNewRomanPSMT"/>
          <w:color w:val="000000"/>
          <w:sz w:val="24"/>
          <w:szCs w:val="24"/>
        </w:rPr>
        <w:lastRenderedPageBreak/>
        <w:t>announcement. Over these 519 issuer-days, I exclude 25 due to the lack of sufficient stock data on Refinitiv, as the companies entered the stock market less than 220</w:t>
      </w:r>
      <w:r w:rsidR="00B4251D">
        <w:rPr>
          <w:rFonts w:ascii="Verdana" w:eastAsia="TimesNewRomanPSMT" w:hAnsi="Verdana" w:cs="TimesNewRomanPSMT"/>
          <w:color w:val="000000"/>
          <w:sz w:val="24"/>
          <w:szCs w:val="24"/>
        </w:rPr>
        <w:t xml:space="preserve"> trading</w:t>
      </w:r>
      <w:r w:rsidR="007C6454">
        <w:rPr>
          <w:rFonts w:ascii="Verdana" w:eastAsia="TimesNewRomanPSMT" w:hAnsi="Verdana" w:cs="TimesNewRomanPSMT"/>
          <w:color w:val="000000"/>
          <w:sz w:val="24"/>
          <w:szCs w:val="24"/>
        </w:rPr>
        <w:t xml:space="preserve"> days prior to the </w:t>
      </w:r>
      <w:r w:rsidR="00B4251D">
        <w:rPr>
          <w:rFonts w:ascii="Verdana" w:eastAsia="TimesNewRomanPSMT" w:hAnsi="Verdana" w:cs="TimesNewRomanPSMT"/>
          <w:color w:val="000000"/>
          <w:sz w:val="24"/>
          <w:szCs w:val="24"/>
        </w:rPr>
        <w:t xml:space="preserve">green bond </w:t>
      </w:r>
      <w:r w:rsidR="007C6454">
        <w:rPr>
          <w:rFonts w:ascii="Verdana" w:eastAsia="TimesNewRomanPSMT" w:hAnsi="Verdana" w:cs="TimesNewRomanPSMT"/>
          <w:color w:val="000000"/>
          <w:sz w:val="24"/>
          <w:szCs w:val="24"/>
        </w:rPr>
        <w:t>announcement date.</w:t>
      </w:r>
    </w:p>
    <w:p w14:paraId="73175A62" w14:textId="786626C0" w:rsidR="007C6454" w:rsidRDefault="007C6454" w:rsidP="00790A5F">
      <w:pPr>
        <w:autoSpaceDE w:val="0"/>
        <w:autoSpaceDN w:val="0"/>
        <w:adjustRightInd w:val="0"/>
        <w:spacing w:after="0" w:line="480" w:lineRule="auto"/>
        <w:rPr>
          <w:rFonts w:ascii="Verdana" w:eastAsia="TimesNewRomanPSMT" w:hAnsi="Verdana" w:cs="TimesNewRomanPSMT"/>
          <w:color w:val="000000"/>
          <w:sz w:val="24"/>
          <w:szCs w:val="24"/>
        </w:rPr>
      </w:pPr>
      <w:r>
        <w:rPr>
          <w:rFonts w:ascii="Verdana" w:eastAsia="TimesNewRomanPSMT" w:hAnsi="Verdana" w:cs="TimesNewRomanPSMT"/>
          <w:color w:val="000000"/>
          <w:sz w:val="24"/>
          <w:szCs w:val="24"/>
        </w:rPr>
        <w:t xml:space="preserve">Table 6 shows the </w:t>
      </w:r>
      <w:r w:rsidR="00437E5E">
        <w:rPr>
          <w:rFonts w:ascii="Verdana" w:eastAsia="TimesNewRomanPSMT" w:hAnsi="Verdana" w:cs="TimesNewRomanPSMT"/>
          <w:color w:val="000000"/>
          <w:sz w:val="24"/>
          <w:szCs w:val="24"/>
        </w:rPr>
        <w:t>results f</w:t>
      </w:r>
      <w:r>
        <w:rPr>
          <w:rFonts w:ascii="Verdana" w:eastAsia="TimesNewRomanPSMT" w:hAnsi="Verdana" w:cs="TimesNewRomanPSMT"/>
          <w:color w:val="000000"/>
          <w:sz w:val="24"/>
          <w:szCs w:val="24"/>
        </w:rPr>
        <w:t>or the remaining</w:t>
      </w:r>
      <w:r w:rsidR="00437E5E">
        <w:rPr>
          <w:rFonts w:ascii="Verdana" w:eastAsia="TimesNewRomanPSMT" w:hAnsi="Verdana" w:cs="TimesNewRomanPSMT"/>
          <w:color w:val="000000"/>
          <w:sz w:val="24"/>
          <w:szCs w:val="24"/>
        </w:rPr>
        <w:t xml:space="preserve"> </w:t>
      </w:r>
      <w:r w:rsidR="00437E5E">
        <w:rPr>
          <w:rFonts w:ascii="Verdana" w:eastAsia="TimesNewRomanPSMT" w:hAnsi="Verdana" w:cs="TimesNewRomanPSMT"/>
          <w:color w:val="000000"/>
          <w:sz w:val="24"/>
          <w:szCs w:val="24"/>
        </w:rPr>
        <w:t>494</w:t>
      </w:r>
      <w:r>
        <w:rPr>
          <w:rFonts w:ascii="Verdana" w:eastAsia="TimesNewRomanPSMT" w:hAnsi="Verdana" w:cs="TimesNewRomanPSMT"/>
          <w:color w:val="000000"/>
          <w:sz w:val="24"/>
          <w:szCs w:val="24"/>
        </w:rPr>
        <w:t xml:space="preserve"> issuer-days</w:t>
      </w:r>
      <w:r w:rsidR="00437E5E">
        <w:rPr>
          <w:rFonts w:ascii="Verdana" w:eastAsia="TimesNewRomanPSMT" w:hAnsi="Verdana" w:cs="TimesNewRomanPSMT"/>
          <w:color w:val="000000"/>
          <w:sz w:val="24"/>
          <w:szCs w:val="24"/>
        </w:rPr>
        <w:t>.</w:t>
      </w:r>
      <w:r w:rsidR="00B4251D">
        <w:rPr>
          <w:rFonts w:ascii="Verdana" w:eastAsia="TimesNewRomanPSMT" w:hAnsi="Verdana" w:cs="TimesNewRomanPSMT"/>
          <w:color w:val="000000"/>
          <w:sz w:val="24"/>
          <w:szCs w:val="24"/>
        </w:rPr>
        <w:t xml:space="preserve"> </w:t>
      </w:r>
      <w:r w:rsidR="00B4251D" w:rsidRPr="00B4251D">
        <w:rPr>
          <w:rFonts w:ascii="Verdana" w:eastAsia="TimesNewRomanPSMT" w:hAnsi="Verdana" w:cs="TimesNewRomanPSMT"/>
          <w:color w:val="000000"/>
          <w:sz w:val="24"/>
          <w:szCs w:val="24"/>
        </w:rPr>
        <w:t>*, **, and *** respectively</w:t>
      </w:r>
      <w:r w:rsidR="00B4251D" w:rsidRPr="00B4251D">
        <w:rPr>
          <w:rFonts w:ascii="Verdana" w:eastAsia="TimesNewRomanPSMT" w:hAnsi="Verdana" w:cs="TimesNewRomanPSMT"/>
          <w:color w:val="000000"/>
          <w:sz w:val="24"/>
          <w:szCs w:val="24"/>
        </w:rPr>
        <w:t xml:space="preserve"> </w:t>
      </w:r>
      <w:r w:rsidR="00B4251D" w:rsidRPr="00B4251D">
        <w:rPr>
          <w:rFonts w:ascii="Verdana" w:eastAsia="TimesNewRomanPSMT" w:hAnsi="Verdana" w:cs="TimesNewRomanPSMT"/>
          <w:color w:val="000000"/>
          <w:sz w:val="24"/>
          <w:szCs w:val="24"/>
        </w:rPr>
        <w:t>denote significance at the 10%, 5%, and 1% level</w:t>
      </w:r>
      <w:r w:rsidR="00B4251D">
        <w:rPr>
          <w:rFonts w:ascii="Verdana" w:eastAsia="TimesNewRomanPSMT" w:hAnsi="Verdana" w:cs="TimesNewRomanPSMT"/>
          <w:color w:val="000000"/>
          <w:sz w:val="24"/>
          <w:szCs w:val="24"/>
        </w:rPr>
        <w:t>.</w:t>
      </w:r>
    </w:p>
    <w:p w14:paraId="1BEDDE00" w14:textId="77777777" w:rsidR="00437E5E" w:rsidRDefault="00437E5E" w:rsidP="00790A5F">
      <w:pPr>
        <w:autoSpaceDE w:val="0"/>
        <w:autoSpaceDN w:val="0"/>
        <w:adjustRightInd w:val="0"/>
        <w:spacing w:after="0" w:line="480" w:lineRule="auto"/>
        <w:rPr>
          <w:rFonts w:ascii="Verdana" w:eastAsia="TimesNewRomanPSMT" w:hAnsi="Verdana" w:cs="TimesNewRomanPSMT"/>
          <w:color w:val="000000"/>
          <w:sz w:val="24"/>
          <w:szCs w:val="24"/>
        </w:rPr>
      </w:pPr>
    </w:p>
    <w:p w14:paraId="5C84804A" w14:textId="25CC5C4C" w:rsidR="00437E5E" w:rsidRDefault="00437E5E" w:rsidP="00790A5F">
      <w:pPr>
        <w:autoSpaceDE w:val="0"/>
        <w:autoSpaceDN w:val="0"/>
        <w:adjustRightInd w:val="0"/>
        <w:spacing w:after="0" w:line="480" w:lineRule="auto"/>
        <w:rPr>
          <w:rFonts w:ascii="Verdana" w:hAnsi="Verdana" w:cs="Tahoma"/>
          <w:b/>
          <w:bCs/>
        </w:rPr>
      </w:pPr>
      <w:r w:rsidRPr="008051DC">
        <w:rPr>
          <w:rFonts w:ascii="Verdana" w:hAnsi="Verdana" w:cs="Tahoma"/>
          <w:b/>
          <w:bCs/>
        </w:rPr>
        <w:t xml:space="preserve">Table </w:t>
      </w:r>
      <w:r>
        <w:rPr>
          <w:rFonts w:ascii="Verdana" w:hAnsi="Verdana" w:cs="Tahoma"/>
          <w:b/>
          <w:bCs/>
        </w:rPr>
        <w:t>6</w:t>
      </w:r>
      <w:r>
        <w:rPr>
          <w:rFonts w:ascii="Verdana" w:hAnsi="Verdana" w:cs="Tahoma"/>
          <w:b/>
          <w:bCs/>
        </w:rPr>
        <w:t>.</w:t>
      </w:r>
      <w:r w:rsidRPr="008051DC">
        <w:rPr>
          <w:rFonts w:ascii="Verdana" w:hAnsi="Verdana" w:cs="Tahoma"/>
          <w:b/>
          <w:bCs/>
        </w:rPr>
        <w:t xml:space="preserve"> </w:t>
      </w:r>
      <w:r>
        <w:rPr>
          <w:rFonts w:ascii="Verdana" w:hAnsi="Verdana" w:cs="Tahoma"/>
          <w:b/>
          <w:bCs/>
        </w:rPr>
        <w:t>Cumulated Abnormal Returns for different time windows around green bond announcement</w:t>
      </w:r>
      <w:r w:rsidR="00B6711B">
        <w:rPr>
          <w:rFonts w:ascii="Verdana" w:hAnsi="Verdana" w:cs="Tahoma"/>
          <w:b/>
          <w:bCs/>
        </w:rPr>
        <w:t xml:space="preserve"> (N=494).</w:t>
      </w:r>
    </w:p>
    <w:p w14:paraId="53FB1589" w14:textId="77777777" w:rsidR="00437E5E" w:rsidRPr="00437E5E" w:rsidRDefault="00437E5E" w:rsidP="00790A5F">
      <w:pPr>
        <w:autoSpaceDE w:val="0"/>
        <w:autoSpaceDN w:val="0"/>
        <w:adjustRightInd w:val="0"/>
        <w:spacing w:after="0" w:line="480" w:lineRule="auto"/>
        <w:rPr>
          <w:rFonts w:ascii="Verdana" w:hAnsi="Verdana" w:cs="Tahoma"/>
          <w:b/>
          <w:bCs/>
        </w:rPr>
      </w:pPr>
    </w:p>
    <w:tbl>
      <w:tblPr>
        <w:tblStyle w:val="TableGrid"/>
        <w:tblW w:w="0" w:type="auto"/>
        <w:jc w:val="center"/>
        <w:tblLook w:val="04A0" w:firstRow="1" w:lastRow="0" w:firstColumn="1" w:lastColumn="0" w:noHBand="0" w:noVBand="1"/>
      </w:tblPr>
      <w:tblGrid>
        <w:gridCol w:w="1975"/>
        <w:gridCol w:w="1350"/>
        <w:gridCol w:w="1350"/>
      </w:tblGrid>
      <w:tr w:rsidR="00437E5E" w:rsidRPr="00437E5E" w14:paraId="221F9640" w14:textId="77777777" w:rsidTr="00437E5E">
        <w:trPr>
          <w:trHeight w:val="300"/>
          <w:jc w:val="center"/>
        </w:trPr>
        <w:tc>
          <w:tcPr>
            <w:tcW w:w="1975" w:type="dxa"/>
            <w:noWrap/>
            <w:hideMark/>
          </w:tcPr>
          <w:p w14:paraId="3BF89089" w14:textId="77777777" w:rsidR="00437E5E" w:rsidRPr="00437E5E" w:rsidRDefault="00437E5E" w:rsidP="00790A5F">
            <w:pPr>
              <w:autoSpaceDE w:val="0"/>
              <w:autoSpaceDN w:val="0"/>
              <w:adjustRightInd w:val="0"/>
              <w:spacing w:line="480" w:lineRule="auto"/>
              <w:rPr>
                <w:rFonts w:ascii="Verdana" w:eastAsia="TimesNewRomanPSMT" w:hAnsi="Verdana" w:cs="TimesNewRomanPSMT"/>
                <w:b/>
                <w:bCs/>
                <w:color w:val="000000"/>
                <w:sz w:val="24"/>
                <w:szCs w:val="24"/>
              </w:rPr>
            </w:pPr>
            <w:r w:rsidRPr="00437E5E">
              <w:rPr>
                <w:rFonts w:ascii="Verdana" w:eastAsia="TimesNewRomanPSMT" w:hAnsi="Verdana" w:cs="TimesNewRomanPSMT"/>
                <w:b/>
                <w:bCs/>
                <w:color w:val="000000"/>
                <w:sz w:val="24"/>
                <w:szCs w:val="24"/>
              </w:rPr>
              <w:t>Event time</w:t>
            </w:r>
          </w:p>
        </w:tc>
        <w:tc>
          <w:tcPr>
            <w:tcW w:w="1350" w:type="dxa"/>
            <w:noWrap/>
            <w:hideMark/>
          </w:tcPr>
          <w:p w14:paraId="49CDB1AF" w14:textId="77777777" w:rsidR="00437E5E" w:rsidRPr="00437E5E" w:rsidRDefault="00437E5E" w:rsidP="00790A5F">
            <w:pPr>
              <w:autoSpaceDE w:val="0"/>
              <w:autoSpaceDN w:val="0"/>
              <w:adjustRightInd w:val="0"/>
              <w:spacing w:line="480" w:lineRule="auto"/>
              <w:rPr>
                <w:rFonts w:ascii="Verdana" w:eastAsia="TimesNewRomanPSMT" w:hAnsi="Verdana" w:cs="TimesNewRomanPSMT"/>
                <w:b/>
                <w:bCs/>
                <w:color w:val="000000"/>
                <w:sz w:val="24"/>
                <w:szCs w:val="24"/>
              </w:rPr>
            </w:pPr>
            <w:r w:rsidRPr="00437E5E">
              <w:rPr>
                <w:rFonts w:ascii="Verdana" w:eastAsia="TimesNewRomanPSMT" w:hAnsi="Verdana" w:cs="TimesNewRomanPSMT"/>
                <w:b/>
                <w:bCs/>
                <w:color w:val="000000"/>
                <w:sz w:val="24"/>
                <w:szCs w:val="24"/>
              </w:rPr>
              <w:t>CAR</w:t>
            </w:r>
          </w:p>
        </w:tc>
        <w:tc>
          <w:tcPr>
            <w:tcW w:w="1350" w:type="dxa"/>
            <w:noWrap/>
            <w:hideMark/>
          </w:tcPr>
          <w:p w14:paraId="73265F36" w14:textId="77777777" w:rsidR="00437E5E" w:rsidRPr="00437E5E" w:rsidRDefault="00437E5E" w:rsidP="00790A5F">
            <w:pPr>
              <w:autoSpaceDE w:val="0"/>
              <w:autoSpaceDN w:val="0"/>
              <w:adjustRightInd w:val="0"/>
              <w:spacing w:line="480" w:lineRule="auto"/>
              <w:rPr>
                <w:rFonts w:ascii="Verdana" w:eastAsia="TimesNewRomanPSMT" w:hAnsi="Verdana" w:cs="TimesNewRomanPSMT"/>
                <w:b/>
                <w:bCs/>
                <w:color w:val="000000"/>
                <w:sz w:val="24"/>
                <w:szCs w:val="24"/>
              </w:rPr>
            </w:pPr>
            <w:r w:rsidRPr="00437E5E">
              <w:rPr>
                <w:rFonts w:ascii="Verdana" w:eastAsia="TimesNewRomanPSMT" w:hAnsi="Verdana" w:cs="TimesNewRomanPSMT"/>
                <w:b/>
                <w:bCs/>
                <w:color w:val="000000"/>
                <w:sz w:val="24"/>
                <w:szCs w:val="24"/>
              </w:rPr>
              <w:t>Std. Err.</w:t>
            </w:r>
          </w:p>
        </w:tc>
      </w:tr>
      <w:tr w:rsidR="00437E5E" w:rsidRPr="00437E5E" w14:paraId="18F1810B" w14:textId="77777777" w:rsidTr="00437E5E">
        <w:trPr>
          <w:trHeight w:val="300"/>
          <w:jc w:val="center"/>
        </w:trPr>
        <w:tc>
          <w:tcPr>
            <w:tcW w:w="1975" w:type="dxa"/>
            <w:noWrap/>
            <w:hideMark/>
          </w:tcPr>
          <w:p w14:paraId="30D3E400" w14:textId="77777777" w:rsidR="00437E5E" w:rsidRPr="00437E5E" w:rsidRDefault="00437E5E" w:rsidP="00790A5F">
            <w:pPr>
              <w:autoSpaceDE w:val="0"/>
              <w:autoSpaceDN w:val="0"/>
              <w:adjustRightInd w:val="0"/>
              <w:spacing w:line="480" w:lineRule="auto"/>
              <w:rPr>
                <w:rFonts w:ascii="Verdana" w:eastAsia="TimesNewRomanPSMT" w:hAnsi="Verdana" w:cs="TimesNewRomanPSMT"/>
                <w:b/>
                <w:bCs/>
                <w:color w:val="000000"/>
                <w:sz w:val="24"/>
                <w:szCs w:val="24"/>
              </w:rPr>
            </w:pPr>
            <w:r w:rsidRPr="00437E5E">
              <w:rPr>
                <w:rFonts w:ascii="Verdana" w:eastAsia="TimesNewRomanPSMT" w:hAnsi="Verdana" w:cs="TimesNewRomanPSMT"/>
                <w:b/>
                <w:bCs/>
                <w:color w:val="000000"/>
                <w:sz w:val="24"/>
                <w:szCs w:val="24"/>
              </w:rPr>
              <w:t>[-20, -11]</w:t>
            </w:r>
          </w:p>
        </w:tc>
        <w:tc>
          <w:tcPr>
            <w:tcW w:w="1350" w:type="dxa"/>
            <w:noWrap/>
            <w:hideMark/>
          </w:tcPr>
          <w:p w14:paraId="4BDEAA2B" w14:textId="77777777" w:rsidR="00437E5E" w:rsidRPr="00437E5E" w:rsidRDefault="00437E5E" w:rsidP="00790A5F">
            <w:pPr>
              <w:autoSpaceDE w:val="0"/>
              <w:autoSpaceDN w:val="0"/>
              <w:adjustRightInd w:val="0"/>
              <w:spacing w:line="480" w:lineRule="auto"/>
              <w:rPr>
                <w:rFonts w:ascii="Verdana" w:eastAsia="TimesNewRomanPSMT" w:hAnsi="Verdana" w:cs="TimesNewRomanPSMT"/>
                <w:color w:val="000000"/>
                <w:sz w:val="24"/>
                <w:szCs w:val="24"/>
              </w:rPr>
            </w:pPr>
            <w:r w:rsidRPr="00437E5E">
              <w:rPr>
                <w:rFonts w:ascii="Verdana" w:eastAsia="TimesNewRomanPSMT" w:hAnsi="Verdana" w:cs="TimesNewRomanPSMT"/>
                <w:color w:val="000000"/>
                <w:sz w:val="24"/>
                <w:szCs w:val="24"/>
              </w:rPr>
              <w:t>0.305</w:t>
            </w:r>
          </w:p>
        </w:tc>
        <w:tc>
          <w:tcPr>
            <w:tcW w:w="1350" w:type="dxa"/>
            <w:noWrap/>
            <w:hideMark/>
          </w:tcPr>
          <w:p w14:paraId="3833091D" w14:textId="77777777" w:rsidR="00437E5E" w:rsidRPr="00437E5E" w:rsidRDefault="00437E5E" w:rsidP="00790A5F">
            <w:pPr>
              <w:autoSpaceDE w:val="0"/>
              <w:autoSpaceDN w:val="0"/>
              <w:adjustRightInd w:val="0"/>
              <w:spacing w:line="480" w:lineRule="auto"/>
              <w:rPr>
                <w:rFonts w:ascii="Verdana" w:eastAsia="TimesNewRomanPSMT" w:hAnsi="Verdana" w:cs="TimesNewRomanPSMT"/>
                <w:color w:val="000000"/>
                <w:sz w:val="24"/>
                <w:szCs w:val="24"/>
              </w:rPr>
            </w:pPr>
            <w:r w:rsidRPr="00437E5E">
              <w:rPr>
                <w:rFonts w:ascii="Verdana" w:eastAsia="TimesNewRomanPSMT" w:hAnsi="Verdana" w:cs="TimesNewRomanPSMT"/>
                <w:color w:val="000000"/>
                <w:sz w:val="24"/>
                <w:szCs w:val="24"/>
              </w:rPr>
              <w:t>0.2</w:t>
            </w:r>
          </w:p>
        </w:tc>
      </w:tr>
      <w:tr w:rsidR="00437E5E" w:rsidRPr="00437E5E" w14:paraId="178AEAAD" w14:textId="77777777" w:rsidTr="00437E5E">
        <w:trPr>
          <w:trHeight w:val="300"/>
          <w:jc w:val="center"/>
        </w:trPr>
        <w:tc>
          <w:tcPr>
            <w:tcW w:w="1975" w:type="dxa"/>
            <w:noWrap/>
            <w:hideMark/>
          </w:tcPr>
          <w:p w14:paraId="03F03EDE" w14:textId="77777777" w:rsidR="00437E5E" w:rsidRPr="00437E5E" w:rsidRDefault="00437E5E" w:rsidP="00790A5F">
            <w:pPr>
              <w:autoSpaceDE w:val="0"/>
              <w:autoSpaceDN w:val="0"/>
              <w:adjustRightInd w:val="0"/>
              <w:spacing w:line="480" w:lineRule="auto"/>
              <w:rPr>
                <w:rFonts w:ascii="Verdana" w:eastAsia="TimesNewRomanPSMT" w:hAnsi="Verdana" w:cs="TimesNewRomanPSMT"/>
                <w:b/>
                <w:bCs/>
                <w:color w:val="000000"/>
                <w:sz w:val="24"/>
                <w:szCs w:val="24"/>
              </w:rPr>
            </w:pPr>
            <w:r w:rsidRPr="00437E5E">
              <w:rPr>
                <w:rFonts w:ascii="Verdana" w:eastAsia="TimesNewRomanPSMT" w:hAnsi="Verdana" w:cs="TimesNewRomanPSMT"/>
                <w:b/>
                <w:bCs/>
                <w:color w:val="000000"/>
                <w:sz w:val="24"/>
                <w:szCs w:val="24"/>
              </w:rPr>
              <w:t>[-10, -6]</w:t>
            </w:r>
          </w:p>
        </w:tc>
        <w:tc>
          <w:tcPr>
            <w:tcW w:w="1350" w:type="dxa"/>
            <w:noWrap/>
            <w:hideMark/>
          </w:tcPr>
          <w:p w14:paraId="32A88325" w14:textId="77777777" w:rsidR="00437E5E" w:rsidRPr="00437E5E" w:rsidRDefault="00437E5E" w:rsidP="00790A5F">
            <w:pPr>
              <w:autoSpaceDE w:val="0"/>
              <w:autoSpaceDN w:val="0"/>
              <w:adjustRightInd w:val="0"/>
              <w:spacing w:line="480" w:lineRule="auto"/>
              <w:rPr>
                <w:rFonts w:ascii="Verdana" w:eastAsia="TimesNewRomanPSMT" w:hAnsi="Verdana" w:cs="TimesNewRomanPSMT"/>
                <w:color w:val="000000"/>
                <w:sz w:val="24"/>
                <w:szCs w:val="24"/>
              </w:rPr>
            </w:pPr>
            <w:r w:rsidRPr="00437E5E">
              <w:rPr>
                <w:rFonts w:ascii="Verdana" w:eastAsia="TimesNewRomanPSMT" w:hAnsi="Verdana" w:cs="TimesNewRomanPSMT"/>
                <w:color w:val="000000"/>
                <w:sz w:val="24"/>
                <w:szCs w:val="24"/>
              </w:rPr>
              <w:t>0.045</w:t>
            </w:r>
          </w:p>
        </w:tc>
        <w:tc>
          <w:tcPr>
            <w:tcW w:w="1350" w:type="dxa"/>
            <w:noWrap/>
            <w:hideMark/>
          </w:tcPr>
          <w:p w14:paraId="05BBFAA3" w14:textId="77777777" w:rsidR="00437E5E" w:rsidRPr="00437E5E" w:rsidRDefault="00437E5E" w:rsidP="00790A5F">
            <w:pPr>
              <w:autoSpaceDE w:val="0"/>
              <w:autoSpaceDN w:val="0"/>
              <w:adjustRightInd w:val="0"/>
              <w:spacing w:line="480" w:lineRule="auto"/>
              <w:rPr>
                <w:rFonts w:ascii="Verdana" w:eastAsia="TimesNewRomanPSMT" w:hAnsi="Verdana" w:cs="TimesNewRomanPSMT"/>
                <w:color w:val="000000"/>
                <w:sz w:val="24"/>
                <w:szCs w:val="24"/>
              </w:rPr>
            </w:pPr>
            <w:r w:rsidRPr="00437E5E">
              <w:rPr>
                <w:rFonts w:ascii="Verdana" w:eastAsia="TimesNewRomanPSMT" w:hAnsi="Verdana" w:cs="TimesNewRomanPSMT"/>
                <w:color w:val="000000"/>
                <w:sz w:val="24"/>
                <w:szCs w:val="24"/>
              </w:rPr>
              <w:t>0.136</w:t>
            </w:r>
          </w:p>
        </w:tc>
      </w:tr>
      <w:tr w:rsidR="00437E5E" w:rsidRPr="00437E5E" w14:paraId="41CFA3B8" w14:textId="77777777" w:rsidTr="00437E5E">
        <w:trPr>
          <w:trHeight w:val="300"/>
          <w:jc w:val="center"/>
        </w:trPr>
        <w:tc>
          <w:tcPr>
            <w:tcW w:w="1975" w:type="dxa"/>
            <w:noWrap/>
            <w:hideMark/>
          </w:tcPr>
          <w:p w14:paraId="4759AFCF" w14:textId="77777777" w:rsidR="00437E5E" w:rsidRPr="00437E5E" w:rsidRDefault="00437E5E" w:rsidP="00790A5F">
            <w:pPr>
              <w:autoSpaceDE w:val="0"/>
              <w:autoSpaceDN w:val="0"/>
              <w:adjustRightInd w:val="0"/>
              <w:spacing w:line="480" w:lineRule="auto"/>
              <w:rPr>
                <w:rFonts w:ascii="Verdana" w:eastAsia="TimesNewRomanPSMT" w:hAnsi="Verdana" w:cs="TimesNewRomanPSMT"/>
                <w:b/>
                <w:bCs/>
                <w:color w:val="000000"/>
                <w:sz w:val="24"/>
                <w:szCs w:val="24"/>
              </w:rPr>
            </w:pPr>
            <w:r w:rsidRPr="00437E5E">
              <w:rPr>
                <w:rFonts w:ascii="Verdana" w:eastAsia="TimesNewRomanPSMT" w:hAnsi="Verdana" w:cs="TimesNewRomanPSMT"/>
                <w:b/>
                <w:bCs/>
                <w:color w:val="000000"/>
                <w:sz w:val="24"/>
                <w:szCs w:val="24"/>
              </w:rPr>
              <w:t>[-5, 10]</w:t>
            </w:r>
          </w:p>
        </w:tc>
        <w:tc>
          <w:tcPr>
            <w:tcW w:w="1350" w:type="dxa"/>
            <w:noWrap/>
            <w:hideMark/>
          </w:tcPr>
          <w:p w14:paraId="56BA848B" w14:textId="77777777" w:rsidR="00437E5E" w:rsidRPr="00437E5E" w:rsidRDefault="00437E5E" w:rsidP="00790A5F">
            <w:pPr>
              <w:autoSpaceDE w:val="0"/>
              <w:autoSpaceDN w:val="0"/>
              <w:adjustRightInd w:val="0"/>
              <w:spacing w:line="480" w:lineRule="auto"/>
              <w:rPr>
                <w:rFonts w:ascii="Verdana" w:eastAsia="TimesNewRomanPSMT" w:hAnsi="Verdana" w:cs="TimesNewRomanPSMT"/>
                <w:color w:val="000000"/>
                <w:sz w:val="24"/>
                <w:szCs w:val="24"/>
              </w:rPr>
            </w:pPr>
            <w:r w:rsidRPr="00437E5E">
              <w:rPr>
                <w:rFonts w:ascii="Verdana" w:eastAsia="TimesNewRomanPSMT" w:hAnsi="Verdana" w:cs="TimesNewRomanPSMT"/>
                <w:color w:val="000000"/>
                <w:sz w:val="24"/>
                <w:szCs w:val="24"/>
              </w:rPr>
              <w:t>0.529**</w:t>
            </w:r>
          </w:p>
        </w:tc>
        <w:tc>
          <w:tcPr>
            <w:tcW w:w="1350" w:type="dxa"/>
            <w:noWrap/>
            <w:hideMark/>
          </w:tcPr>
          <w:p w14:paraId="4C7BBB5C" w14:textId="77777777" w:rsidR="00437E5E" w:rsidRPr="00437E5E" w:rsidRDefault="00437E5E" w:rsidP="00790A5F">
            <w:pPr>
              <w:autoSpaceDE w:val="0"/>
              <w:autoSpaceDN w:val="0"/>
              <w:adjustRightInd w:val="0"/>
              <w:spacing w:line="480" w:lineRule="auto"/>
              <w:rPr>
                <w:rFonts w:ascii="Verdana" w:eastAsia="TimesNewRomanPSMT" w:hAnsi="Verdana" w:cs="TimesNewRomanPSMT"/>
                <w:color w:val="000000"/>
                <w:sz w:val="24"/>
                <w:szCs w:val="24"/>
              </w:rPr>
            </w:pPr>
            <w:r w:rsidRPr="00437E5E">
              <w:rPr>
                <w:rFonts w:ascii="Verdana" w:eastAsia="TimesNewRomanPSMT" w:hAnsi="Verdana" w:cs="TimesNewRomanPSMT"/>
                <w:color w:val="000000"/>
                <w:sz w:val="24"/>
                <w:szCs w:val="24"/>
              </w:rPr>
              <w:t>0.247</w:t>
            </w:r>
          </w:p>
        </w:tc>
      </w:tr>
      <w:tr w:rsidR="00437E5E" w:rsidRPr="00437E5E" w14:paraId="18E7B160" w14:textId="77777777" w:rsidTr="00437E5E">
        <w:trPr>
          <w:trHeight w:val="300"/>
          <w:jc w:val="center"/>
        </w:trPr>
        <w:tc>
          <w:tcPr>
            <w:tcW w:w="1975" w:type="dxa"/>
            <w:noWrap/>
            <w:hideMark/>
          </w:tcPr>
          <w:p w14:paraId="55C8A7E1" w14:textId="77777777" w:rsidR="00437E5E" w:rsidRPr="00437E5E" w:rsidRDefault="00437E5E" w:rsidP="00790A5F">
            <w:pPr>
              <w:autoSpaceDE w:val="0"/>
              <w:autoSpaceDN w:val="0"/>
              <w:adjustRightInd w:val="0"/>
              <w:spacing w:line="480" w:lineRule="auto"/>
              <w:rPr>
                <w:rFonts w:ascii="Verdana" w:eastAsia="TimesNewRomanPSMT" w:hAnsi="Verdana" w:cs="TimesNewRomanPSMT"/>
                <w:b/>
                <w:bCs/>
                <w:color w:val="000000"/>
                <w:sz w:val="24"/>
                <w:szCs w:val="24"/>
              </w:rPr>
            </w:pPr>
            <w:r w:rsidRPr="00437E5E">
              <w:rPr>
                <w:rFonts w:ascii="Verdana" w:eastAsia="TimesNewRomanPSMT" w:hAnsi="Verdana" w:cs="TimesNewRomanPSMT"/>
                <w:b/>
                <w:bCs/>
                <w:color w:val="000000"/>
                <w:sz w:val="24"/>
                <w:szCs w:val="24"/>
              </w:rPr>
              <w:t>[11, 20]</w:t>
            </w:r>
          </w:p>
        </w:tc>
        <w:tc>
          <w:tcPr>
            <w:tcW w:w="1350" w:type="dxa"/>
            <w:noWrap/>
            <w:hideMark/>
          </w:tcPr>
          <w:p w14:paraId="0DDD3B02" w14:textId="77777777" w:rsidR="00437E5E" w:rsidRPr="00437E5E" w:rsidRDefault="00437E5E" w:rsidP="00790A5F">
            <w:pPr>
              <w:autoSpaceDE w:val="0"/>
              <w:autoSpaceDN w:val="0"/>
              <w:adjustRightInd w:val="0"/>
              <w:spacing w:line="480" w:lineRule="auto"/>
              <w:rPr>
                <w:rFonts w:ascii="Verdana" w:eastAsia="TimesNewRomanPSMT" w:hAnsi="Verdana" w:cs="TimesNewRomanPSMT"/>
                <w:color w:val="000000"/>
                <w:sz w:val="24"/>
                <w:szCs w:val="24"/>
              </w:rPr>
            </w:pPr>
            <w:r w:rsidRPr="00437E5E">
              <w:rPr>
                <w:rFonts w:ascii="Verdana" w:eastAsia="TimesNewRomanPSMT" w:hAnsi="Verdana" w:cs="TimesNewRomanPSMT"/>
                <w:color w:val="000000"/>
                <w:sz w:val="24"/>
                <w:szCs w:val="24"/>
              </w:rPr>
              <w:t>0.127</w:t>
            </w:r>
          </w:p>
        </w:tc>
        <w:tc>
          <w:tcPr>
            <w:tcW w:w="1350" w:type="dxa"/>
            <w:noWrap/>
            <w:hideMark/>
          </w:tcPr>
          <w:p w14:paraId="7B2D6E26" w14:textId="77777777" w:rsidR="00437E5E" w:rsidRPr="00437E5E" w:rsidRDefault="00437E5E" w:rsidP="00790A5F">
            <w:pPr>
              <w:autoSpaceDE w:val="0"/>
              <w:autoSpaceDN w:val="0"/>
              <w:adjustRightInd w:val="0"/>
              <w:spacing w:line="480" w:lineRule="auto"/>
              <w:rPr>
                <w:rFonts w:ascii="Verdana" w:eastAsia="TimesNewRomanPSMT" w:hAnsi="Verdana" w:cs="TimesNewRomanPSMT"/>
                <w:color w:val="000000"/>
                <w:sz w:val="24"/>
                <w:szCs w:val="24"/>
              </w:rPr>
            </w:pPr>
            <w:r w:rsidRPr="00437E5E">
              <w:rPr>
                <w:rFonts w:ascii="Verdana" w:eastAsia="TimesNewRomanPSMT" w:hAnsi="Verdana" w:cs="TimesNewRomanPSMT"/>
                <w:color w:val="000000"/>
                <w:sz w:val="24"/>
                <w:szCs w:val="24"/>
              </w:rPr>
              <w:t>0.178</w:t>
            </w:r>
          </w:p>
        </w:tc>
      </w:tr>
      <w:tr w:rsidR="00437E5E" w:rsidRPr="00437E5E" w14:paraId="17D66F75" w14:textId="77777777" w:rsidTr="00437E5E">
        <w:trPr>
          <w:trHeight w:val="300"/>
          <w:jc w:val="center"/>
        </w:trPr>
        <w:tc>
          <w:tcPr>
            <w:tcW w:w="1975" w:type="dxa"/>
            <w:noWrap/>
            <w:hideMark/>
          </w:tcPr>
          <w:p w14:paraId="0B8C763C" w14:textId="77777777" w:rsidR="00437E5E" w:rsidRPr="00437E5E" w:rsidRDefault="00437E5E" w:rsidP="00790A5F">
            <w:pPr>
              <w:autoSpaceDE w:val="0"/>
              <w:autoSpaceDN w:val="0"/>
              <w:adjustRightInd w:val="0"/>
              <w:spacing w:line="480" w:lineRule="auto"/>
              <w:rPr>
                <w:rFonts w:ascii="Verdana" w:eastAsia="TimesNewRomanPSMT" w:hAnsi="Verdana" w:cs="TimesNewRomanPSMT"/>
                <w:b/>
                <w:bCs/>
                <w:color w:val="000000"/>
                <w:sz w:val="24"/>
                <w:szCs w:val="24"/>
              </w:rPr>
            </w:pPr>
            <w:r w:rsidRPr="00437E5E">
              <w:rPr>
                <w:rFonts w:ascii="Verdana" w:eastAsia="TimesNewRomanPSMT" w:hAnsi="Verdana" w:cs="TimesNewRomanPSMT"/>
                <w:b/>
                <w:bCs/>
                <w:color w:val="000000"/>
                <w:sz w:val="24"/>
                <w:szCs w:val="24"/>
              </w:rPr>
              <w:t>[21, 60]</w:t>
            </w:r>
          </w:p>
        </w:tc>
        <w:tc>
          <w:tcPr>
            <w:tcW w:w="1350" w:type="dxa"/>
            <w:noWrap/>
            <w:hideMark/>
          </w:tcPr>
          <w:p w14:paraId="26A0A4C7" w14:textId="77777777" w:rsidR="00437E5E" w:rsidRPr="00437E5E" w:rsidRDefault="00437E5E" w:rsidP="00790A5F">
            <w:pPr>
              <w:autoSpaceDE w:val="0"/>
              <w:autoSpaceDN w:val="0"/>
              <w:adjustRightInd w:val="0"/>
              <w:spacing w:line="480" w:lineRule="auto"/>
              <w:rPr>
                <w:rFonts w:ascii="Verdana" w:eastAsia="TimesNewRomanPSMT" w:hAnsi="Verdana" w:cs="TimesNewRomanPSMT"/>
                <w:color w:val="000000"/>
                <w:sz w:val="24"/>
                <w:szCs w:val="24"/>
              </w:rPr>
            </w:pPr>
            <w:r w:rsidRPr="00437E5E">
              <w:rPr>
                <w:rFonts w:ascii="Verdana" w:eastAsia="TimesNewRomanPSMT" w:hAnsi="Verdana" w:cs="TimesNewRomanPSMT"/>
                <w:color w:val="000000"/>
                <w:sz w:val="24"/>
                <w:szCs w:val="24"/>
              </w:rPr>
              <w:t>0.018</w:t>
            </w:r>
          </w:p>
        </w:tc>
        <w:tc>
          <w:tcPr>
            <w:tcW w:w="1350" w:type="dxa"/>
            <w:noWrap/>
            <w:hideMark/>
          </w:tcPr>
          <w:p w14:paraId="7BDE3CFB" w14:textId="77777777" w:rsidR="00437E5E" w:rsidRPr="00437E5E" w:rsidRDefault="00437E5E" w:rsidP="00790A5F">
            <w:pPr>
              <w:autoSpaceDE w:val="0"/>
              <w:autoSpaceDN w:val="0"/>
              <w:adjustRightInd w:val="0"/>
              <w:spacing w:line="480" w:lineRule="auto"/>
              <w:rPr>
                <w:rFonts w:ascii="Verdana" w:eastAsia="TimesNewRomanPSMT" w:hAnsi="Verdana" w:cs="TimesNewRomanPSMT"/>
                <w:color w:val="000000"/>
                <w:sz w:val="24"/>
                <w:szCs w:val="24"/>
              </w:rPr>
            </w:pPr>
            <w:r w:rsidRPr="00437E5E">
              <w:rPr>
                <w:rFonts w:ascii="Verdana" w:eastAsia="TimesNewRomanPSMT" w:hAnsi="Verdana" w:cs="TimesNewRomanPSMT"/>
                <w:color w:val="000000"/>
                <w:sz w:val="24"/>
                <w:szCs w:val="24"/>
              </w:rPr>
              <w:t>0.501</w:t>
            </w:r>
          </w:p>
        </w:tc>
      </w:tr>
    </w:tbl>
    <w:p w14:paraId="3A4A269D" w14:textId="77777777" w:rsidR="00437E5E" w:rsidRDefault="00437E5E" w:rsidP="00790A5F">
      <w:pPr>
        <w:autoSpaceDE w:val="0"/>
        <w:autoSpaceDN w:val="0"/>
        <w:adjustRightInd w:val="0"/>
        <w:spacing w:after="0" w:line="480" w:lineRule="auto"/>
        <w:rPr>
          <w:rFonts w:ascii="Verdana" w:eastAsia="TimesNewRomanPSMT" w:hAnsi="Verdana" w:cs="TimesNewRomanPSMT"/>
          <w:color w:val="000000"/>
          <w:sz w:val="24"/>
          <w:szCs w:val="24"/>
        </w:rPr>
      </w:pPr>
    </w:p>
    <w:p w14:paraId="3E1C93DF" w14:textId="77777777" w:rsidR="00437E5E" w:rsidRPr="00C732EE" w:rsidRDefault="00437E5E" w:rsidP="00790A5F">
      <w:pPr>
        <w:autoSpaceDE w:val="0"/>
        <w:autoSpaceDN w:val="0"/>
        <w:adjustRightInd w:val="0"/>
        <w:spacing w:after="0" w:line="480" w:lineRule="auto"/>
        <w:rPr>
          <w:rFonts w:ascii="Verdana" w:eastAsia="TimesNewRomanPSMT" w:hAnsi="Verdana" w:cs="TimesNewRomanPSMT"/>
          <w:color w:val="000000"/>
          <w:sz w:val="24"/>
          <w:szCs w:val="24"/>
        </w:rPr>
      </w:pPr>
    </w:p>
    <w:p w14:paraId="78E47353" w14:textId="77777777" w:rsidR="00C732EE" w:rsidRDefault="00C732EE" w:rsidP="00790A5F">
      <w:pPr>
        <w:autoSpaceDE w:val="0"/>
        <w:autoSpaceDN w:val="0"/>
        <w:adjustRightInd w:val="0"/>
        <w:spacing w:after="0" w:line="480" w:lineRule="auto"/>
        <w:rPr>
          <w:rFonts w:ascii="TimesNewRomanPSMT" w:eastAsia="TimesNewRomanPSMT" w:cs="TimesNewRomanPSMT"/>
          <w:color w:val="000000"/>
          <w:sz w:val="24"/>
          <w:szCs w:val="24"/>
        </w:rPr>
      </w:pPr>
    </w:p>
    <w:p w14:paraId="3C9FB8EC" w14:textId="0371E824" w:rsidR="00B4251D" w:rsidRDefault="00B4251D" w:rsidP="00790A5F">
      <w:pPr>
        <w:autoSpaceDE w:val="0"/>
        <w:autoSpaceDN w:val="0"/>
        <w:adjustRightInd w:val="0"/>
        <w:spacing w:after="0" w:line="480" w:lineRule="auto"/>
        <w:rPr>
          <w:rFonts w:ascii="Verdana" w:eastAsia="TimesNewRomanPSMT" w:hAnsi="Verdana" w:cs="TimesNewRomanPSMT"/>
          <w:color w:val="000000"/>
          <w:sz w:val="24"/>
          <w:szCs w:val="24"/>
        </w:rPr>
      </w:pPr>
      <w:r w:rsidRPr="00B4251D">
        <w:rPr>
          <w:rFonts w:ascii="Verdana" w:eastAsia="TimesNewRomanPSMT" w:hAnsi="Verdana" w:cs="TimesNewRomanPSMT"/>
          <w:color w:val="000000"/>
          <w:sz w:val="24"/>
          <w:szCs w:val="24"/>
        </w:rPr>
        <w:t xml:space="preserve">Like Flammer, </w:t>
      </w:r>
      <w:r>
        <w:rPr>
          <w:rFonts w:ascii="Verdana" w:eastAsia="TimesNewRomanPSMT" w:hAnsi="Verdana" w:cs="TimesNewRomanPSMT"/>
          <w:color w:val="000000"/>
          <w:sz w:val="24"/>
          <w:szCs w:val="24"/>
        </w:rPr>
        <w:t xml:space="preserve">I find cumulative abnormal returns for the [-5, 10] time window significant at the 5% level, although for a bigger sample size. </w:t>
      </w:r>
    </w:p>
    <w:p w14:paraId="3AEAAE83" w14:textId="56955735" w:rsidR="00B6711B" w:rsidRDefault="00B4251D" w:rsidP="00790A5F">
      <w:pPr>
        <w:autoSpaceDE w:val="0"/>
        <w:autoSpaceDN w:val="0"/>
        <w:adjustRightInd w:val="0"/>
        <w:spacing w:after="0" w:line="480" w:lineRule="auto"/>
        <w:rPr>
          <w:rFonts w:ascii="Verdana" w:eastAsia="TimesNewRomanPSMT" w:hAnsi="Verdana" w:cs="TimesNewRomanPSMT"/>
          <w:color w:val="000000"/>
          <w:sz w:val="24"/>
          <w:szCs w:val="24"/>
        </w:rPr>
      </w:pPr>
      <w:r>
        <w:rPr>
          <w:rFonts w:ascii="Verdana" w:eastAsia="TimesNewRomanPSMT" w:hAnsi="Verdana" w:cs="TimesNewRomanPSMT"/>
          <w:color w:val="000000"/>
          <w:sz w:val="24"/>
          <w:szCs w:val="24"/>
        </w:rPr>
        <w:t xml:space="preserve">Nevertheless, when differentiating between first-time and seasoned green bond issuers, Flammer </w:t>
      </w:r>
      <w:r w:rsidR="00B6711B">
        <w:rPr>
          <w:rFonts w:ascii="Verdana" w:eastAsia="TimesNewRomanPSMT" w:hAnsi="Verdana" w:cs="TimesNewRomanPSMT"/>
          <w:color w:val="000000"/>
          <w:sz w:val="24"/>
          <w:szCs w:val="24"/>
        </w:rPr>
        <w:t xml:space="preserve">(2020) </w:t>
      </w:r>
      <w:r>
        <w:rPr>
          <w:rFonts w:ascii="Verdana" w:eastAsia="TimesNewRomanPSMT" w:hAnsi="Verdana" w:cs="TimesNewRomanPSMT"/>
          <w:color w:val="000000"/>
          <w:sz w:val="24"/>
          <w:szCs w:val="24"/>
        </w:rPr>
        <w:t xml:space="preserve">finds a stronger statistically significant response for the former ones. As shown by Table 7, I instead find </w:t>
      </w:r>
      <w:r w:rsidR="00B6711B">
        <w:rPr>
          <w:rFonts w:ascii="Verdana" w:eastAsia="TimesNewRomanPSMT" w:hAnsi="Verdana" w:cs="TimesNewRomanPSMT"/>
          <w:color w:val="000000"/>
          <w:sz w:val="24"/>
          <w:szCs w:val="24"/>
        </w:rPr>
        <w:t xml:space="preserve">no </w:t>
      </w:r>
      <w:r w:rsidR="00B6711B">
        <w:rPr>
          <w:rFonts w:ascii="Verdana" w:eastAsia="TimesNewRomanPSMT" w:hAnsi="Verdana" w:cs="TimesNewRomanPSMT"/>
          <w:color w:val="000000"/>
          <w:sz w:val="24"/>
          <w:szCs w:val="24"/>
        </w:rPr>
        <w:lastRenderedPageBreak/>
        <w:t>statistically significant response for the [-5, 10] time window. I do find a stronger response in the [-20, -11] time window instead. This result is still significant at the 5% value.</w:t>
      </w:r>
    </w:p>
    <w:p w14:paraId="611DBF10" w14:textId="77777777" w:rsidR="00B6711B" w:rsidRDefault="00B6711B" w:rsidP="00790A5F">
      <w:pPr>
        <w:autoSpaceDE w:val="0"/>
        <w:autoSpaceDN w:val="0"/>
        <w:adjustRightInd w:val="0"/>
        <w:spacing w:after="0" w:line="480" w:lineRule="auto"/>
        <w:rPr>
          <w:rFonts w:ascii="Verdana" w:eastAsia="TimesNewRomanPSMT" w:hAnsi="Verdana" w:cs="TimesNewRomanPSMT"/>
          <w:color w:val="000000"/>
          <w:sz w:val="24"/>
          <w:szCs w:val="24"/>
        </w:rPr>
      </w:pPr>
    </w:p>
    <w:p w14:paraId="209C66D9" w14:textId="45528EC1" w:rsidR="00B6711B" w:rsidRPr="00B6711B" w:rsidRDefault="00B6711B" w:rsidP="00790A5F">
      <w:pPr>
        <w:autoSpaceDE w:val="0"/>
        <w:autoSpaceDN w:val="0"/>
        <w:adjustRightInd w:val="0"/>
        <w:spacing w:after="0" w:line="480" w:lineRule="auto"/>
        <w:rPr>
          <w:rFonts w:ascii="Verdana" w:hAnsi="Verdana" w:cs="Tahoma"/>
          <w:b/>
          <w:bCs/>
        </w:rPr>
      </w:pPr>
      <w:r w:rsidRPr="008051DC">
        <w:rPr>
          <w:rFonts w:ascii="Verdana" w:hAnsi="Verdana" w:cs="Tahoma"/>
          <w:b/>
          <w:bCs/>
        </w:rPr>
        <w:t xml:space="preserve">Table </w:t>
      </w:r>
      <w:r>
        <w:rPr>
          <w:rFonts w:ascii="Verdana" w:hAnsi="Verdana" w:cs="Tahoma"/>
          <w:b/>
          <w:bCs/>
        </w:rPr>
        <w:t>7</w:t>
      </w:r>
      <w:r>
        <w:rPr>
          <w:rFonts w:ascii="Verdana" w:hAnsi="Verdana" w:cs="Tahoma"/>
          <w:b/>
          <w:bCs/>
        </w:rPr>
        <w:t>.</w:t>
      </w:r>
      <w:r w:rsidRPr="008051DC">
        <w:rPr>
          <w:rFonts w:ascii="Verdana" w:hAnsi="Verdana" w:cs="Tahoma"/>
          <w:b/>
          <w:bCs/>
        </w:rPr>
        <w:t xml:space="preserve"> </w:t>
      </w:r>
      <w:r>
        <w:rPr>
          <w:rFonts w:ascii="Verdana" w:hAnsi="Verdana" w:cs="Tahoma"/>
          <w:b/>
          <w:bCs/>
        </w:rPr>
        <w:t xml:space="preserve">Cumulated Abnormal Returns different time windows around </w:t>
      </w:r>
      <w:r>
        <w:rPr>
          <w:rFonts w:ascii="Verdana" w:hAnsi="Verdana" w:cs="Tahoma"/>
          <w:b/>
          <w:bCs/>
        </w:rPr>
        <w:t xml:space="preserve">first </w:t>
      </w:r>
      <w:r>
        <w:rPr>
          <w:rFonts w:ascii="Verdana" w:hAnsi="Verdana" w:cs="Tahoma"/>
          <w:b/>
          <w:bCs/>
        </w:rPr>
        <w:t>green bond announcement</w:t>
      </w:r>
      <w:r>
        <w:rPr>
          <w:rFonts w:ascii="Verdana" w:hAnsi="Verdana" w:cs="Tahoma"/>
          <w:b/>
          <w:bCs/>
        </w:rPr>
        <w:t xml:space="preserve"> (N=242)</w:t>
      </w:r>
      <w:r>
        <w:rPr>
          <w:rFonts w:ascii="Verdana" w:hAnsi="Verdana" w:cs="Tahoma"/>
          <w:b/>
          <w:bCs/>
        </w:rPr>
        <w:t>.</w:t>
      </w:r>
    </w:p>
    <w:p w14:paraId="6286DF50" w14:textId="6B31FE17" w:rsidR="00B4251D" w:rsidRDefault="00B4251D" w:rsidP="00790A5F">
      <w:pPr>
        <w:autoSpaceDE w:val="0"/>
        <w:autoSpaceDN w:val="0"/>
        <w:adjustRightInd w:val="0"/>
        <w:spacing w:after="0" w:line="480" w:lineRule="auto"/>
        <w:rPr>
          <w:rFonts w:ascii="Verdana" w:eastAsia="TimesNewRomanPSMT" w:hAnsi="Verdana" w:cs="TimesNewRomanPSMT"/>
          <w:color w:val="000000"/>
          <w:sz w:val="24"/>
          <w:szCs w:val="24"/>
        </w:rPr>
      </w:pPr>
    </w:p>
    <w:tbl>
      <w:tblPr>
        <w:tblStyle w:val="TableGrid"/>
        <w:tblW w:w="0" w:type="auto"/>
        <w:jc w:val="center"/>
        <w:tblLook w:val="04A0" w:firstRow="1" w:lastRow="0" w:firstColumn="1" w:lastColumn="0" w:noHBand="0" w:noVBand="1"/>
      </w:tblPr>
      <w:tblGrid>
        <w:gridCol w:w="1795"/>
        <w:gridCol w:w="1219"/>
        <w:gridCol w:w="1391"/>
      </w:tblGrid>
      <w:tr w:rsidR="00B4251D" w:rsidRPr="00B4251D" w14:paraId="19D02740" w14:textId="77777777" w:rsidTr="00B6711B">
        <w:trPr>
          <w:trHeight w:val="300"/>
          <w:jc w:val="center"/>
        </w:trPr>
        <w:tc>
          <w:tcPr>
            <w:tcW w:w="1795" w:type="dxa"/>
            <w:noWrap/>
            <w:hideMark/>
          </w:tcPr>
          <w:p w14:paraId="4805CF52" w14:textId="77777777" w:rsidR="00B4251D" w:rsidRPr="00B4251D" w:rsidRDefault="00B4251D" w:rsidP="00790A5F">
            <w:pPr>
              <w:autoSpaceDE w:val="0"/>
              <w:autoSpaceDN w:val="0"/>
              <w:adjustRightInd w:val="0"/>
              <w:spacing w:line="480" w:lineRule="auto"/>
              <w:rPr>
                <w:rFonts w:ascii="Verdana" w:eastAsia="TimesNewRomanPSMT" w:hAnsi="Verdana" w:cs="TimesNewRomanPSMT"/>
                <w:b/>
                <w:bCs/>
                <w:color w:val="000000"/>
                <w:sz w:val="24"/>
                <w:szCs w:val="24"/>
              </w:rPr>
            </w:pPr>
            <w:r w:rsidRPr="00B4251D">
              <w:rPr>
                <w:rFonts w:ascii="Verdana" w:eastAsia="TimesNewRomanPSMT" w:hAnsi="Verdana" w:cs="TimesNewRomanPSMT"/>
                <w:b/>
                <w:bCs/>
                <w:color w:val="000000"/>
                <w:sz w:val="24"/>
                <w:szCs w:val="24"/>
              </w:rPr>
              <w:t>Event time</w:t>
            </w:r>
          </w:p>
        </w:tc>
        <w:tc>
          <w:tcPr>
            <w:tcW w:w="1219" w:type="dxa"/>
            <w:noWrap/>
            <w:hideMark/>
          </w:tcPr>
          <w:p w14:paraId="21EF67CA" w14:textId="77777777" w:rsidR="00B4251D" w:rsidRPr="00B4251D" w:rsidRDefault="00B4251D" w:rsidP="00790A5F">
            <w:pPr>
              <w:autoSpaceDE w:val="0"/>
              <w:autoSpaceDN w:val="0"/>
              <w:adjustRightInd w:val="0"/>
              <w:spacing w:line="480" w:lineRule="auto"/>
              <w:rPr>
                <w:rFonts w:ascii="Verdana" w:eastAsia="TimesNewRomanPSMT" w:hAnsi="Verdana" w:cs="TimesNewRomanPSMT"/>
                <w:b/>
                <w:bCs/>
                <w:color w:val="000000"/>
                <w:sz w:val="24"/>
                <w:szCs w:val="24"/>
              </w:rPr>
            </w:pPr>
            <w:r w:rsidRPr="00B4251D">
              <w:rPr>
                <w:rFonts w:ascii="Verdana" w:eastAsia="TimesNewRomanPSMT" w:hAnsi="Verdana" w:cs="TimesNewRomanPSMT"/>
                <w:b/>
                <w:bCs/>
                <w:color w:val="000000"/>
                <w:sz w:val="24"/>
                <w:szCs w:val="24"/>
              </w:rPr>
              <w:t>CAR</w:t>
            </w:r>
          </w:p>
        </w:tc>
        <w:tc>
          <w:tcPr>
            <w:tcW w:w="1391" w:type="dxa"/>
            <w:noWrap/>
            <w:hideMark/>
          </w:tcPr>
          <w:p w14:paraId="786D728B" w14:textId="77777777" w:rsidR="00B4251D" w:rsidRPr="00B4251D" w:rsidRDefault="00B4251D" w:rsidP="00790A5F">
            <w:pPr>
              <w:autoSpaceDE w:val="0"/>
              <w:autoSpaceDN w:val="0"/>
              <w:adjustRightInd w:val="0"/>
              <w:spacing w:line="480" w:lineRule="auto"/>
              <w:rPr>
                <w:rFonts w:ascii="Verdana" w:eastAsia="TimesNewRomanPSMT" w:hAnsi="Verdana" w:cs="TimesNewRomanPSMT"/>
                <w:b/>
                <w:bCs/>
                <w:color w:val="000000"/>
                <w:sz w:val="24"/>
                <w:szCs w:val="24"/>
              </w:rPr>
            </w:pPr>
            <w:r w:rsidRPr="00B4251D">
              <w:rPr>
                <w:rFonts w:ascii="Verdana" w:eastAsia="TimesNewRomanPSMT" w:hAnsi="Verdana" w:cs="TimesNewRomanPSMT"/>
                <w:b/>
                <w:bCs/>
                <w:color w:val="000000"/>
                <w:sz w:val="24"/>
                <w:szCs w:val="24"/>
              </w:rPr>
              <w:t>Std. Err.</w:t>
            </w:r>
          </w:p>
        </w:tc>
      </w:tr>
      <w:tr w:rsidR="00B4251D" w:rsidRPr="00B4251D" w14:paraId="6062D1BE" w14:textId="77777777" w:rsidTr="00B6711B">
        <w:trPr>
          <w:trHeight w:val="300"/>
          <w:jc w:val="center"/>
        </w:trPr>
        <w:tc>
          <w:tcPr>
            <w:tcW w:w="1795" w:type="dxa"/>
            <w:noWrap/>
            <w:hideMark/>
          </w:tcPr>
          <w:p w14:paraId="617E7354" w14:textId="77777777" w:rsidR="00B4251D" w:rsidRPr="00B4251D" w:rsidRDefault="00B4251D" w:rsidP="00790A5F">
            <w:pPr>
              <w:autoSpaceDE w:val="0"/>
              <w:autoSpaceDN w:val="0"/>
              <w:adjustRightInd w:val="0"/>
              <w:spacing w:line="480" w:lineRule="auto"/>
              <w:rPr>
                <w:rFonts w:ascii="Verdana" w:eastAsia="TimesNewRomanPSMT" w:hAnsi="Verdana" w:cs="TimesNewRomanPSMT"/>
                <w:b/>
                <w:bCs/>
                <w:color w:val="000000"/>
                <w:sz w:val="24"/>
                <w:szCs w:val="24"/>
              </w:rPr>
            </w:pPr>
            <w:r w:rsidRPr="00B4251D">
              <w:rPr>
                <w:rFonts w:ascii="Verdana" w:eastAsia="TimesNewRomanPSMT" w:hAnsi="Verdana" w:cs="TimesNewRomanPSMT"/>
                <w:b/>
                <w:bCs/>
                <w:color w:val="000000"/>
                <w:sz w:val="24"/>
                <w:szCs w:val="24"/>
              </w:rPr>
              <w:t>[-20, -11]</w:t>
            </w:r>
          </w:p>
        </w:tc>
        <w:tc>
          <w:tcPr>
            <w:tcW w:w="1219" w:type="dxa"/>
            <w:noWrap/>
            <w:hideMark/>
          </w:tcPr>
          <w:p w14:paraId="4B1B3661" w14:textId="77777777" w:rsidR="00B4251D" w:rsidRPr="00B4251D" w:rsidRDefault="00B4251D" w:rsidP="00790A5F">
            <w:pPr>
              <w:autoSpaceDE w:val="0"/>
              <w:autoSpaceDN w:val="0"/>
              <w:adjustRightInd w:val="0"/>
              <w:spacing w:line="480" w:lineRule="auto"/>
              <w:rPr>
                <w:rFonts w:ascii="Verdana" w:eastAsia="TimesNewRomanPSMT" w:hAnsi="Verdana" w:cs="TimesNewRomanPSMT"/>
                <w:color w:val="000000"/>
                <w:sz w:val="24"/>
                <w:szCs w:val="24"/>
              </w:rPr>
            </w:pPr>
            <w:r w:rsidRPr="00B4251D">
              <w:rPr>
                <w:rFonts w:ascii="Verdana" w:eastAsia="TimesNewRomanPSMT" w:hAnsi="Verdana" w:cs="TimesNewRomanPSMT"/>
                <w:color w:val="000000"/>
                <w:sz w:val="24"/>
                <w:szCs w:val="24"/>
              </w:rPr>
              <w:t>0.701**</w:t>
            </w:r>
          </w:p>
        </w:tc>
        <w:tc>
          <w:tcPr>
            <w:tcW w:w="1391" w:type="dxa"/>
            <w:noWrap/>
            <w:hideMark/>
          </w:tcPr>
          <w:p w14:paraId="6E021169" w14:textId="77777777" w:rsidR="00B4251D" w:rsidRPr="00B4251D" w:rsidRDefault="00B4251D" w:rsidP="00790A5F">
            <w:pPr>
              <w:autoSpaceDE w:val="0"/>
              <w:autoSpaceDN w:val="0"/>
              <w:adjustRightInd w:val="0"/>
              <w:spacing w:line="480" w:lineRule="auto"/>
              <w:rPr>
                <w:rFonts w:ascii="Verdana" w:eastAsia="TimesNewRomanPSMT" w:hAnsi="Verdana" w:cs="TimesNewRomanPSMT"/>
                <w:color w:val="000000"/>
                <w:sz w:val="24"/>
                <w:szCs w:val="24"/>
              </w:rPr>
            </w:pPr>
            <w:r w:rsidRPr="00B4251D">
              <w:rPr>
                <w:rFonts w:ascii="Verdana" w:eastAsia="TimesNewRomanPSMT" w:hAnsi="Verdana" w:cs="TimesNewRomanPSMT"/>
                <w:color w:val="000000"/>
                <w:sz w:val="24"/>
                <w:szCs w:val="24"/>
              </w:rPr>
              <w:t>0.287</w:t>
            </w:r>
          </w:p>
        </w:tc>
      </w:tr>
      <w:tr w:rsidR="00B4251D" w:rsidRPr="00B4251D" w14:paraId="24AE9E20" w14:textId="77777777" w:rsidTr="00B6711B">
        <w:trPr>
          <w:trHeight w:val="300"/>
          <w:jc w:val="center"/>
        </w:trPr>
        <w:tc>
          <w:tcPr>
            <w:tcW w:w="1795" w:type="dxa"/>
            <w:noWrap/>
            <w:hideMark/>
          </w:tcPr>
          <w:p w14:paraId="4A1555BE" w14:textId="77777777" w:rsidR="00B4251D" w:rsidRPr="00B4251D" w:rsidRDefault="00B4251D" w:rsidP="00790A5F">
            <w:pPr>
              <w:autoSpaceDE w:val="0"/>
              <w:autoSpaceDN w:val="0"/>
              <w:adjustRightInd w:val="0"/>
              <w:spacing w:line="480" w:lineRule="auto"/>
              <w:rPr>
                <w:rFonts w:ascii="Verdana" w:eastAsia="TimesNewRomanPSMT" w:hAnsi="Verdana" w:cs="TimesNewRomanPSMT"/>
                <w:b/>
                <w:bCs/>
                <w:color w:val="000000"/>
                <w:sz w:val="24"/>
                <w:szCs w:val="24"/>
              </w:rPr>
            </w:pPr>
            <w:r w:rsidRPr="00B4251D">
              <w:rPr>
                <w:rFonts w:ascii="Verdana" w:eastAsia="TimesNewRomanPSMT" w:hAnsi="Verdana" w:cs="TimesNewRomanPSMT"/>
                <w:b/>
                <w:bCs/>
                <w:color w:val="000000"/>
                <w:sz w:val="24"/>
                <w:szCs w:val="24"/>
              </w:rPr>
              <w:t>[-10, -6]</w:t>
            </w:r>
          </w:p>
        </w:tc>
        <w:tc>
          <w:tcPr>
            <w:tcW w:w="1219" w:type="dxa"/>
            <w:noWrap/>
            <w:hideMark/>
          </w:tcPr>
          <w:p w14:paraId="2F872D32" w14:textId="77777777" w:rsidR="00B4251D" w:rsidRPr="00B4251D" w:rsidRDefault="00B4251D" w:rsidP="00790A5F">
            <w:pPr>
              <w:autoSpaceDE w:val="0"/>
              <w:autoSpaceDN w:val="0"/>
              <w:adjustRightInd w:val="0"/>
              <w:spacing w:line="480" w:lineRule="auto"/>
              <w:rPr>
                <w:rFonts w:ascii="Verdana" w:eastAsia="TimesNewRomanPSMT" w:hAnsi="Verdana" w:cs="TimesNewRomanPSMT"/>
                <w:color w:val="000000"/>
                <w:sz w:val="24"/>
                <w:szCs w:val="24"/>
              </w:rPr>
            </w:pPr>
            <w:r w:rsidRPr="00B4251D">
              <w:rPr>
                <w:rFonts w:ascii="Verdana" w:eastAsia="TimesNewRomanPSMT" w:hAnsi="Verdana" w:cs="TimesNewRomanPSMT"/>
                <w:color w:val="000000"/>
                <w:sz w:val="24"/>
                <w:szCs w:val="24"/>
              </w:rPr>
              <w:t>-0.077</w:t>
            </w:r>
          </w:p>
        </w:tc>
        <w:tc>
          <w:tcPr>
            <w:tcW w:w="1391" w:type="dxa"/>
            <w:noWrap/>
            <w:hideMark/>
          </w:tcPr>
          <w:p w14:paraId="6FDDA277" w14:textId="77777777" w:rsidR="00B4251D" w:rsidRPr="00B4251D" w:rsidRDefault="00B4251D" w:rsidP="00790A5F">
            <w:pPr>
              <w:autoSpaceDE w:val="0"/>
              <w:autoSpaceDN w:val="0"/>
              <w:adjustRightInd w:val="0"/>
              <w:spacing w:line="480" w:lineRule="auto"/>
              <w:rPr>
                <w:rFonts w:ascii="Verdana" w:eastAsia="TimesNewRomanPSMT" w:hAnsi="Verdana" w:cs="TimesNewRomanPSMT"/>
                <w:color w:val="000000"/>
                <w:sz w:val="24"/>
                <w:szCs w:val="24"/>
              </w:rPr>
            </w:pPr>
            <w:r w:rsidRPr="00B4251D">
              <w:rPr>
                <w:rFonts w:ascii="Verdana" w:eastAsia="TimesNewRomanPSMT" w:hAnsi="Verdana" w:cs="TimesNewRomanPSMT"/>
                <w:color w:val="000000"/>
                <w:sz w:val="24"/>
                <w:szCs w:val="24"/>
              </w:rPr>
              <w:t>0.172</w:t>
            </w:r>
          </w:p>
        </w:tc>
      </w:tr>
      <w:tr w:rsidR="00B4251D" w:rsidRPr="00B4251D" w14:paraId="6DC4DB14" w14:textId="77777777" w:rsidTr="00B6711B">
        <w:trPr>
          <w:trHeight w:val="300"/>
          <w:jc w:val="center"/>
        </w:trPr>
        <w:tc>
          <w:tcPr>
            <w:tcW w:w="1795" w:type="dxa"/>
            <w:noWrap/>
            <w:hideMark/>
          </w:tcPr>
          <w:p w14:paraId="59F504DE" w14:textId="77777777" w:rsidR="00B4251D" w:rsidRPr="00B4251D" w:rsidRDefault="00B4251D" w:rsidP="00790A5F">
            <w:pPr>
              <w:autoSpaceDE w:val="0"/>
              <w:autoSpaceDN w:val="0"/>
              <w:adjustRightInd w:val="0"/>
              <w:spacing w:line="480" w:lineRule="auto"/>
              <w:rPr>
                <w:rFonts w:ascii="Verdana" w:eastAsia="TimesNewRomanPSMT" w:hAnsi="Verdana" w:cs="TimesNewRomanPSMT"/>
                <w:b/>
                <w:bCs/>
                <w:color w:val="000000"/>
                <w:sz w:val="24"/>
                <w:szCs w:val="24"/>
              </w:rPr>
            </w:pPr>
            <w:r w:rsidRPr="00B4251D">
              <w:rPr>
                <w:rFonts w:ascii="Verdana" w:eastAsia="TimesNewRomanPSMT" w:hAnsi="Verdana" w:cs="TimesNewRomanPSMT"/>
                <w:b/>
                <w:bCs/>
                <w:color w:val="000000"/>
                <w:sz w:val="24"/>
                <w:szCs w:val="24"/>
              </w:rPr>
              <w:t>[-5, 10]</w:t>
            </w:r>
          </w:p>
        </w:tc>
        <w:tc>
          <w:tcPr>
            <w:tcW w:w="1219" w:type="dxa"/>
            <w:noWrap/>
            <w:hideMark/>
          </w:tcPr>
          <w:p w14:paraId="27C8B149" w14:textId="77777777" w:rsidR="00B4251D" w:rsidRPr="00B4251D" w:rsidRDefault="00B4251D" w:rsidP="00790A5F">
            <w:pPr>
              <w:autoSpaceDE w:val="0"/>
              <w:autoSpaceDN w:val="0"/>
              <w:adjustRightInd w:val="0"/>
              <w:spacing w:line="480" w:lineRule="auto"/>
              <w:rPr>
                <w:rFonts w:ascii="Verdana" w:eastAsia="TimesNewRomanPSMT" w:hAnsi="Verdana" w:cs="TimesNewRomanPSMT"/>
                <w:color w:val="000000"/>
                <w:sz w:val="24"/>
                <w:szCs w:val="24"/>
              </w:rPr>
            </w:pPr>
            <w:r w:rsidRPr="00B4251D">
              <w:rPr>
                <w:rFonts w:ascii="Verdana" w:eastAsia="TimesNewRomanPSMT" w:hAnsi="Verdana" w:cs="TimesNewRomanPSMT"/>
                <w:color w:val="000000"/>
                <w:sz w:val="24"/>
                <w:szCs w:val="24"/>
              </w:rPr>
              <w:t>0.065</w:t>
            </w:r>
          </w:p>
        </w:tc>
        <w:tc>
          <w:tcPr>
            <w:tcW w:w="1391" w:type="dxa"/>
            <w:noWrap/>
            <w:hideMark/>
          </w:tcPr>
          <w:p w14:paraId="594601EE" w14:textId="77777777" w:rsidR="00B4251D" w:rsidRPr="00B4251D" w:rsidRDefault="00B4251D" w:rsidP="00790A5F">
            <w:pPr>
              <w:autoSpaceDE w:val="0"/>
              <w:autoSpaceDN w:val="0"/>
              <w:adjustRightInd w:val="0"/>
              <w:spacing w:line="480" w:lineRule="auto"/>
              <w:rPr>
                <w:rFonts w:ascii="Verdana" w:eastAsia="TimesNewRomanPSMT" w:hAnsi="Verdana" w:cs="TimesNewRomanPSMT"/>
                <w:color w:val="000000"/>
                <w:sz w:val="24"/>
                <w:szCs w:val="24"/>
              </w:rPr>
            </w:pPr>
            <w:r w:rsidRPr="00B4251D">
              <w:rPr>
                <w:rFonts w:ascii="Verdana" w:eastAsia="TimesNewRomanPSMT" w:hAnsi="Verdana" w:cs="TimesNewRomanPSMT"/>
                <w:color w:val="000000"/>
                <w:sz w:val="24"/>
                <w:szCs w:val="24"/>
              </w:rPr>
              <w:t>0.37</w:t>
            </w:r>
          </w:p>
        </w:tc>
      </w:tr>
      <w:tr w:rsidR="00B4251D" w:rsidRPr="00B4251D" w14:paraId="44F6CFD3" w14:textId="77777777" w:rsidTr="00B6711B">
        <w:trPr>
          <w:trHeight w:val="300"/>
          <w:jc w:val="center"/>
        </w:trPr>
        <w:tc>
          <w:tcPr>
            <w:tcW w:w="1795" w:type="dxa"/>
            <w:noWrap/>
            <w:hideMark/>
          </w:tcPr>
          <w:p w14:paraId="34158361" w14:textId="77777777" w:rsidR="00B4251D" w:rsidRPr="00B4251D" w:rsidRDefault="00B4251D" w:rsidP="00790A5F">
            <w:pPr>
              <w:autoSpaceDE w:val="0"/>
              <w:autoSpaceDN w:val="0"/>
              <w:adjustRightInd w:val="0"/>
              <w:spacing w:line="480" w:lineRule="auto"/>
              <w:rPr>
                <w:rFonts w:ascii="Verdana" w:eastAsia="TimesNewRomanPSMT" w:hAnsi="Verdana" w:cs="TimesNewRomanPSMT"/>
                <w:b/>
                <w:bCs/>
                <w:color w:val="000000"/>
                <w:sz w:val="24"/>
                <w:szCs w:val="24"/>
              </w:rPr>
            </w:pPr>
            <w:r w:rsidRPr="00B4251D">
              <w:rPr>
                <w:rFonts w:ascii="Verdana" w:eastAsia="TimesNewRomanPSMT" w:hAnsi="Verdana" w:cs="TimesNewRomanPSMT"/>
                <w:b/>
                <w:bCs/>
                <w:color w:val="000000"/>
                <w:sz w:val="24"/>
                <w:szCs w:val="24"/>
              </w:rPr>
              <w:t>[11, 20]</w:t>
            </w:r>
          </w:p>
        </w:tc>
        <w:tc>
          <w:tcPr>
            <w:tcW w:w="1219" w:type="dxa"/>
            <w:noWrap/>
            <w:hideMark/>
          </w:tcPr>
          <w:p w14:paraId="385DF67B" w14:textId="77777777" w:rsidR="00B4251D" w:rsidRPr="00B4251D" w:rsidRDefault="00B4251D" w:rsidP="00790A5F">
            <w:pPr>
              <w:autoSpaceDE w:val="0"/>
              <w:autoSpaceDN w:val="0"/>
              <w:adjustRightInd w:val="0"/>
              <w:spacing w:line="480" w:lineRule="auto"/>
              <w:rPr>
                <w:rFonts w:ascii="Verdana" w:eastAsia="TimesNewRomanPSMT" w:hAnsi="Verdana" w:cs="TimesNewRomanPSMT"/>
                <w:color w:val="000000"/>
                <w:sz w:val="24"/>
                <w:szCs w:val="24"/>
              </w:rPr>
            </w:pPr>
            <w:r w:rsidRPr="00B4251D">
              <w:rPr>
                <w:rFonts w:ascii="Verdana" w:eastAsia="TimesNewRomanPSMT" w:hAnsi="Verdana" w:cs="TimesNewRomanPSMT"/>
                <w:color w:val="000000"/>
                <w:sz w:val="24"/>
                <w:szCs w:val="24"/>
              </w:rPr>
              <w:t>0.162</w:t>
            </w:r>
          </w:p>
        </w:tc>
        <w:tc>
          <w:tcPr>
            <w:tcW w:w="1391" w:type="dxa"/>
            <w:noWrap/>
            <w:hideMark/>
          </w:tcPr>
          <w:p w14:paraId="07C5A926" w14:textId="77777777" w:rsidR="00B4251D" w:rsidRPr="00B4251D" w:rsidRDefault="00B4251D" w:rsidP="00790A5F">
            <w:pPr>
              <w:autoSpaceDE w:val="0"/>
              <w:autoSpaceDN w:val="0"/>
              <w:adjustRightInd w:val="0"/>
              <w:spacing w:line="480" w:lineRule="auto"/>
              <w:rPr>
                <w:rFonts w:ascii="Verdana" w:eastAsia="TimesNewRomanPSMT" w:hAnsi="Verdana" w:cs="TimesNewRomanPSMT"/>
                <w:color w:val="000000"/>
                <w:sz w:val="24"/>
                <w:szCs w:val="24"/>
              </w:rPr>
            </w:pPr>
            <w:r w:rsidRPr="00B4251D">
              <w:rPr>
                <w:rFonts w:ascii="Verdana" w:eastAsia="TimesNewRomanPSMT" w:hAnsi="Verdana" w:cs="TimesNewRomanPSMT"/>
                <w:color w:val="000000"/>
                <w:sz w:val="24"/>
                <w:szCs w:val="24"/>
              </w:rPr>
              <w:t>0.252</w:t>
            </w:r>
          </w:p>
        </w:tc>
      </w:tr>
      <w:tr w:rsidR="00B4251D" w:rsidRPr="00B4251D" w14:paraId="50B0ACC9" w14:textId="77777777" w:rsidTr="00B6711B">
        <w:trPr>
          <w:trHeight w:val="300"/>
          <w:jc w:val="center"/>
        </w:trPr>
        <w:tc>
          <w:tcPr>
            <w:tcW w:w="1795" w:type="dxa"/>
            <w:noWrap/>
            <w:hideMark/>
          </w:tcPr>
          <w:p w14:paraId="4B8FB442" w14:textId="77777777" w:rsidR="00B4251D" w:rsidRPr="00B4251D" w:rsidRDefault="00B4251D" w:rsidP="00790A5F">
            <w:pPr>
              <w:autoSpaceDE w:val="0"/>
              <w:autoSpaceDN w:val="0"/>
              <w:adjustRightInd w:val="0"/>
              <w:spacing w:line="480" w:lineRule="auto"/>
              <w:rPr>
                <w:rFonts w:ascii="Verdana" w:eastAsia="TimesNewRomanPSMT" w:hAnsi="Verdana" w:cs="TimesNewRomanPSMT"/>
                <w:b/>
                <w:bCs/>
                <w:color w:val="000000"/>
                <w:sz w:val="24"/>
                <w:szCs w:val="24"/>
              </w:rPr>
            </w:pPr>
            <w:r w:rsidRPr="00B4251D">
              <w:rPr>
                <w:rFonts w:ascii="Verdana" w:eastAsia="TimesNewRomanPSMT" w:hAnsi="Verdana" w:cs="TimesNewRomanPSMT"/>
                <w:b/>
                <w:bCs/>
                <w:color w:val="000000"/>
                <w:sz w:val="24"/>
                <w:szCs w:val="24"/>
              </w:rPr>
              <w:t>[21, 60]</w:t>
            </w:r>
          </w:p>
        </w:tc>
        <w:tc>
          <w:tcPr>
            <w:tcW w:w="1219" w:type="dxa"/>
            <w:noWrap/>
            <w:hideMark/>
          </w:tcPr>
          <w:p w14:paraId="63032350" w14:textId="77777777" w:rsidR="00B4251D" w:rsidRPr="00B4251D" w:rsidRDefault="00B4251D" w:rsidP="00790A5F">
            <w:pPr>
              <w:autoSpaceDE w:val="0"/>
              <w:autoSpaceDN w:val="0"/>
              <w:adjustRightInd w:val="0"/>
              <w:spacing w:line="480" w:lineRule="auto"/>
              <w:rPr>
                <w:rFonts w:ascii="Verdana" w:eastAsia="TimesNewRomanPSMT" w:hAnsi="Verdana" w:cs="TimesNewRomanPSMT"/>
                <w:color w:val="000000"/>
                <w:sz w:val="24"/>
                <w:szCs w:val="24"/>
              </w:rPr>
            </w:pPr>
            <w:r w:rsidRPr="00B4251D">
              <w:rPr>
                <w:rFonts w:ascii="Verdana" w:eastAsia="TimesNewRomanPSMT" w:hAnsi="Verdana" w:cs="TimesNewRomanPSMT"/>
                <w:color w:val="000000"/>
                <w:sz w:val="24"/>
                <w:szCs w:val="24"/>
              </w:rPr>
              <w:t>0.081</w:t>
            </w:r>
          </w:p>
        </w:tc>
        <w:tc>
          <w:tcPr>
            <w:tcW w:w="1391" w:type="dxa"/>
            <w:noWrap/>
            <w:hideMark/>
          </w:tcPr>
          <w:p w14:paraId="0A6E9E04" w14:textId="77777777" w:rsidR="00B4251D" w:rsidRPr="00B4251D" w:rsidRDefault="00B4251D" w:rsidP="00790A5F">
            <w:pPr>
              <w:autoSpaceDE w:val="0"/>
              <w:autoSpaceDN w:val="0"/>
              <w:adjustRightInd w:val="0"/>
              <w:spacing w:line="480" w:lineRule="auto"/>
              <w:rPr>
                <w:rFonts w:ascii="Verdana" w:eastAsia="TimesNewRomanPSMT" w:hAnsi="Verdana" w:cs="TimesNewRomanPSMT"/>
                <w:color w:val="000000"/>
                <w:sz w:val="24"/>
                <w:szCs w:val="24"/>
              </w:rPr>
            </w:pPr>
            <w:r w:rsidRPr="00B4251D">
              <w:rPr>
                <w:rFonts w:ascii="Verdana" w:eastAsia="TimesNewRomanPSMT" w:hAnsi="Verdana" w:cs="TimesNewRomanPSMT"/>
                <w:color w:val="000000"/>
                <w:sz w:val="24"/>
                <w:szCs w:val="24"/>
              </w:rPr>
              <w:t>0.814</w:t>
            </w:r>
          </w:p>
        </w:tc>
      </w:tr>
    </w:tbl>
    <w:p w14:paraId="77EDA61F" w14:textId="624845D9" w:rsidR="00B4251D" w:rsidRDefault="00B4251D" w:rsidP="00790A5F">
      <w:pPr>
        <w:autoSpaceDE w:val="0"/>
        <w:autoSpaceDN w:val="0"/>
        <w:adjustRightInd w:val="0"/>
        <w:spacing w:after="0" w:line="480" w:lineRule="auto"/>
        <w:rPr>
          <w:rFonts w:ascii="Verdana" w:eastAsia="TimesNewRomanPSMT" w:hAnsi="Verdana" w:cs="TimesNewRomanPSMT"/>
          <w:color w:val="000000"/>
          <w:sz w:val="24"/>
          <w:szCs w:val="24"/>
        </w:rPr>
      </w:pPr>
    </w:p>
    <w:p w14:paraId="09AC7CDD" w14:textId="393ED465" w:rsidR="00B6711B" w:rsidRDefault="00B6711B" w:rsidP="00790A5F">
      <w:pPr>
        <w:autoSpaceDE w:val="0"/>
        <w:autoSpaceDN w:val="0"/>
        <w:adjustRightInd w:val="0"/>
        <w:spacing w:after="0" w:line="480" w:lineRule="auto"/>
        <w:rPr>
          <w:rFonts w:ascii="Verdana" w:eastAsia="TimesNewRomanPSMT" w:hAnsi="Verdana" w:cs="TimesNewRomanPSMT"/>
          <w:color w:val="000000"/>
          <w:sz w:val="24"/>
          <w:szCs w:val="24"/>
        </w:rPr>
      </w:pPr>
    </w:p>
    <w:p w14:paraId="3A6703AE" w14:textId="69D9904F" w:rsidR="00B6711B" w:rsidRDefault="00B6711B" w:rsidP="00790A5F">
      <w:pPr>
        <w:autoSpaceDE w:val="0"/>
        <w:autoSpaceDN w:val="0"/>
        <w:adjustRightInd w:val="0"/>
        <w:spacing w:after="0" w:line="480" w:lineRule="auto"/>
        <w:rPr>
          <w:rFonts w:ascii="Verdana" w:eastAsia="TimesNewRomanPSMT" w:hAnsi="Verdana" w:cs="TimesNewRomanPSMT"/>
          <w:color w:val="000000"/>
          <w:sz w:val="24"/>
          <w:szCs w:val="24"/>
        </w:rPr>
      </w:pPr>
      <w:r>
        <w:rPr>
          <w:rFonts w:ascii="Verdana" w:eastAsia="TimesNewRomanPSMT" w:hAnsi="Verdana" w:cs="TimesNewRomanPSMT"/>
          <w:color w:val="000000"/>
          <w:sz w:val="24"/>
          <w:szCs w:val="24"/>
        </w:rPr>
        <w:t xml:space="preserve">For seasoned green bond issuers, Flammer (2020) finds no statistically significant response from financial markets. </w:t>
      </w:r>
      <w:r w:rsidR="00617571">
        <w:rPr>
          <w:rFonts w:ascii="Verdana" w:eastAsia="TimesNewRomanPSMT" w:hAnsi="Verdana" w:cs="TimesNewRomanPSMT"/>
          <w:color w:val="000000"/>
          <w:sz w:val="24"/>
          <w:szCs w:val="24"/>
        </w:rPr>
        <w:t>I do instead find a much stronger response for the [-5, 10] time window that is significant to the 1% value.</w:t>
      </w:r>
    </w:p>
    <w:p w14:paraId="5A8215E4" w14:textId="4B8EBAF2" w:rsidR="00617571" w:rsidRDefault="00617571" w:rsidP="00790A5F">
      <w:pPr>
        <w:autoSpaceDE w:val="0"/>
        <w:autoSpaceDN w:val="0"/>
        <w:adjustRightInd w:val="0"/>
        <w:spacing w:after="0" w:line="480" w:lineRule="auto"/>
        <w:rPr>
          <w:rFonts w:ascii="Verdana" w:eastAsia="TimesNewRomanPSMT" w:hAnsi="Verdana" w:cs="TimesNewRomanPSMT"/>
          <w:color w:val="000000"/>
          <w:sz w:val="24"/>
          <w:szCs w:val="24"/>
        </w:rPr>
      </w:pPr>
    </w:p>
    <w:p w14:paraId="40D65816" w14:textId="3DC3C7B7" w:rsidR="00617571" w:rsidRPr="00B6711B" w:rsidRDefault="00617571" w:rsidP="00790A5F">
      <w:pPr>
        <w:autoSpaceDE w:val="0"/>
        <w:autoSpaceDN w:val="0"/>
        <w:adjustRightInd w:val="0"/>
        <w:spacing w:after="0" w:line="480" w:lineRule="auto"/>
        <w:rPr>
          <w:rFonts w:ascii="Verdana" w:hAnsi="Verdana" w:cs="Tahoma"/>
          <w:b/>
          <w:bCs/>
        </w:rPr>
      </w:pPr>
      <w:r w:rsidRPr="008051DC">
        <w:rPr>
          <w:rFonts w:ascii="Verdana" w:hAnsi="Verdana" w:cs="Tahoma"/>
          <w:b/>
          <w:bCs/>
        </w:rPr>
        <w:t xml:space="preserve">Table </w:t>
      </w:r>
      <w:r>
        <w:rPr>
          <w:rFonts w:ascii="Verdana" w:hAnsi="Verdana" w:cs="Tahoma"/>
          <w:b/>
          <w:bCs/>
        </w:rPr>
        <w:t>8</w:t>
      </w:r>
      <w:r>
        <w:rPr>
          <w:rFonts w:ascii="Verdana" w:hAnsi="Verdana" w:cs="Tahoma"/>
          <w:b/>
          <w:bCs/>
        </w:rPr>
        <w:t>.</w:t>
      </w:r>
      <w:r w:rsidRPr="008051DC">
        <w:rPr>
          <w:rFonts w:ascii="Verdana" w:hAnsi="Verdana" w:cs="Tahoma"/>
          <w:b/>
          <w:bCs/>
        </w:rPr>
        <w:t xml:space="preserve"> </w:t>
      </w:r>
      <w:r>
        <w:rPr>
          <w:rFonts w:ascii="Verdana" w:hAnsi="Verdana" w:cs="Tahoma"/>
          <w:b/>
          <w:bCs/>
        </w:rPr>
        <w:t xml:space="preserve">Cumulated Abnormal Returns different time windows around </w:t>
      </w:r>
      <w:r>
        <w:rPr>
          <w:rFonts w:ascii="Verdana" w:hAnsi="Verdana" w:cs="Tahoma"/>
          <w:b/>
          <w:bCs/>
        </w:rPr>
        <w:t>non-first green</w:t>
      </w:r>
      <w:r>
        <w:rPr>
          <w:rFonts w:ascii="Verdana" w:hAnsi="Verdana" w:cs="Tahoma"/>
          <w:b/>
          <w:bCs/>
        </w:rPr>
        <w:t xml:space="preserve"> bond announcement (N=2</w:t>
      </w:r>
      <w:r>
        <w:rPr>
          <w:rFonts w:ascii="Verdana" w:hAnsi="Verdana" w:cs="Tahoma"/>
          <w:b/>
          <w:bCs/>
        </w:rPr>
        <w:t>5</w:t>
      </w:r>
      <w:r>
        <w:rPr>
          <w:rFonts w:ascii="Verdana" w:hAnsi="Verdana" w:cs="Tahoma"/>
          <w:b/>
          <w:bCs/>
        </w:rPr>
        <w:t>2).</w:t>
      </w:r>
    </w:p>
    <w:p w14:paraId="3DA6BE11" w14:textId="77777777" w:rsidR="00617571" w:rsidRDefault="00617571" w:rsidP="00790A5F">
      <w:pPr>
        <w:autoSpaceDE w:val="0"/>
        <w:autoSpaceDN w:val="0"/>
        <w:adjustRightInd w:val="0"/>
        <w:spacing w:after="0" w:line="480" w:lineRule="auto"/>
        <w:rPr>
          <w:rFonts w:ascii="Verdana" w:eastAsia="TimesNewRomanPSMT" w:hAnsi="Verdana" w:cs="TimesNewRomanPSMT"/>
          <w:color w:val="000000"/>
          <w:sz w:val="24"/>
          <w:szCs w:val="24"/>
        </w:rPr>
      </w:pPr>
    </w:p>
    <w:p w14:paraId="0518FAEE" w14:textId="2A5F3389" w:rsidR="00B6711B" w:rsidRDefault="00B6711B" w:rsidP="00790A5F">
      <w:pPr>
        <w:autoSpaceDE w:val="0"/>
        <w:autoSpaceDN w:val="0"/>
        <w:adjustRightInd w:val="0"/>
        <w:spacing w:after="0" w:line="480" w:lineRule="auto"/>
        <w:rPr>
          <w:rFonts w:ascii="Verdana" w:eastAsia="TimesNewRomanPSMT" w:hAnsi="Verdana" w:cs="TimesNewRomanPSMT"/>
          <w:color w:val="000000"/>
          <w:sz w:val="24"/>
          <w:szCs w:val="24"/>
        </w:rPr>
      </w:pPr>
    </w:p>
    <w:tbl>
      <w:tblPr>
        <w:tblStyle w:val="TableGrid"/>
        <w:tblW w:w="0" w:type="auto"/>
        <w:jc w:val="center"/>
        <w:tblLook w:val="04A0" w:firstRow="1" w:lastRow="0" w:firstColumn="1" w:lastColumn="0" w:noHBand="0" w:noVBand="1"/>
      </w:tblPr>
      <w:tblGrid>
        <w:gridCol w:w="2245"/>
        <w:gridCol w:w="1800"/>
        <w:gridCol w:w="1440"/>
      </w:tblGrid>
      <w:tr w:rsidR="00B6711B" w:rsidRPr="00B6711B" w14:paraId="25AA8CF7" w14:textId="77777777" w:rsidTr="00B6711B">
        <w:trPr>
          <w:trHeight w:val="300"/>
          <w:jc w:val="center"/>
        </w:trPr>
        <w:tc>
          <w:tcPr>
            <w:tcW w:w="2245" w:type="dxa"/>
            <w:noWrap/>
            <w:hideMark/>
          </w:tcPr>
          <w:p w14:paraId="5BCB8804" w14:textId="77777777" w:rsidR="00B6711B" w:rsidRPr="00B6711B" w:rsidRDefault="00B6711B" w:rsidP="00790A5F">
            <w:pPr>
              <w:autoSpaceDE w:val="0"/>
              <w:autoSpaceDN w:val="0"/>
              <w:adjustRightInd w:val="0"/>
              <w:spacing w:line="480" w:lineRule="auto"/>
              <w:rPr>
                <w:rFonts w:ascii="Verdana" w:eastAsia="TimesNewRomanPSMT" w:hAnsi="Verdana" w:cs="TimesNewRomanPSMT"/>
                <w:b/>
                <w:bCs/>
                <w:color w:val="000000"/>
                <w:sz w:val="24"/>
                <w:szCs w:val="24"/>
              </w:rPr>
            </w:pPr>
            <w:r w:rsidRPr="00B6711B">
              <w:rPr>
                <w:rFonts w:ascii="Verdana" w:eastAsia="TimesNewRomanPSMT" w:hAnsi="Verdana" w:cs="TimesNewRomanPSMT"/>
                <w:b/>
                <w:bCs/>
                <w:color w:val="000000"/>
                <w:sz w:val="24"/>
                <w:szCs w:val="24"/>
              </w:rPr>
              <w:lastRenderedPageBreak/>
              <w:t>Event time</w:t>
            </w:r>
          </w:p>
        </w:tc>
        <w:tc>
          <w:tcPr>
            <w:tcW w:w="1800" w:type="dxa"/>
            <w:noWrap/>
            <w:hideMark/>
          </w:tcPr>
          <w:p w14:paraId="2A2DDA78" w14:textId="77777777" w:rsidR="00B6711B" w:rsidRPr="00B6711B" w:rsidRDefault="00B6711B" w:rsidP="00790A5F">
            <w:pPr>
              <w:autoSpaceDE w:val="0"/>
              <w:autoSpaceDN w:val="0"/>
              <w:adjustRightInd w:val="0"/>
              <w:spacing w:line="480" w:lineRule="auto"/>
              <w:rPr>
                <w:rFonts w:ascii="Verdana" w:eastAsia="TimesNewRomanPSMT" w:hAnsi="Verdana" w:cs="TimesNewRomanPSMT"/>
                <w:b/>
                <w:bCs/>
                <w:color w:val="000000"/>
                <w:sz w:val="24"/>
                <w:szCs w:val="24"/>
              </w:rPr>
            </w:pPr>
            <w:r w:rsidRPr="00B6711B">
              <w:rPr>
                <w:rFonts w:ascii="Verdana" w:eastAsia="TimesNewRomanPSMT" w:hAnsi="Verdana" w:cs="TimesNewRomanPSMT"/>
                <w:b/>
                <w:bCs/>
                <w:color w:val="000000"/>
                <w:sz w:val="24"/>
                <w:szCs w:val="24"/>
              </w:rPr>
              <w:t>CAR</w:t>
            </w:r>
          </w:p>
        </w:tc>
        <w:tc>
          <w:tcPr>
            <w:tcW w:w="1440" w:type="dxa"/>
            <w:noWrap/>
            <w:hideMark/>
          </w:tcPr>
          <w:p w14:paraId="3C22FF57" w14:textId="77777777" w:rsidR="00B6711B" w:rsidRPr="00B6711B" w:rsidRDefault="00B6711B" w:rsidP="00790A5F">
            <w:pPr>
              <w:autoSpaceDE w:val="0"/>
              <w:autoSpaceDN w:val="0"/>
              <w:adjustRightInd w:val="0"/>
              <w:spacing w:line="480" w:lineRule="auto"/>
              <w:rPr>
                <w:rFonts w:ascii="Verdana" w:eastAsia="TimesNewRomanPSMT" w:hAnsi="Verdana" w:cs="TimesNewRomanPSMT"/>
                <w:b/>
                <w:bCs/>
                <w:color w:val="000000"/>
                <w:sz w:val="24"/>
                <w:szCs w:val="24"/>
              </w:rPr>
            </w:pPr>
            <w:r w:rsidRPr="00B6711B">
              <w:rPr>
                <w:rFonts w:ascii="Verdana" w:eastAsia="TimesNewRomanPSMT" w:hAnsi="Verdana" w:cs="TimesNewRomanPSMT"/>
                <w:b/>
                <w:bCs/>
                <w:color w:val="000000"/>
                <w:sz w:val="24"/>
                <w:szCs w:val="24"/>
              </w:rPr>
              <w:t>Std. Err.</w:t>
            </w:r>
          </w:p>
        </w:tc>
      </w:tr>
      <w:tr w:rsidR="00B6711B" w:rsidRPr="00B6711B" w14:paraId="748D20DE" w14:textId="77777777" w:rsidTr="00B6711B">
        <w:trPr>
          <w:trHeight w:val="300"/>
          <w:jc w:val="center"/>
        </w:trPr>
        <w:tc>
          <w:tcPr>
            <w:tcW w:w="2245" w:type="dxa"/>
            <w:noWrap/>
            <w:hideMark/>
          </w:tcPr>
          <w:p w14:paraId="1AEEA9D6" w14:textId="77777777" w:rsidR="00B6711B" w:rsidRPr="00B6711B" w:rsidRDefault="00B6711B" w:rsidP="00790A5F">
            <w:pPr>
              <w:autoSpaceDE w:val="0"/>
              <w:autoSpaceDN w:val="0"/>
              <w:adjustRightInd w:val="0"/>
              <w:spacing w:line="480" w:lineRule="auto"/>
              <w:rPr>
                <w:rFonts w:ascii="Verdana" w:eastAsia="TimesNewRomanPSMT" w:hAnsi="Verdana" w:cs="TimesNewRomanPSMT"/>
                <w:b/>
                <w:bCs/>
                <w:color w:val="000000"/>
                <w:sz w:val="24"/>
                <w:szCs w:val="24"/>
              </w:rPr>
            </w:pPr>
            <w:r w:rsidRPr="00B6711B">
              <w:rPr>
                <w:rFonts w:ascii="Verdana" w:eastAsia="TimesNewRomanPSMT" w:hAnsi="Verdana" w:cs="TimesNewRomanPSMT"/>
                <w:b/>
                <w:bCs/>
                <w:color w:val="000000"/>
                <w:sz w:val="24"/>
                <w:szCs w:val="24"/>
              </w:rPr>
              <w:t>[-20, -11]</w:t>
            </w:r>
          </w:p>
        </w:tc>
        <w:tc>
          <w:tcPr>
            <w:tcW w:w="1800" w:type="dxa"/>
            <w:noWrap/>
            <w:hideMark/>
          </w:tcPr>
          <w:p w14:paraId="50F642DE" w14:textId="77777777" w:rsidR="00B6711B" w:rsidRPr="00B6711B" w:rsidRDefault="00B6711B" w:rsidP="00790A5F">
            <w:pPr>
              <w:autoSpaceDE w:val="0"/>
              <w:autoSpaceDN w:val="0"/>
              <w:adjustRightInd w:val="0"/>
              <w:spacing w:line="480" w:lineRule="auto"/>
              <w:rPr>
                <w:rFonts w:ascii="Verdana" w:eastAsia="TimesNewRomanPSMT" w:hAnsi="Verdana" w:cs="TimesNewRomanPSMT"/>
                <w:color w:val="000000"/>
                <w:sz w:val="24"/>
                <w:szCs w:val="24"/>
              </w:rPr>
            </w:pPr>
            <w:r w:rsidRPr="00B6711B">
              <w:rPr>
                <w:rFonts w:ascii="Verdana" w:eastAsia="TimesNewRomanPSMT" w:hAnsi="Verdana" w:cs="TimesNewRomanPSMT"/>
                <w:color w:val="000000"/>
                <w:sz w:val="24"/>
                <w:szCs w:val="24"/>
              </w:rPr>
              <w:t>-0.075</w:t>
            </w:r>
          </w:p>
        </w:tc>
        <w:tc>
          <w:tcPr>
            <w:tcW w:w="1440" w:type="dxa"/>
            <w:noWrap/>
            <w:hideMark/>
          </w:tcPr>
          <w:p w14:paraId="12702D78" w14:textId="77777777" w:rsidR="00B6711B" w:rsidRPr="00B6711B" w:rsidRDefault="00B6711B" w:rsidP="00790A5F">
            <w:pPr>
              <w:autoSpaceDE w:val="0"/>
              <w:autoSpaceDN w:val="0"/>
              <w:adjustRightInd w:val="0"/>
              <w:spacing w:line="480" w:lineRule="auto"/>
              <w:rPr>
                <w:rFonts w:ascii="Verdana" w:eastAsia="TimesNewRomanPSMT" w:hAnsi="Verdana" w:cs="TimesNewRomanPSMT"/>
                <w:color w:val="000000"/>
                <w:sz w:val="24"/>
                <w:szCs w:val="24"/>
              </w:rPr>
            </w:pPr>
            <w:r w:rsidRPr="00B6711B">
              <w:rPr>
                <w:rFonts w:ascii="Verdana" w:eastAsia="TimesNewRomanPSMT" w:hAnsi="Verdana" w:cs="TimesNewRomanPSMT"/>
                <w:color w:val="000000"/>
                <w:sz w:val="24"/>
                <w:szCs w:val="24"/>
              </w:rPr>
              <w:t>0.275</w:t>
            </w:r>
          </w:p>
        </w:tc>
      </w:tr>
      <w:tr w:rsidR="00B6711B" w:rsidRPr="00B6711B" w14:paraId="4134046C" w14:textId="77777777" w:rsidTr="00B6711B">
        <w:trPr>
          <w:trHeight w:val="300"/>
          <w:jc w:val="center"/>
        </w:trPr>
        <w:tc>
          <w:tcPr>
            <w:tcW w:w="2245" w:type="dxa"/>
            <w:noWrap/>
            <w:hideMark/>
          </w:tcPr>
          <w:p w14:paraId="6532E167" w14:textId="77777777" w:rsidR="00B6711B" w:rsidRPr="00B6711B" w:rsidRDefault="00B6711B" w:rsidP="00790A5F">
            <w:pPr>
              <w:autoSpaceDE w:val="0"/>
              <w:autoSpaceDN w:val="0"/>
              <w:adjustRightInd w:val="0"/>
              <w:spacing w:line="480" w:lineRule="auto"/>
              <w:rPr>
                <w:rFonts w:ascii="Verdana" w:eastAsia="TimesNewRomanPSMT" w:hAnsi="Verdana" w:cs="TimesNewRomanPSMT"/>
                <w:b/>
                <w:bCs/>
                <w:color w:val="000000"/>
                <w:sz w:val="24"/>
                <w:szCs w:val="24"/>
              </w:rPr>
            </w:pPr>
            <w:r w:rsidRPr="00B6711B">
              <w:rPr>
                <w:rFonts w:ascii="Verdana" w:eastAsia="TimesNewRomanPSMT" w:hAnsi="Verdana" w:cs="TimesNewRomanPSMT"/>
                <w:b/>
                <w:bCs/>
                <w:color w:val="000000"/>
                <w:sz w:val="24"/>
                <w:szCs w:val="24"/>
              </w:rPr>
              <w:t>[-10, -6]</w:t>
            </w:r>
          </w:p>
        </w:tc>
        <w:tc>
          <w:tcPr>
            <w:tcW w:w="1800" w:type="dxa"/>
            <w:noWrap/>
            <w:hideMark/>
          </w:tcPr>
          <w:p w14:paraId="6BFE16E4" w14:textId="77777777" w:rsidR="00B6711B" w:rsidRPr="00B6711B" w:rsidRDefault="00B6711B" w:rsidP="00790A5F">
            <w:pPr>
              <w:autoSpaceDE w:val="0"/>
              <w:autoSpaceDN w:val="0"/>
              <w:adjustRightInd w:val="0"/>
              <w:spacing w:line="480" w:lineRule="auto"/>
              <w:rPr>
                <w:rFonts w:ascii="Verdana" w:eastAsia="TimesNewRomanPSMT" w:hAnsi="Verdana" w:cs="TimesNewRomanPSMT"/>
                <w:color w:val="000000"/>
                <w:sz w:val="24"/>
                <w:szCs w:val="24"/>
              </w:rPr>
            </w:pPr>
            <w:r w:rsidRPr="00B6711B">
              <w:rPr>
                <w:rFonts w:ascii="Verdana" w:eastAsia="TimesNewRomanPSMT" w:hAnsi="Verdana" w:cs="TimesNewRomanPSMT"/>
                <w:color w:val="000000"/>
                <w:sz w:val="24"/>
                <w:szCs w:val="24"/>
              </w:rPr>
              <w:t>0.162</w:t>
            </w:r>
          </w:p>
        </w:tc>
        <w:tc>
          <w:tcPr>
            <w:tcW w:w="1440" w:type="dxa"/>
            <w:noWrap/>
            <w:hideMark/>
          </w:tcPr>
          <w:p w14:paraId="0DC106F1" w14:textId="77777777" w:rsidR="00B6711B" w:rsidRPr="00B6711B" w:rsidRDefault="00B6711B" w:rsidP="00790A5F">
            <w:pPr>
              <w:autoSpaceDE w:val="0"/>
              <w:autoSpaceDN w:val="0"/>
              <w:adjustRightInd w:val="0"/>
              <w:spacing w:line="480" w:lineRule="auto"/>
              <w:rPr>
                <w:rFonts w:ascii="Verdana" w:eastAsia="TimesNewRomanPSMT" w:hAnsi="Verdana" w:cs="TimesNewRomanPSMT"/>
                <w:color w:val="000000"/>
                <w:sz w:val="24"/>
                <w:szCs w:val="24"/>
              </w:rPr>
            </w:pPr>
            <w:r w:rsidRPr="00B6711B">
              <w:rPr>
                <w:rFonts w:ascii="Verdana" w:eastAsia="TimesNewRomanPSMT" w:hAnsi="Verdana" w:cs="TimesNewRomanPSMT"/>
                <w:color w:val="000000"/>
                <w:sz w:val="24"/>
                <w:szCs w:val="24"/>
              </w:rPr>
              <w:t>0.21</w:t>
            </w:r>
          </w:p>
        </w:tc>
      </w:tr>
      <w:tr w:rsidR="00B6711B" w:rsidRPr="00B6711B" w14:paraId="30FFE6FB" w14:textId="77777777" w:rsidTr="00B6711B">
        <w:trPr>
          <w:trHeight w:val="300"/>
          <w:jc w:val="center"/>
        </w:trPr>
        <w:tc>
          <w:tcPr>
            <w:tcW w:w="2245" w:type="dxa"/>
            <w:noWrap/>
            <w:hideMark/>
          </w:tcPr>
          <w:p w14:paraId="039A77E8" w14:textId="77777777" w:rsidR="00B6711B" w:rsidRPr="00B6711B" w:rsidRDefault="00B6711B" w:rsidP="00790A5F">
            <w:pPr>
              <w:autoSpaceDE w:val="0"/>
              <w:autoSpaceDN w:val="0"/>
              <w:adjustRightInd w:val="0"/>
              <w:spacing w:line="480" w:lineRule="auto"/>
              <w:rPr>
                <w:rFonts w:ascii="Verdana" w:eastAsia="TimesNewRomanPSMT" w:hAnsi="Verdana" w:cs="TimesNewRomanPSMT"/>
                <w:b/>
                <w:bCs/>
                <w:color w:val="000000"/>
                <w:sz w:val="24"/>
                <w:szCs w:val="24"/>
              </w:rPr>
            </w:pPr>
            <w:r w:rsidRPr="00B6711B">
              <w:rPr>
                <w:rFonts w:ascii="Verdana" w:eastAsia="TimesNewRomanPSMT" w:hAnsi="Verdana" w:cs="TimesNewRomanPSMT"/>
                <w:b/>
                <w:bCs/>
                <w:color w:val="000000"/>
                <w:sz w:val="24"/>
                <w:szCs w:val="24"/>
              </w:rPr>
              <w:t>[-5, 10]</w:t>
            </w:r>
          </w:p>
        </w:tc>
        <w:tc>
          <w:tcPr>
            <w:tcW w:w="1800" w:type="dxa"/>
            <w:noWrap/>
            <w:hideMark/>
          </w:tcPr>
          <w:p w14:paraId="57F6BC7F" w14:textId="77777777" w:rsidR="00B6711B" w:rsidRPr="00B6711B" w:rsidRDefault="00B6711B" w:rsidP="00790A5F">
            <w:pPr>
              <w:autoSpaceDE w:val="0"/>
              <w:autoSpaceDN w:val="0"/>
              <w:adjustRightInd w:val="0"/>
              <w:spacing w:line="480" w:lineRule="auto"/>
              <w:rPr>
                <w:rFonts w:ascii="Verdana" w:eastAsia="TimesNewRomanPSMT" w:hAnsi="Verdana" w:cs="TimesNewRomanPSMT"/>
                <w:color w:val="000000"/>
                <w:sz w:val="24"/>
                <w:szCs w:val="24"/>
              </w:rPr>
            </w:pPr>
            <w:r w:rsidRPr="00B6711B">
              <w:rPr>
                <w:rFonts w:ascii="Verdana" w:eastAsia="TimesNewRomanPSMT" w:hAnsi="Verdana" w:cs="TimesNewRomanPSMT"/>
                <w:color w:val="000000"/>
                <w:sz w:val="24"/>
                <w:szCs w:val="24"/>
              </w:rPr>
              <w:t>0.974***</w:t>
            </w:r>
          </w:p>
        </w:tc>
        <w:tc>
          <w:tcPr>
            <w:tcW w:w="1440" w:type="dxa"/>
            <w:noWrap/>
            <w:hideMark/>
          </w:tcPr>
          <w:p w14:paraId="2FAA3D56" w14:textId="77777777" w:rsidR="00B6711B" w:rsidRPr="00B6711B" w:rsidRDefault="00B6711B" w:rsidP="00790A5F">
            <w:pPr>
              <w:autoSpaceDE w:val="0"/>
              <w:autoSpaceDN w:val="0"/>
              <w:adjustRightInd w:val="0"/>
              <w:spacing w:line="480" w:lineRule="auto"/>
              <w:rPr>
                <w:rFonts w:ascii="Verdana" w:eastAsia="TimesNewRomanPSMT" w:hAnsi="Verdana" w:cs="TimesNewRomanPSMT"/>
                <w:color w:val="000000"/>
                <w:sz w:val="24"/>
                <w:szCs w:val="24"/>
              </w:rPr>
            </w:pPr>
            <w:r w:rsidRPr="00B6711B">
              <w:rPr>
                <w:rFonts w:ascii="Verdana" w:eastAsia="TimesNewRomanPSMT" w:hAnsi="Verdana" w:cs="TimesNewRomanPSMT"/>
                <w:color w:val="000000"/>
                <w:sz w:val="24"/>
                <w:szCs w:val="24"/>
              </w:rPr>
              <w:t>0.328</w:t>
            </w:r>
          </w:p>
        </w:tc>
      </w:tr>
      <w:tr w:rsidR="00B6711B" w:rsidRPr="00B6711B" w14:paraId="2B7BB146" w14:textId="77777777" w:rsidTr="00B6711B">
        <w:trPr>
          <w:trHeight w:val="300"/>
          <w:jc w:val="center"/>
        </w:trPr>
        <w:tc>
          <w:tcPr>
            <w:tcW w:w="2245" w:type="dxa"/>
            <w:noWrap/>
            <w:hideMark/>
          </w:tcPr>
          <w:p w14:paraId="644D03BF" w14:textId="77777777" w:rsidR="00B6711B" w:rsidRPr="00B6711B" w:rsidRDefault="00B6711B" w:rsidP="00790A5F">
            <w:pPr>
              <w:autoSpaceDE w:val="0"/>
              <w:autoSpaceDN w:val="0"/>
              <w:adjustRightInd w:val="0"/>
              <w:spacing w:line="480" w:lineRule="auto"/>
              <w:rPr>
                <w:rFonts w:ascii="Verdana" w:eastAsia="TimesNewRomanPSMT" w:hAnsi="Verdana" w:cs="TimesNewRomanPSMT"/>
                <w:b/>
                <w:bCs/>
                <w:color w:val="000000"/>
                <w:sz w:val="24"/>
                <w:szCs w:val="24"/>
              </w:rPr>
            </w:pPr>
            <w:r w:rsidRPr="00B6711B">
              <w:rPr>
                <w:rFonts w:ascii="Verdana" w:eastAsia="TimesNewRomanPSMT" w:hAnsi="Verdana" w:cs="TimesNewRomanPSMT"/>
                <w:b/>
                <w:bCs/>
                <w:color w:val="000000"/>
                <w:sz w:val="24"/>
                <w:szCs w:val="24"/>
              </w:rPr>
              <w:t>[11, 20]</w:t>
            </w:r>
          </w:p>
        </w:tc>
        <w:tc>
          <w:tcPr>
            <w:tcW w:w="1800" w:type="dxa"/>
            <w:noWrap/>
            <w:hideMark/>
          </w:tcPr>
          <w:p w14:paraId="7995AB0C" w14:textId="77777777" w:rsidR="00B6711B" w:rsidRPr="00B6711B" w:rsidRDefault="00B6711B" w:rsidP="00790A5F">
            <w:pPr>
              <w:autoSpaceDE w:val="0"/>
              <w:autoSpaceDN w:val="0"/>
              <w:adjustRightInd w:val="0"/>
              <w:spacing w:line="480" w:lineRule="auto"/>
              <w:rPr>
                <w:rFonts w:ascii="Verdana" w:eastAsia="TimesNewRomanPSMT" w:hAnsi="Verdana" w:cs="TimesNewRomanPSMT"/>
                <w:color w:val="000000"/>
                <w:sz w:val="24"/>
                <w:szCs w:val="24"/>
              </w:rPr>
            </w:pPr>
            <w:r w:rsidRPr="00B6711B">
              <w:rPr>
                <w:rFonts w:ascii="Verdana" w:eastAsia="TimesNewRomanPSMT" w:hAnsi="Verdana" w:cs="TimesNewRomanPSMT"/>
                <w:color w:val="000000"/>
                <w:sz w:val="24"/>
                <w:szCs w:val="24"/>
              </w:rPr>
              <w:t>0.093</w:t>
            </w:r>
          </w:p>
        </w:tc>
        <w:tc>
          <w:tcPr>
            <w:tcW w:w="1440" w:type="dxa"/>
            <w:noWrap/>
            <w:hideMark/>
          </w:tcPr>
          <w:p w14:paraId="7DCFE471" w14:textId="77777777" w:rsidR="00B6711B" w:rsidRPr="00B6711B" w:rsidRDefault="00B6711B" w:rsidP="00790A5F">
            <w:pPr>
              <w:autoSpaceDE w:val="0"/>
              <w:autoSpaceDN w:val="0"/>
              <w:adjustRightInd w:val="0"/>
              <w:spacing w:line="480" w:lineRule="auto"/>
              <w:rPr>
                <w:rFonts w:ascii="Verdana" w:eastAsia="TimesNewRomanPSMT" w:hAnsi="Verdana" w:cs="TimesNewRomanPSMT"/>
                <w:color w:val="000000"/>
                <w:sz w:val="24"/>
                <w:szCs w:val="24"/>
              </w:rPr>
            </w:pPr>
            <w:r w:rsidRPr="00B6711B">
              <w:rPr>
                <w:rFonts w:ascii="Verdana" w:eastAsia="TimesNewRomanPSMT" w:hAnsi="Verdana" w:cs="TimesNewRomanPSMT"/>
                <w:color w:val="000000"/>
                <w:sz w:val="24"/>
                <w:szCs w:val="24"/>
              </w:rPr>
              <w:t>0.252</w:t>
            </w:r>
          </w:p>
        </w:tc>
      </w:tr>
      <w:tr w:rsidR="00B6711B" w:rsidRPr="00B6711B" w14:paraId="59104568" w14:textId="77777777" w:rsidTr="00B6711B">
        <w:trPr>
          <w:trHeight w:val="300"/>
          <w:jc w:val="center"/>
        </w:trPr>
        <w:tc>
          <w:tcPr>
            <w:tcW w:w="2245" w:type="dxa"/>
            <w:noWrap/>
            <w:hideMark/>
          </w:tcPr>
          <w:p w14:paraId="434C8566" w14:textId="77777777" w:rsidR="00B6711B" w:rsidRPr="00B6711B" w:rsidRDefault="00B6711B" w:rsidP="00790A5F">
            <w:pPr>
              <w:autoSpaceDE w:val="0"/>
              <w:autoSpaceDN w:val="0"/>
              <w:adjustRightInd w:val="0"/>
              <w:spacing w:line="480" w:lineRule="auto"/>
              <w:rPr>
                <w:rFonts w:ascii="Verdana" w:eastAsia="TimesNewRomanPSMT" w:hAnsi="Verdana" w:cs="TimesNewRomanPSMT"/>
                <w:b/>
                <w:bCs/>
                <w:color w:val="000000"/>
                <w:sz w:val="24"/>
                <w:szCs w:val="24"/>
              </w:rPr>
            </w:pPr>
            <w:r w:rsidRPr="00B6711B">
              <w:rPr>
                <w:rFonts w:ascii="Verdana" w:eastAsia="TimesNewRomanPSMT" w:hAnsi="Verdana" w:cs="TimesNewRomanPSMT"/>
                <w:b/>
                <w:bCs/>
                <w:color w:val="000000"/>
                <w:sz w:val="24"/>
                <w:szCs w:val="24"/>
              </w:rPr>
              <w:t>[21, 60]</w:t>
            </w:r>
          </w:p>
        </w:tc>
        <w:tc>
          <w:tcPr>
            <w:tcW w:w="1800" w:type="dxa"/>
            <w:noWrap/>
            <w:hideMark/>
          </w:tcPr>
          <w:p w14:paraId="69A67205" w14:textId="77777777" w:rsidR="00B6711B" w:rsidRPr="00B6711B" w:rsidRDefault="00B6711B" w:rsidP="00790A5F">
            <w:pPr>
              <w:autoSpaceDE w:val="0"/>
              <w:autoSpaceDN w:val="0"/>
              <w:adjustRightInd w:val="0"/>
              <w:spacing w:line="480" w:lineRule="auto"/>
              <w:rPr>
                <w:rFonts w:ascii="Verdana" w:eastAsia="TimesNewRomanPSMT" w:hAnsi="Verdana" w:cs="TimesNewRomanPSMT"/>
                <w:color w:val="000000"/>
                <w:sz w:val="24"/>
                <w:szCs w:val="24"/>
              </w:rPr>
            </w:pPr>
            <w:r w:rsidRPr="00B6711B">
              <w:rPr>
                <w:rFonts w:ascii="Verdana" w:eastAsia="TimesNewRomanPSMT" w:hAnsi="Verdana" w:cs="TimesNewRomanPSMT"/>
                <w:color w:val="000000"/>
                <w:sz w:val="24"/>
                <w:szCs w:val="24"/>
              </w:rPr>
              <w:t>-0.042</w:t>
            </w:r>
          </w:p>
        </w:tc>
        <w:tc>
          <w:tcPr>
            <w:tcW w:w="1440" w:type="dxa"/>
            <w:noWrap/>
            <w:hideMark/>
          </w:tcPr>
          <w:p w14:paraId="31710D19" w14:textId="77777777" w:rsidR="00B6711B" w:rsidRPr="00B6711B" w:rsidRDefault="00B6711B" w:rsidP="00790A5F">
            <w:pPr>
              <w:autoSpaceDE w:val="0"/>
              <w:autoSpaceDN w:val="0"/>
              <w:adjustRightInd w:val="0"/>
              <w:spacing w:line="480" w:lineRule="auto"/>
              <w:rPr>
                <w:rFonts w:ascii="Verdana" w:eastAsia="TimesNewRomanPSMT" w:hAnsi="Verdana" w:cs="TimesNewRomanPSMT"/>
                <w:color w:val="000000"/>
                <w:sz w:val="24"/>
                <w:szCs w:val="24"/>
              </w:rPr>
            </w:pPr>
            <w:r w:rsidRPr="00B6711B">
              <w:rPr>
                <w:rFonts w:ascii="Verdana" w:eastAsia="TimesNewRomanPSMT" w:hAnsi="Verdana" w:cs="TimesNewRomanPSMT"/>
                <w:color w:val="000000"/>
                <w:sz w:val="24"/>
                <w:szCs w:val="24"/>
              </w:rPr>
              <w:t>0.602</w:t>
            </w:r>
          </w:p>
        </w:tc>
      </w:tr>
    </w:tbl>
    <w:p w14:paraId="2148D5A7" w14:textId="77777777" w:rsidR="00B6711B" w:rsidRDefault="00B6711B" w:rsidP="00790A5F">
      <w:pPr>
        <w:autoSpaceDE w:val="0"/>
        <w:autoSpaceDN w:val="0"/>
        <w:adjustRightInd w:val="0"/>
        <w:spacing w:after="0" w:line="480" w:lineRule="auto"/>
        <w:rPr>
          <w:rFonts w:ascii="Verdana" w:eastAsia="TimesNewRomanPSMT" w:hAnsi="Verdana" w:cs="TimesNewRomanPSMT"/>
          <w:color w:val="000000"/>
          <w:sz w:val="24"/>
          <w:szCs w:val="24"/>
        </w:rPr>
      </w:pPr>
    </w:p>
    <w:p w14:paraId="36B95495" w14:textId="77777777" w:rsidR="00CA00F3" w:rsidRDefault="00CA00F3" w:rsidP="00790A5F">
      <w:pPr>
        <w:autoSpaceDE w:val="0"/>
        <w:autoSpaceDN w:val="0"/>
        <w:adjustRightInd w:val="0"/>
        <w:spacing w:after="0" w:line="480" w:lineRule="auto"/>
        <w:rPr>
          <w:rFonts w:ascii="Verdana" w:eastAsia="TimesNewRomanPSMT" w:hAnsi="Verdana" w:cs="TimesNewRomanPSMT"/>
          <w:color w:val="000000"/>
          <w:sz w:val="24"/>
          <w:szCs w:val="24"/>
        </w:rPr>
      </w:pPr>
    </w:p>
    <w:p w14:paraId="1D967BB6" w14:textId="009D4082" w:rsidR="00A50F95" w:rsidRPr="00A50F95" w:rsidRDefault="00A50F95" w:rsidP="00790A5F">
      <w:pPr>
        <w:pStyle w:val="Heading1"/>
        <w:spacing w:line="480" w:lineRule="auto"/>
        <w:rPr>
          <w:rFonts w:ascii="Verdana" w:hAnsi="Verdana"/>
        </w:rPr>
      </w:pPr>
      <w:r w:rsidRPr="008051DC">
        <w:rPr>
          <w:rFonts w:ascii="Verdana" w:hAnsi="Verdana"/>
        </w:rPr>
        <w:t>Conclusions</w:t>
      </w:r>
    </w:p>
    <w:p w14:paraId="5B4811FA" w14:textId="5EEBF803" w:rsidR="00B6711B" w:rsidRDefault="00CA00F3" w:rsidP="00790A5F">
      <w:pPr>
        <w:autoSpaceDE w:val="0"/>
        <w:autoSpaceDN w:val="0"/>
        <w:adjustRightInd w:val="0"/>
        <w:spacing w:after="0" w:line="480" w:lineRule="auto"/>
        <w:rPr>
          <w:rFonts w:ascii="Verdana" w:eastAsia="TimesNewRomanPSMT" w:hAnsi="Verdana" w:cs="TimesNewRomanPSMT"/>
          <w:color w:val="000000"/>
          <w:sz w:val="24"/>
          <w:szCs w:val="24"/>
        </w:rPr>
      </w:pPr>
      <w:r>
        <w:rPr>
          <w:rFonts w:ascii="Verdana" w:eastAsia="TimesNewRomanPSMT" w:hAnsi="Verdana" w:cs="TimesNewRomanPSMT"/>
          <w:color w:val="000000"/>
          <w:sz w:val="24"/>
          <w:szCs w:val="24"/>
        </w:rPr>
        <w:t>These statistically significant positive cumulated abnormal returns sustain Flammer’s thesis that the stock market has a positive reaction towards the issuance of green bonds.</w:t>
      </w:r>
    </w:p>
    <w:p w14:paraId="743D6C01" w14:textId="4A098546" w:rsidR="00A2141E" w:rsidRDefault="00A2141E" w:rsidP="00790A5F">
      <w:pPr>
        <w:autoSpaceDE w:val="0"/>
        <w:autoSpaceDN w:val="0"/>
        <w:adjustRightInd w:val="0"/>
        <w:spacing w:after="0" w:line="480" w:lineRule="auto"/>
        <w:rPr>
          <w:rFonts w:ascii="Verdana" w:eastAsia="TimesNewRomanPSMT" w:hAnsi="Verdana" w:cs="TimesNewRomanPSMT"/>
          <w:color w:val="000000"/>
          <w:sz w:val="24"/>
          <w:szCs w:val="24"/>
        </w:rPr>
      </w:pPr>
      <w:r>
        <w:rPr>
          <w:rFonts w:ascii="Verdana" w:eastAsia="TimesNewRomanPSMT" w:hAnsi="Verdana" w:cs="TimesNewRomanPSMT"/>
          <w:color w:val="000000"/>
          <w:sz w:val="24"/>
          <w:szCs w:val="24"/>
        </w:rPr>
        <w:t xml:space="preserve">Given that literature </w:t>
      </w:r>
      <w:r w:rsidR="003F6089">
        <w:rPr>
          <w:rFonts w:ascii="Verdana" w:eastAsia="TimesNewRomanPSMT" w:hAnsi="Verdana" w:cs="TimesNewRomanPSMT"/>
          <w:color w:val="000000"/>
          <w:sz w:val="24"/>
          <w:szCs w:val="24"/>
        </w:rPr>
        <w:t>shows</w:t>
      </w:r>
      <w:r>
        <w:rPr>
          <w:rFonts w:ascii="Verdana" w:eastAsia="TimesNewRomanPSMT" w:hAnsi="Verdana" w:cs="TimesNewRomanPSMT"/>
          <w:color w:val="000000"/>
          <w:sz w:val="24"/>
          <w:szCs w:val="24"/>
        </w:rPr>
        <w:t xml:space="preserve"> that the stock market does not react to bond issues</w:t>
      </w:r>
      <w:r w:rsidR="003F6089">
        <w:rPr>
          <w:rStyle w:val="FootnoteReference"/>
          <w:rFonts w:ascii="Verdana" w:eastAsia="TimesNewRomanPSMT" w:hAnsi="Verdana" w:cs="TimesNewRomanPSMT"/>
          <w:color w:val="000000"/>
          <w:sz w:val="24"/>
          <w:szCs w:val="24"/>
        </w:rPr>
        <w:footnoteReference w:id="11"/>
      </w:r>
      <w:r w:rsidR="003F6089">
        <w:rPr>
          <w:rFonts w:ascii="Verdana" w:eastAsia="TimesNewRomanPSMT" w:hAnsi="Verdana" w:cs="TimesNewRomanPSMT"/>
          <w:color w:val="000000"/>
          <w:sz w:val="24"/>
          <w:szCs w:val="24"/>
        </w:rPr>
        <w:t>, it is likely that the positive cumulative abnormal returns must be caused by the company’s signalling of its commitment towards the environment.</w:t>
      </w:r>
    </w:p>
    <w:p w14:paraId="6A4A9B14" w14:textId="0059589C" w:rsidR="00C952CA" w:rsidRDefault="00C952CA" w:rsidP="00790A5F">
      <w:pPr>
        <w:autoSpaceDE w:val="0"/>
        <w:autoSpaceDN w:val="0"/>
        <w:adjustRightInd w:val="0"/>
        <w:spacing w:after="0" w:line="480" w:lineRule="auto"/>
        <w:rPr>
          <w:rFonts w:ascii="Verdana" w:eastAsia="TimesNewRomanPSMT" w:hAnsi="Verdana" w:cs="TimesNewRomanPSMT"/>
          <w:color w:val="000000"/>
          <w:sz w:val="24"/>
          <w:szCs w:val="24"/>
        </w:rPr>
      </w:pPr>
      <w:r>
        <w:rPr>
          <w:rFonts w:ascii="Verdana" w:eastAsia="TimesNewRomanPSMT" w:hAnsi="Verdana" w:cs="TimesNewRomanPSMT"/>
          <w:color w:val="000000"/>
          <w:sz w:val="24"/>
          <w:szCs w:val="24"/>
        </w:rPr>
        <w:t xml:space="preserve">While Flammer (2020) arguments that her finding of small and insignificant abnormal returns for seasoned issuers is consistent with her signalling theory, I would argue that my finding is more consistent with the latter hypothesis. As a matter of fact, one green bond issuance is not sufficient to show a constant effort towards the environment. The </w:t>
      </w:r>
      <w:r>
        <w:rPr>
          <w:rFonts w:ascii="Verdana" w:eastAsia="TimesNewRomanPSMT" w:hAnsi="Verdana" w:cs="TimesNewRomanPSMT"/>
          <w:color w:val="000000"/>
          <w:sz w:val="24"/>
          <w:szCs w:val="24"/>
        </w:rPr>
        <w:lastRenderedPageBreak/>
        <w:t xml:space="preserve">commitment, especially for a grey area such the one for green bonds, must be renovated periodically to show: </w:t>
      </w:r>
    </w:p>
    <w:p w14:paraId="7EA8FCB5" w14:textId="6FB927BE" w:rsidR="00C952CA" w:rsidRDefault="00C952CA" w:rsidP="00790A5F">
      <w:pPr>
        <w:pStyle w:val="ListParagraph"/>
        <w:numPr>
          <w:ilvl w:val="0"/>
          <w:numId w:val="12"/>
        </w:numPr>
        <w:autoSpaceDE w:val="0"/>
        <w:autoSpaceDN w:val="0"/>
        <w:adjustRightInd w:val="0"/>
        <w:spacing w:after="0" w:line="480" w:lineRule="auto"/>
        <w:rPr>
          <w:rFonts w:ascii="Verdana" w:eastAsia="TimesNewRomanPSMT" w:hAnsi="Verdana" w:cs="TimesNewRomanPSMT"/>
          <w:color w:val="000000"/>
          <w:sz w:val="24"/>
          <w:szCs w:val="24"/>
        </w:rPr>
      </w:pPr>
      <w:r>
        <w:rPr>
          <w:rFonts w:ascii="Verdana" w:eastAsia="TimesNewRomanPSMT" w:hAnsi="Verdana" w:cs="TimesNewRomanPSMT"/>
          <w:color w:val="000000"/>
          <w:sz w:val="24"/>
          <w:szCs w:val="24"/>
        </w:rPr>
        <w:t>that the first green bond issuance was not a mere greenwashing attempt;</w:t>
      </w:r>
    </w:p>
    <w:p w14:paraId="2D368F79" w14:textId="0C488FB7" w:rsidR="00C952CA" w:rsidRDefault="00C952CA" w:rsidP="00790A5F">
      <w:pPr>
        <w:pStyle w:val="ListParagraph"/>
        <w:numPr>
          <w:ilvl w:val="0"/>
          <w:numId w:val="12"/>
        </w:numPr>
        <w:autoSpaceDE w:val="0"/>
        <w:autoSpaceDN w:val="0"/>
        <w:adjustRightInd w:val="0"/>
        <w:spacing w:after="0" w:line="480" w:lineRule="auto"/>
        <w:rPr>
          <w:rFonts w:ascii="Verdana" w:eastAsia="TimesNewRomanPSMT" w:hAnsi="Verdana" w:cs="TimesNewRomanPSMT"/>
          <w:color w:val="000000"/>
          <w:sz w:val="24"/>
          <w:szCs w:val="24"/>
        </w:rPr>
      </w:pPr>
      <w:r>
        <w:rPr>
          <w:rFonts w:ascii="Verdana" w:eastAsia="TimesNewRomanPSMT" w:hAnsi="Verdana" w:cs="TimesNewRomanPSMT"/>
          <w:color w:val="000000"/>
          <w:sz w:val="24"/>
          <w:szCs w:val="24"/>
        </w:rPr>
        <w:t>that the company is still interested in eco-friendly investments;</w:t>
      </w:r>
    </w:p>
    <w:p w14:paraId="5E5E5009" w14:textId="795B6D97" w:rsidR="00C952CA" w:rsidRDefault="00C952CA" w:rsidP="00790A5F">
      <w:pPr>
        <w:pStyle w:val="ListParagraph"/>
        <w:numPr>
          <w:ilvl w:val="0"/>
          <w:numId w:val="12"/>
        </w:numPr>
        <w:autoSpaceDE w:val="0"/>
        <w:autoSpaceDN w:val="0"/>
        <w:adjustRightInd w:val="0"/>
        <w:spacing w:after="0" w:line="480" w:lineRule="auto"/>
        <w:rPr>
          <w:rFonts w:ascii="Verdana" w:eastAsia="TimesNewRomanPSMT" w:hAnsi="Verdana" w:cs="TimesNewRomanPSMT"/>
          <w:color w:val="000000"/>
          <w:sz w:val="24"/>
          <w:szCs w:val="24"/>
        </w:rPr>
      </w:pPr>
      <w:r>
        <w:rPr>
          <w:rFonts w:ascii="Verdana" w:eastAsia="TimesNewRomanPSMT" w:hAnsi="Verdana" w:cs="TimesNewRomanPSMT"/>
          <w:color w:val="000000"/>
          <w:sz w:val="24"/>
          <w:szCs w:val="24"/>
        </w:rPr>
        <w:t>that for the company the transparency and compliance requirements for green bonds represent neither big administrative nor opportunity costs, because the corporation has already the interest and the administrative structure to issue such bonds.</w:t>
      </w:r>
    </w:p>
    <w:p w14:paraId="4769BBB2" w14:textId="7E68A5BF" w:rsidR="004D158F" w:rsidRDefault="00C952CA" w:rsidP="00790A5F">
      <w:pPr>
        <w:autoSpaceDE w:val="0"/>
        <w:autoSpaceDN w:val="0"/>
        <w:adjustRightInd w:val="0"/>
        <w:spacing w:after="0" w:line="480" w:lineRule="auto"/>
        <w:rPr>
          <w:rFonts w:ascii="Verdana" w:eastAsia="TimesNewRomanPSMT" w:hAnsi="Verdana" w:cs="TimesNewRomanPSMT"/>
          <w:color w:val="000000"/>
          <w:sz w:val="24"/>
          <w:szCs w:val="24"/>
        </w:rPr>
      </w:pPr>
      <w:r>
        <w:rPr>
          <w:rFonts w:ascii="Verdana" w:eastAsia="TimesNewRomanPSMT" w:hAnsi="Verdana" w:cs="TimesNewRomanPSMT"/>
          <w:color w:val="000000"/>
          <w:sz w:val="24"/>
          <w:szCs w:val="24"/>
        </w:rPr>
        <w:t xml:space="preserve">It is more difficult to explain the difference in findings for the time window where abnormal returns materialize for first-time issuers. I would argue that it is possible that the market obtains information much sooner about the first issuance of a green bond than for the issuance of a second or third one. Due to the novelty of the project for the </w:t>
      </w:r>
      <w:r w:rsidR="004D158F">
        <w:rPr>
          <w:rFonts w:ascii="Verdana" w:eastAsia="TimesNewRomanPSMT" w:hAnsi="Verdana" w:cs="TimesNewRomanPSMT"/>
          <w:color w:val="000000"/>
          <w:sz w:val="24"/>
          <w:szCs w:val="24"/>
        </w:rPr>
        <w:t xml:space="preserve">business, information might indeed leak sooner and more easily. For successive issuances, the company would experience the project more as a routine one. Additionally, operations like contacting an appointed verifier that can provide a green bond certification would not represent a big signal of a possible green bond issuance, but a mere contact regarding the previous issuances. Nevertheless, it is clear that the impact of green bonds on stock returns requires further analysis. </w:t>
      </w:r>
    </w:p>
    <w:p w14:paraId="438841A0" w14:textId="7F369F37" w:rsidR="00C952CA" w:rsidRDefault="004D158F" w:rsidP="00790A5F">
      <w:pPr>
        <w:autoSpaceDE w:val="0"/>
        <w:autoSpaceDN w:val="0"/>
        <w:adjustRightInd w:val="0"/>
        <w:spacing w:after="0" w:line="480" w:lineRule="auto"/>
        <w:rPr>
          <w:rFonts w:ascii="Verdana" w:eastAsia="TimesNewRomanPSMT" w:hAnsi="Verdana" w:cs="TimesNewRomanPSMT"/>
          <w:color w:val="000000"/>
          <w:sz w:val="24"/>
          <w:szCs w:val="24"/>
        </w:rPr>
      </w:pPr>
      <w:r>
        <w:rPr>
          <w:rFonts w:ascii="Verdana" w:eastAsia="TimesNewRomanPSMT" w:hAnsi="Verdana" w:cs="TimesNewRomanPSMT"/>
          <w:color w:val="000000"/>
          <w:sz w:val="24"/>
          <w:szCs w:val="24"/>
        </w:rPr>
        <w:t xml:space="preserve">This research only provides both a confirmation and a small rejection of Flammer’s event study on abnormal returns due to the issuance of green bonds. Nevertheless, the entire code for the analysis is available at </w:t>
      </w:r>
      <w:hyperlink r:id="rId10" w:history="1">
        <w:r w:rsidRPr="00B44007">
          <w:rPr>
            <w:rStyle w:val="Hyperlink"/>
            <w:rFonts w:ascii="Verdana" w:eastAsia="TimesNewRomanPSMT" w:hAnsi="Verdana" w:cs="TimesNewRomanPSMT"/>
            <w:sz w:val="24"/>
            <w:szCs w:val="24"/>
          </w:rPr>
          <w:t>https://github.com/ElLorans/GreenBonds</w:t>
        </w:r>
      </w:hyperlink>
      <w:r>
        <w:rPr>
          <w:rFonts w:ascii="Verdana" w:eastAsia="TimesNewRomanPSMT" w:hAnsi="Verdana" w:cs="TimesNewRomanPSMT"/>
          <w:color w:val="000000"/>
          <w:sz w:val="24"/>
          <w:szCs w:val="24"/>
        </w:rPr>
        <w:t xml:space="preserve"> . Since the biggest problems for this kind of analysis are data cleaning and data collection, having a ready-to-use baseline code might provide useful for further research.</w:t>
      </w:r>
    </w:p>
    <w:p w14:paraId="46453AD7" w14:textId="77777777" w:rsidR="00A50F95" w:rsidRDefault="00A50F95" w:rsidP="00790A5F">
      <w:pPr>
        <w:autoSpaceDE w:val="0"/>
        <w:autoSpaceDN w:val="0"/>
        <w:adjustRightInd w:val="0"/>
        <w:spacing w:after="0" w:line="480" w:lineRule="auto"/>
        <w:rPr>
          <w:rFonts w:ascii="Verdana" w:eastAsia="TimesNewRomanPSMT" w:hAnsi="Verdana" w:cs="TimesNewRomanPSMT"/>
          <w:color w:val="000000"/>
          <w:sz w:val="24"/>
          <w:szCs w:val="24"/>
        </w:rPr>
      </w:pPr>
    </w:p>
    <w:p w14:paraId="266AA32A" w14:textId="1880E1B3" w:rsidR="008051DC" w:rsidRPr="00A50F95" w:rsidRDefault="00A50F95" w:rsidP="00790A5F">
      <w:pPr>
        <w:autoSpaceDE w:val="0"/>
        <w:autoSpaceDN w:val="0"/>
        <w:adjustRightInd w:val="0"/>
        <w:spacing w:after="0" w:line="480" w:lineRule="auto"/>
        <w:rPr>
          <w:rFonts w:ascii="Verdana" w:eastAsia="TimesNewRomanPSMT" w:hAnsi="Verdana" w:cs="TimesNewRomanPSMT"/>
          <w:color w:val="000000"/>
          <w:sz w:val="24"/>
          <w:szCs w:val="24"/>
        </w:rPr>
      </w:pPr>
      <w:r>
        <w:rPr>
          <w:rFonts w:ascii="Verdana" w:eastAsia="TimesNewRomanPSMT" w:hAnsi="Verdana" w:cs="TimesNewRomanPSMT"/>
          <w:color w:val="000000"/>
          <w:sz w:val="24"/>
          <w:szCs w:val="24"/>
        </w:rPr>
        <w:t xml:space="preserve">Considering </w:t>
      </w:r>
      <w:r w:rsidRPr="00A50F95">
        <w:rPr>
          <w:rFonts w:ascii="Verdana" w:eastAsia="TimesNewRomanPSMT" w:hAnsi="Verdana" w:cs="TimesNewRomanPSMT"/>
          <w:color w:val="000000"/>
          <w:sz w:val="24"/>
          <w:szCs w:val="24"/>
        </w:rPr>
        <w:t>Ehlers and Packer (2017) find</w:t>
      </w:r>
      <w:r>
        <w:rPr>
          <w:rFonts w:ascii="Verdana" w:eastAsia="TimesNewRomanPSMT" w:hAnsi="Verdana" w:cs="TimesNewRomanPSMT"/>
          <w:color w:val="000000"/>
          <w:sz w:val="24"/>
          <w:szCs w:val="24"/>
        </w:rPr>
        <w:t>ing on the differences between the databases for green bonds of Bloomberg and Climate Bond Index, new analysis might focus on combining these 2 data sources to Refinitiv or Thomson Reuters in order to create a dataset that could really closely map the entire global market for green bonds.</w:t>
      </w:r>
    </w:p>
    <w:p w14:paraId="71BF9CB6" w14:textId="77777777" w:rsidR="00A50F95" w:rsidRDefault="00A50F95" w:rsidP="00790A5F">
      <w:pPr>
        <w:spacing w:line="480" w:lineRule="auto"/>
        <w:rPr>
          <w:rFonts w:ascii="Verdana" w:eastAsiaTheme="majorEastAsia" w:hAnsi="Verdana" w:cstheme="majorBidi"/>
          <w:color w:val="2F5496" w:themeColor="accent1" w:themeShade="BF"/>
          <w:sz w:val="32"/>
          <w:szCs w:val="32"/>
        </w:rPr>
      </w:pPr>
      <w:r>
        <w:rPr>
          <w:rFonts w:ascii="Verdana" w:hAnsi="Verdana"/>
        </w:rPr>
        <w:br w:type="page"/>
      </w:r>
    </w:p>
    <w:p w14:paraId="0D41977A" w14:textId="1B7EFD14" w:rsidR="00D43905" w:rsidRPr="008051DC" w:rsidRDefault="00D43905" w:rsidP="00790A5F">
      <w:pPr>
        <w:pStyle w:val="Heading1"/>
        <w:spacing w:line="480" w:lineRule="auto"/>
        <w:rPr>
          <w:rFonts w:ascii="Verdana" w:hAnsi="Verdana"/>
        </w:rPr>
      </w:pPr>
      <w:r w:rsidRPr="008051DC">
        <w:rPr>
          <w:rFonts w:ascii="Verdana" w:hAnsi="Verdana"/>
        </w:rPr>
        <w:lastRenderedPageBreak/>
        <w:t>Bibliography</w:t>
      </w:r>
    </w:p>
    <w:p w14:paraId="41F81EF2" w14:textId="13F8BA1D" w:rsidR="00780503" w:rsidRPr="008051DC" w:rsidRDefault="00780503" w:rsidP="00790A5F">
      <w:pPr>
        <w:pStyle w:val="Standard"/>
        <w:spacing w:line="480" w:lineRule="auto"/>
        <w:rPr>
          <w:rFonts w:ascii="Verdana" w:hAnsi="Verdana"/>
        </w:rPr>
      </w:pPr>
      <w:r w:rsidRPr="008051DC">
        <w:rPr>
          <w:rStyle w:val="selectable"/>
          <w:rFonts w:ascii="Verdana" w:hAnsi="Verdana"/>
          <w:lang w:val="en-GB"/>
        </w:rPr>
        <w:t>International Bank for Reconstruction and Development, The World Bank (2015). </w:t>
      </w:r>
      <w:r w:rsidRPr="008051DC">
        <w:rPr>
          <w:rStyle w:val="selectable"/>
          <w:rFonts w:ascii="Verdana" w:hAnsi="Verdana"/>
          <w:i/>
          <w:lang w:val="en-GB"/>
        </w:rPr>
        <w:t>What are Green Bonds?</w:t>
      </w:r>
      <w:r w:rsidRPr="008051DC">
        <w:rPr>
          <w:rStyle w:val="selectable"/>
          <w:rFonts w:ascii="Verdana" w:hAnsi="Verdana"/>
          <w:lang w:val="en-GB"/>
        </w:rPr>
        <w:t xml:space="preserve">, in The World Bank. Available at: </w:t>
      </w:r>
      <w:hyperlink r:id="rId11" w:history="1">
        <w:r w:rsidR="00DC4210" w:rsidRPr="008051DC">
          <w:rPr>
            <w:rStyle w:val="Hyperlink"/>
            <w:rFonts w:ascii="Verdana" w:hAnsi="Verdana"/>
          </w:rPr>
          <w:t>http://documents1.worldbank.org/curated/en/400251468187810398/pdf/99662-REVISED-WB-Green-Bond-Box393208B-PUBLIC.pdf</w:t>
        </w:r>
      </w:hyperlink>
    </w:p>
    <w:p w14:paraId="1E728642" w14:textId="4808AEF2" w:rsidR="00DC4210" w:rsidRPr="008051DC" w:rsidRDefault="00DC4210" w:rsidP="00790A5F">
      <w:pPr>
        <w:pStyle w:val="Standard"/>
        <w:spacing w:line="480" w:lineRule="auto"/>
        <w:rPr>
          <w:rFonts w:ascii="Verdana" w:hAnsi="Verdana"/>
        </w:rPr>
      </w:pPr>
    </w:p>
    <w:p w14:paraId="102C4D8A" w14:textId="61898160" w:rsidR="00DC4210" w:rsidRPr="008051DC" w:rsidRDefault="00217E42" w:rsidP="00790A5F">
      <w:pPr>
        <w:pStyle w:val="Standard"/>
        <w:spacing w:line="480" w:lineRule="auto"/>
        <w:rPr>
          <w:rFonts w:ascii="Verdana" w:hAnsi="Verdana"/>
        </w:rPr>
      </w:pPr>
      <w:proofErr w:type="spellStart"/>
      <w:r w:rsidRPr="008051DC">
        <w:rPr>
          <w:rFonts w:ascii="Verdana" w:hAnsi="Verdana"/>
        </w:rPr>
        <w:t>Unicredit</w:t>
      </w:r>
      <w:proofErr w:type="spellEnd"/>
      <w:r w:rsidRPr="008051DC">
        <w:rPr>
          <w:rFonts w:ascii="Verdana" w:hAnsi="Verdana"/>
        </w:rPr>
        <w:t xml:space="preserve"> Bank (2020). </w:t>
      </w:r>
      <w:r w:rsidRPr="008051DC">
        <w:rPr>
          <w:rFonts w:ascii="Verdana" w:hAnsi="Verdana"/>
          <w:i/>
        </w:rPr>
        <w:t>The Green Bond and ESG Chartbook.</w:t>
      </w:r>
      <w:r w:rsidRPr="008051DC">
        <w:rPr>
          <w:rFonts w:ascii="Verdana" w:hAnsi="Verdana"/>
        </w:rPr>
        <w:t xml:space="preserve"> Available at: </w:t>
      </w:r>
      <w:hyperlink r:id="rId12" w:history="1">
        <w:r w:rsidR="0033467F" w:rsidRPr="008051DC">
          <w:rPr>
            <w:rStyle w:val="Hyperlink"/>
            <w:rFonts w:ascii="Verdana" w:hAnsi="Verdana"/>
          </w:rPr>
          <w:t>https://www.research.unicredit.eu/DocsKey/credit_docs_2020_176565.ashx?EXT=pdf&amp;KEY=n03ZZLYZf5m_TjufI0N-SYIayxf3oNc8JOXSk3v6nU0=&amp;T=1</w:t>
        </w:r>
      </w:hyperlink>
    </w:p>
    <w:p w14:paraId="7284BDFC" w14:textId="73351D4F" w:rsidR="0033467F" w:rsidRPr="008051DC" w:rsidRDefault="0033467F" w:rsidP="00790A5F">
      <w:pPr>
        <w:pStyle w:val="Standard"/>
        <w:spacing w:line="480" w:lineRule="auto"/>
        <w:rPr>
          <w:rFonts w:ascii="Verdana" w:hAnsi="Verdana"/>
        </w:rPr>
      </w:pPr>
    </w:p>
    <w:p w14:paraId="57B24CF2" w14:textId="5F651602" w:rsidR="0033467F" w:rsidRPr="008051DC" w:rsidRDefault="0033467F" w:rsidP="00790A5F">
      <w:pPr>
        <w:pStyle w:val="Standard"/>
        <w:spacing w:line="480" w:lineRule="auto"/>
        <w:rPr>
          <w:rFonts w:ascii="Verdana" w:hAnsi="Verdana"/>
        </w:rPr>
      </w:pPr>
      <w:r w:rsidRPr="008051DC">
        <w:rPr>
          <w:rFonts w:ascii="Verdana" w:hAnsi="Verdana"/>
        </w:rPr>
        <w:t xml:space="preserve">ICMA Group (2018). </w:t>
      </w:r>
      <w:r w:rsidRPr="008051DC">
        <w:rPr>
          <w:rFonts w:ascii="Verdana" w:hAnsi="Verdana"/>
          <w:i/>
        </w:rPr>
        <w:t>Green Bond Principles: Voluntary Process Guidelines for Issuing Green Bonds.</w:t>
      </w:r>
      <w:r w:rsidRPr="008051DC">
        <w:rPr>
          <w:rFonts w:ascii="Verdana" w:hAnsi="Verdana"/>
        </w:rPr>
        <w:t xml:space="preserve"> Available at: </w:t>
      </w:r>
      <w:hyperlink r:id="rId13" w:history="1">
        <w:r w:rsidR="00A17590" w:rsidRPr="008051DC">
          <w:rPr>
            <w:rStyle w:val="Hyperlink"/>
            <w:rFonts w:ascii="Verdana" w:hAnsi="Verdana"/>
          </w:rPr>
          <w:t>https://www.icmagroup.org/assets/documents/Regulatory/Green-Bonds/Green-Bonds-Principles-June-2018-270520.pdf</w:t>
        </w:r>
      </w:hyperlink>
    </w:p>
    <w:p w14:paraId="20210830" w14:textId="248A8E22" w:rsidR="00A17590" w:rsidRPr="008051DC" w:rsidRDefault="00A17590" w:rsidP="00790A5F">
      <w:pPr>
        <w:pStyle w:val="Standard"/>
        <w:spacing w:line="480" w:lineRule="auto"/>
        <w:rPr>
          <w:rFonts w:ascii="Verdana" w:hAnsi="Verdana"/>
        </w:rPr>
      </w:pPr>
    </w:p>
    <w:p w14:paraId="727B69D8" w14:textId="60D28C7D" w:rsidR="00A17590" w:rsidRPr="008051DC" w:rsidRDefault="00A17590" w:rsidP="00790A5F">
      <w:pPr>
        <w:pStyle w:val="Standard"/>
        <w:spacing w:line="480" w:lineRule="auto"/>
        <w:rPr>
          <w:rFonts w:ascii="Verdana" w:hAnsi="Verdana"/>
        </w:rPr>
      </w:pPr>
      <w:proofErr w:type="spellStart"/>
      <w:r w:rsidRPr="008051DC">
        <w:rPr>
          <w:rFonts w:ascii="Verdana" w:hAnsi="Verdana"/>
        </w:rPr>
        <w:t>Torsten</w:t>
      </w:r>
      <w:proofErr w:type="spellEnd"/>
      <w:r w:rsidRPr="008051DC">
        <w:rPr>
          <w:rFonts w:ascii="Verdana" w:hAnsi="Verdana"/>
        </w:rPr>
        <w:t xml:space="preserve"> Ehlers and Frank Packer (2017). </w:t>
      </w:r>
      <w:r w:rsidRPr="008051DC">
        <w:rPr>
          <w:rFonts w:ascii="Verdana" w:hAnsi="Verdana"/>
          <w:i/>
          <w:iCs w:val="0"/>
        </w:rPr>
        <w:t>Green bond finance and certification.</w:t>
      </w:r>
      <w:r w:rsidRPr="008051DC">
        <w:rPr>
          <w:rFonts w:ascii="Verdana" w:hAnsi="Verdana"/>
        </w:rPr>
        <w:t xml:space="preserve"> Available at: </w:t>
      </w:r>
      <w:hyperlink r:id="rId14" w:history="1">
        <w:r w:rsidR="009D6D33" w:rsidRPr="008051DC">
          <w:rPr>
            <w:rStyle w:val="Hyperlink"/>
            <w:rFonts w:ascii="Verdana" w:hAnsi="Verdana"/>
          </w:rPr>
          <w:t>https://www.bis.org/publ/qtrpdf/r_qt1709h.htm</w:t>
        </w:r>
      </w:hyperlink>
    </w:p>
    <w:p w14:paraId="30F4A9DA" w14:textId="77777777" w:rsidR="00BB2F3E" w:rsidRPr="008051DC" w:rsidRDefault="00BB2F3E" w:rsidP="00790A5F">
      <w:pPr>
        <w:pStyle w:val="Standard"/>
        <w:spacing w:line="480" w:lineRule="auto"/>
        <w:rPr>
          <w:rFonts w:ascii="Verdana" w:hAnsi="Verdana"/>
        </w:rPr>
      </w:pPr>
    </w:p>
    <w:p w14:paraId="39B5F04A" w14:textId="2E55F440" w:rsidR="009D6D33" w:rsidRPr="008051DC" w:rsidRDefault="009D6D33" w:rsidP="00790A5F">
      <w:pPr>
        <w:pStyle w:val="Standard"/>
        <w:spacing w:line="480" w:lineRule="auto"/>
        <w:rPr>
          <w:rFonts w:ascii="Verdana" w:hAnsi="Verdana"/>
        </w:rPr>
      </w:pPr>
      <w:proofErr w:type="spellStart"/>
      <w:r w:rsidRPr="008051DC">
        <w:rPr>
          <w:rFonts w:ascii="Verdana" w:hAnsi="Verdana"/>
        </w:rPr>
        <w:t>Corke</w:t>
      </w:r>
      <w:proofErr w:type="spellEnd"/>
      <w:r w:rsidR="00DE07C4" w:rsidRPr="008051DC">
        <w:rPr>
          <w:rFonts w:ascii="Verdana" w:hAnsi="Verdana"/>
        </w:rPr>
        <w:t xml:space="preserve"> and </w:t>
      </w:r>
      <w:r w:rsidRPr="008051DC">
        <w:rPr>
          <w:rFonts w:ascii="Verdana" w:hAnsi="Verdana"/>
        </w:rPr>
        <w:t xml:space="preserve">Myers (2019). </w:t>
      </w:r>
      <w:r w:rsidRPr="008051DC">
        <w:rPr>
          <w:rFonts w:ascii="Verdana" w:hAnsi="Verdana"/>
          <w:i/>
          <w:iCs w:val="0"/>
        </w:rPr>
        <w:t>When ‘green’ bonds go brown.</w:t>
      </w:r>
      <w:r w:rsidRPr="008051DC">
        <w:rPr>
          <w:rFonts w:ascii="Verdana" w:hAnsi="Verdana"/>
        </w:rPr>
        <w:t xml:space="preserve"> Available at: </w:t>
      </w:r>
      <w:hyperlink r:id="rId15" w:history="1">
        <w:r w:rsidR="00832756" w:rsidRPr="008051DC">
          <w:rPr>
            <w:rStyle w:val="Hyperlink"/>
            <w:rFonts w:ascii="Verdana" w:hAnsi="Verdana"/>
          </w:rPr>
          <w:t>https://www.lexology.com/library/detail.aspx?g=0a6503d3-d4ff-44fc-ab2b-5166c157f630</w:t>
        </w:r>
      </w:hyperlink>
    </w:p>
    <w:p w14:paraId="3B58CD0A" w14:textId="40E45A85" w:rsidR="00832756" w:rsidRPr="008051DC" w:rsidRDefault="00832756" w:rsidP="00790A5F">
      <w:pPr>
        <w:pStyle w:val="Standard"/>
        <w:spacing w:line="480" w:lineRule="auto"/>
        <w:rPr>
          <w:rFonts w:ascii="Verdana" w:hAnsi="Verdana"/>
        </w:rPr>
      </w:pPr>
    </w:p>
    <w:p w14:paraId="487DA911" w14:textId="77777777" w:rsidR="00832756" w:rsidRPr="008051DC" w:rsidRDefault="00832756" w:rsidP="00790A5F">
      <w:pPr>
        <w:pStyle w:val="Standard"/>
        <w:spacing w:line="480" w:lineRule="auto"/>
        <w:rPr>
          <w:rFonts w:ascii="Verdana" w:hAnsi="Verdana"/>
        </w:rPr>
      </w:pPr>
      <w:proofErr w:type="spellStart"/>
      <w:r w:rsidRPr="008051DC">
        <w:rPr>
          <w:rFonts w:ascii="Verdana" w:hAnsi="Verdana"/>
        </w:rPr>
        <w:t>Larcker</w:t>
      </w:r>
      <w:proofErr w:type="spellEnd"/>
      <w:r w:rsidRPr="008051DC">
        <w:rPr>
          <w:rFonts w:ascii="Verdana" w:hAnsi="Verdana"/>
        </w:rPr>
        <w:t xml:space="preserve"> and Watts (2019), Journal of Accounting and Economics</w:t>
      </w:r>
    </w:p>
    <w:p w14:paraId="3FCD0800" w14:textId="534746CD" w:rsidR="00376D94" w:rsidRPr="008051DC" w:rsidRDefault="00832756" w:rsidP="00790A5F">
      <w:pPr>
        <w:pStyle w:val="Standard"/>
        <w:spacing w:line="480" w:lineRule="auto"/>
        <w:rPr>
          <w:rFonts w:ascii="Verdana" w:hAnsi="Verdana"/>
        </w:rPr>
      </w:pPr>
      <w:r w:rsidRPr="008051DC">
        <w:rPr>
          <w:rFonts w:ascii="Verdana" w:hAnsi="Verdana"/>
        </w:rPr>
        <w:lastRenderedPageBreak/>
        <w:t xml:space="preserve">Volume 69, Issues 2–3, April–May 2020. </w:t>
      </w:r>
      <w:r w:rsidRPr="008051DC">
        <w:rPr>
          <w:rFonts w:ascii="Verdana" w:hAnsi="Verdana"/>
          <w:i/>
          <w:iCs w:val="0"/>
        </w:rPr>
        <w:t xml:space="preserve">Where’s the </w:t>
      </w:r>
      <w:proofErr w:type="spellStart"/>
      <w:r w:rsidRPr="008051DC">
        <w:rPr>
          <w:rFonts w:ascii="Verdana" w:hAnsi="Verdana"/>
          <w:i/>
          <w:iCs w:val="0"/>
        </w:rPr>
        <w:t>greenium</w:t>
      </w:r>
      <w:proofErr w:type="spellEnd"/>
      <w:r w:rsidRPr="008051DC">
        <w:rPr>
          <w:rFonts w:ascii="Verdana" w:hAnsi="Verdana"/>
          <w:i/>
          <w:iCs w:val="0"/>
        </w:rPr>
        <w:t>?</w:t>
      </w:r>
      <w:r w:rsidRPr="008051DC">
        <w:rPr>
          <w:rFonts w:ascii="Verdana" w:hAnsi="Verdana"/>
        </w:rPr>
        <w:t xml:space="preserve"> Available at: </w:t>
      </w:r>
      <w:hyperlink r:id="rId16" w:history="1">
        <w:r w:rsidR="00376D94" w:rsidRPr="008051DC">
          <w:rPr>
            <w:rStyle w:val="Hyperlink"/>
            <w:rFonts w:ascii="Verdana" w:hAnsi="Verdana"/>
          </w:rPr>
          <w:t>https://doi.org/10.1016/j.jacceco.2020.101312</w:t>
        </w:r>
      </w:hyperlink>
    </w:p>
    <w:p w14:paraId="707402A2" w14:textId="77777777" w:rsidR="00376D94" w:rsidRPr="008051DC" w:rsidRDefault="00376D94" w:rsidP="00790A5F">
      <w:pPr>
        <w:pStyle w:val="Standard"/>
        <w:spacing w:line="480" w:lineRule="auto"/>
        <w:rPr>
          <w:rFonts w:ascii="Verdana" w:hAnsi="Verdana"/>
        </w:rPr>
      </w:pPr>
    </w:p>
    <w:p w14:paraId="6163C707" w14:textId="0E188E5E" w:rsidR="00376D94" w:rsidRPr="008051DC" w:rsidRDefault="00376D94" w:rsidP="00790A5F">
      <w:pPr>
        <w:pStyle w:val="Standard"/>
        <w:spacing w:line="480" w:lineRule="auto"/>
        <w:rPr>
          <w:rFonts w:ascii="Verdana" w:hAnsi="Verdana"/>
        </w:rPr>
      </w:pPr>
      <w:r w:rsidRPr="008051DC">
        <w:rPr>
          <w:rFonts w:ascii="Verdana" w:hAnsi="Verdana"/>
        </w:rPr>
        <w:t>Chen, Sinha and Dong (2019), Business Strategy and the Environment Volume 29, Issue 1 (2020)</w:t>
      </w:r>
      <w:r w:rsidR="00A2141E">
        <w:rPr>
          <w:rFonts w:ascii="Verdana" w:hAnsi="Verdana"/>
        </w:rPr>
        <w:t>,</w:t>
      </w:r>
      <w:r w:rsidRPr="008051DC">
        <w:rPr>
          <w:rFonts w:ascii="Verdana" w:hAnsi="Verdana"/>
        </w:rPr>
        <w:t xml:space="preserve"> </w:t>
      </w:r>
      <w:r w:rsidRPr="008051DC">
        <w:rPr>
          <w:rFonts w:ascii="Verdana" w:hAnsi="Verdana"/>
          <w:i/>
          <w:iCs w:val="0"/>
        </w:rPr>
        <w:t>Are firms with state ownership greener? An institutional complexity view.</w:t>
      </w:r>
      <w:r w:rsidRPr="008051DC">
        <w:rPr>
          <w:rFonts w:ascii="Verdana" w:hAnsi="Verdana"/>
        </w:rPr>
        <w:t xml:space="preserve"> Available at: </w:t>
      </w:r>
      <w:hyperlink r:id="rId17" w:history="1">
        <w:r w:rsidR="00434D62" w:rsidRPr="008051DC">
          <w:rPr>
            <w:rStyle w:val="Hyperlink"/>
            <w:rFonts w:ascii="Verdana" w:hAnsi="Verdana"/>
          </w:rPr>
          <w:t>https://onlinelibrary.wiley.com/doi/abs/10.1002/bse.2358</w:t>
        </w:r>
      </w:hyperlink>
    </w:p>
    <w:p w14:paraId="0F18D3EE" w14:textId="6398C9C5" w:rsidR="00434D62" w:rsidRPr="008051DC" w:rsidRDefault="00434D62" w:rsidP="00790A5F">
      <w:pPr>
        <w:pStyle w:val="Standard"/>
        <w:spacing w:line="480" w:lineRule="auto"/>
        <w:rPr>
          <w:rFonts w:ascii="Verdana" w:hAnsi="Verdana"/>
        </w:rPr>
      </w:pPr>
    </w:p>
    <w:p w14:paraId="30EFF7D5" w14:textId="346D3DA8" w:rsidR="00376D94" w:rsidRDefault="00434D62" w:rsidP="00790A5F">
      <w:pPr>
        <w:pStyle w:val="Standard"/>
        <w:spacing w:line="480" w:lineRule="auto"/>
        <w:rPr>
          <w:rFonts w:ascii="Verdana" w:hAnsi="Verdana"/>
        </w:rPr>
      </w:pPr>
      <w:proofErr w:type="spellStart"/>
      <w:r w:rsidRPr="008051DC">
        <w:rPr>
          <w:rFonts w:ascii="Verdana" w:hAnsi="Verdana"/>
        </w:rPr>
        <w:t>Koleski</w:t>
      </w:r>
      <w:proofErr w:type="spellEnd"/>
      <w:r w:rsidRPr="008051DC">
        <w:rPr>
          <w:rFonts w:ascii="Verdana" w:hAnsi="Verdana"/>
        </w:rPr>
        <w:t xml:space="preserve"> (2017), </w:t>
      </w:r>
      <w:r w:rsidRPr="008051DC">
        <w:rPr>
          <w:rFonts w:ascii="Verdana" w:hAnsi="Verdana"/>
          <w:i/>
          <w:iCs w:val="0"/>
        </w:rPr>
        <w:t>US-China Economic and Security Review Commission Staff Research Report</w:t>
      </w:r>
      <w:r w:rsidRPr="008051DC">
        <w:rPr>
          <w:rFonts w:ascii="Verdana" w:hAnsi="Verdana"/>
        </w:rPr>
        <w:t xml:space="preserve">. Available at: </w:t>
      </w:r>
      <w:hyperlink r:id="rId18" w:history="1">
        <w:r w:rsidR="00A2141E" w:rsidRPr="00B44007">
          <w:rPr>
            <w:rStyle w:val="Hyperlink"/>
            <w:rFonts w:ascii="Verdana" w:hAnsi="Verdana"/>
          </w:rPr>
          <w:t>https://www.uscc.gov/sites/default/files/Research/The%2013th%20Five-Year%20Plan_Final_2.14.17_Updated%20(002).pdf</w:t>
        </w:r>
      </w:hyperlink>
    </w:p>
    <w:p w14:paraId="58BFE9ED" w14:textId="555B19CA" w:rsidR="00A2141E" w:rsidRDefault="00A2141E" w:rsidP="00790A5F">
      <w:pPr>
        <w:pStyle w:val="Standard"/>
        <w:spacing w:line="480" w:lineRule="auto"/>
        <w:rPr>
          <w:rFonts w:ascii="Verdana" w:hAnsi="Verdana"/>
        </w:rPr>
      </w:pPr>
    </w:p>
    <w:p w14:paraId="22F9363F" w14:textId="20FD9B40" w:rsidR="00A2141E" w:rsidRPr="008051DC" w:rsidRDefault="00A2141E" w:rsidP="00790A5F">
      <w:pPr>
        <w:pStyle w:val="Standard"/>
        <w:spacing w:line="480" w:lineRule="auto"/>
        <w:rPr>
          <w:rFonts w:ascii="Verdana" w:hAnsi="Verdana"/>
        </w:rPr>
      </w:pPr>
      <w:proofErr w:type="spellStart"/>
      <w:r>
        <w:rPr>
          <w:rFonts w:ascii="Verdana" w:hAnsi="Verdana"/>
        </w:rPr>
        <w:t>Eckbo</w:t>
      </w:r>
      <w:proofErr w:type="spellEnd"/>
      <w:r>
        <w:rPr>
          <w:rFonts w:ascii="Verdana" w:hAnsi="Verdana"/>
        </w:rPr>
        <w:t xml:space="preserve">, </w:t>
      </w:r>
      <w:proofErr w:type="spellStart"/>
      <w:r>
        <w:rPr>
          <w:rFonts w:ascii="Verdana" w:hAnsi="Verdana"/>
        </w:rPr>
        <w:t>Masulis</w:t>
      </w:r>
      <w:proofErr w:type="spellEnd"/>
      <w:r>
        <w:rPr>
          <w:rFonts w:ascii="Verdana" w:hAnsi="Verdana"/>
        </w:rPr>
        <w:t xml:space="preserve"> and </w:t>
      </w:r>
      <w:proofErr w:type="spellStart"/>
      <w:r>
        <w:rPr>
          <w:rFonts w:ascii="Verdana" w:hAnsi="Verdana"/>
        </w:rPr>
        <w:t>Norli</w:t>
      </w:r>
      <w:proofErr w:type="spellEnd"/>
      <w:r>
        <w:rPr>
          <w:rFonts w:ascii="Verdana" w:hAnsi="Verdana"/>
        </w:rPr>
        <w:t xml:space="preserve"> (2007), </w:t>
      </w:r>
      <w:r w:rsidRPr="00A2141E">
        <w:rPr>
          <w:rFonts w:ascii="Verdana" w:hAnsi="Verdana"/>
        </w:rPr>
        <w:t>HANDBOOK OF CORPORATE FINANCE: EMPIRICAL CORPORATE FINANCE, Vol. 1</w:t>
      </w:r>
      <w:r>
        <w:rPr>
          <w:rFonts w:ascii="Verdana" w:hAnsi="Verdana"/>
        </w:rPr>
        <w:t xml:space="preserve">, </w:t>
      </w:r>
      <w:r w:rsidRPr="00A2141E">
        <w:rPr>
          <w:rFonts w:ascii="Verdana" w:hAnsi="Verdana"/>
        </w:rPr>
        <w:t>Chapter 6, pp. 233-373, Elsevier/North-Holland Handbook of Finance Series</w:t>
      </w:r>
      <w:r>
        <w:rPr>
          <w:rFonts w:ascii="Verdana" w:hAnsi="Verdana"/>
        </w:rPr>
        <w:t xml:space="preserve">, </w:t>
      </w:r>
      <w:r>
        <w:rPr>
          <w:rFonts w:ascii="Verdana" w:hAnsi="Verdana"/>
          <w:i/>
          <w:iCs w:val="0"/>
        </w:rPr>
        <w:t>Security Offerings.</w:t>
      </w:r>
      <w:r>
        <w:rPr>
          <w:rFonts w:ascii="Verdana" w:hAnsi="Verdana"/>
        </w:rPr>
        <w:t xml:space="preserve"> Available at:</w:t>
      </w:r>
      <w:r w:rsidRPr="00A2141E">
        <w:t xml:space="preserve"> </w:t>
      </w:r>
      <w:r w:rsidRPr="00A2141E">
        <w:rPr>
          <w:rFonts w:ascii="Verdana" w:hAnsi="Verdana"/>
        </w:rPr>
        <w:t>https://papers.ssrn.com/sol3/papers.cfm?abstract_id=863664</w:t>
      </w:r>
    </w:p>
    <w:sectPr w:rsidR="00A2141E" w:rsidRPr="008051DC" w:rsidSect="009C582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1B220" w14:textId="77777777" w:rsidR="003E2DA9" w:rsidRDefault="003E2DA9" w:rsidP="00D43905">
      <w:pPr>
        <w:spacing w:after="0" w:line="240" w:lineRule="auto"/>
      </w:pPr>
      <w:r>
        <w:separator/>
      </w:r>
    </w:p>
  </w:endnote>
  <w:endnote w:type="continuationSeparator" w:id="0">
    <w:p w14:paraId="7BD9F448" w14:textId="77777777" w:rsidR="003E2DA9" w:rsidRDefault="003E2DA9" w:rsidP="00D43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872C1" w14:textId="77777777" w:rsidR="003E2DA9" w:rsidRDefault="003E2DA9" w:rsidP="00D43905">
      <w:pPr>
        <w:spacing w:after="0" w:line="240" w:lineRule="auto"/>
      </w:pPr>
      <w:r>
        <w:separator/>
      </w:r>
    </w:p>
  </w:footnote>
  <w:footnote w:type="continuationSeparator" w:id="0">
    <w:p w14:paraId="741BFA27" w14:textId="77777777" w:rsidR="003E2DA9" w:rsidRDefault="003E2DA9" w:rsidP="00D43905">
      <w:pPr>
        <w:spacing w:after="0" w:line="240" w:lineRule="auto"/>
      </w:pPr>
      <w:r>
        <w:continuationSeparator/>
      </w:r>
    </w:p>
  </w:footnote>
  <w:footnote w:id="1">
    <w:p w14:paraId="43C78E4A" w14:textId="123C9271" w:rsidR="007122EA" w:rsidRDefault="007122EA">
      <w:pPr>
        <w:pStyle w:val="FootnoteText"/>
      </w:pPr>
      <w:r>
        <w:rPr>
          <w:rStyle w:val="FootnoteReference"/>
        </w:rPr>
        <w:footnoteRef/>
      </w:r>
      <w:r>
        <w:t xml:space="preserve"> </w:t>
      </w:r>
      <w:r w:rsidRPr="00780503">
        <w:t>International Bank for Reconstruction and Development, The World Bank (2015)</w:t>
      </w:r>
    </w:p>
  </w:footnote>
  <w:footnote w:id="2">
    <w:p w14:paraId="087E9DAC" w14:textId="22149040" w:rsidR="007122EA" w:rsidRPr="00217E42" w:rsidRDefault="007122EA">
      <w:pPr>
        <w:pStyle w:val="FootnoteText"/>
        <w:rPr>
          <w:lang w:val="it-IT"/>
        </w:rPr>
      </w:pPr>
      <w:r>
        <w:rPr>
          <w:rStyle w:val="FootnoteReference"/>
        </w:rPr>
        <w:footnoteRef/>
      </w:r>
      <w:r>
        <w:t xml:space="preserve"> </w:t>
      </w:r>
      <w:proofErr w:type="spellStart"/>
      <w:r>
        <w:t>Unicredit</w:t>
      </w:r>
      <w:proofErr w:type="spellEnd"/>
      <w:r>
        <w:t xml:space="preserve"> Bank (2020).</w:t>
      </w:r>
    </w:p>
  </w:footnote>
  <w:footnote w:id="3">
    <w:p w14:paraId="5DC95959" w14:textId="66E1E9D8" w:rsidR="007122EA" w:rsidRDefault="007122EA">
      <w:pPr>
        <w:pStyle w:val="FootnoteText"/>
      </w:pPr>
      <w:r>
        <w:rPr>
          <w:rStyle w:val="FootnoteReference"/>
        </w:rPr>
        <w:footnoteRef/>
      </w:r>
      <w:r>
        <w:t xml:space="preserve"> The Climate Bonds Initiative (2020)</w:t>
      </w:r>
    </w:p>
  </w:footnote>
  <w:footnote w:id="4">
    <w:p w14:paraId="43015C0A" w14:textId="3EC2F83D" w:rsidR="007122EA" w:rsidRDefault="007122EA">
      <w:pPr>
        <w:pStyle w:val="FootnoteText"/>
      </w:pPr>
      <w:r>
        <w:rPr>
          <w:rStyle w:val="FootnoteReference"/>
        </w:rPr>
        <w:footnoteRef/>
      </w:r>
      <w:r>
        <w:t xml:space="preserve"> </w:t>
      </w:r>
      <w:proofErr w:type="spellStart"/>
      <w:r w:rsidRPr="00BB2F3E">
        <w:t>Corke</w:t>
      </w:r>
      <w:proofErr w:type="spellEnd"/>
      <w:r w:rsidRPr="00BB2F3E">
        <w:t xml:space="preserve"> and Myers (2019)</w:t>
      </w:r>
    </w:p>
  </w:footnote>
  <w:footnote w:id="5">
    <w:p w14:paraId="3560587E" w14:textId="7664AAF9" w:rsidR="007122EA" w:rsidRDefault="007122EA">
      <w:pPr>
        <w:pStyle w:val="FootnoteText"/>
      </w:pPr>
      <w:r>
        <w:rPr>
          <w:rStyle w:val="FootnoteReference"/>
        </w:rPr>
        <w:footnoteRef/>
      </w:r>
      <w:r>
        <w:t xml:space="preserve"> </w:t>
      </w:r>
      <w:r w:rsidRPr="00E01745">
        <w:t>Ehlers and Packer (2017)</w:t>
      </w:r>
    </w:p>
  </w:footnote>
  <w:footnote w:id="6">
    <w:p w14:paraId="2374800C" w14:textId="4B31631A" w:rsidR="007122EA" w:rsidRDefault="007122EA">
      <w:pPr>
        <w:pStyle w:val="FootnoteText"/>
      </w:pPr>
      <w:r>
        <w:rPr>
          <w:rStyle w:val="FootnoteReference"/>
        </w:rPr>
        <w:footnoteRef/>
      </w:r>
      <w:r>
        <w:t xml:space="preserve"> See </w:t>
      </w:r>
      <w:proofErr w:type="spellStart"/>
      <w:r w:rsidRPr="00832756">
        <w:t>Larcker</w:t>
      </w:r>
      <w:proofErr w:type="spellEnd"/>
      <w:r w:rsidRPr="00832756">
        <w:t xml:space="preserve"> and Watts (2019)</w:t>
      </w:r>
      <w:r>
        <w:t xml:space="preserve"> and Flammer (2020) among others.</w:t>
      </w:r>
    </w:p>
  </w:footnote>
  <w:footnote w:id="7">
    <w:p w14:paraId="0D9D032F" w14:textId="77F59BBE" w:rsidR="007122EA" w:rsidRDefault="007122EA">
      <w:pPr>
        <w:pStyle w:val="FootnoteText"/>
      </w:pPr>
      <w:r>
        <w:rPr>
          <w:rStyle w:val="FootnoteReference"/>
        </w:rPr>
        <w:footnoteRef/>
      </w:r>
      <w:r>
        <w:t xml:space="preserve"> </w:t>
      </w:r>
      <w:r w:rsidRPr="008503C3">
        <w:t>Ehlers and Packer (2017)</w:t>
      </w:r>
    </w:p>
  </w:footnote>
  <w:footnote w:id="8">
    <w:p w14:paraId="538B8183" w14:textId="104D6C53" w:rsidR="007122EA" w:rsidRDefault="007122EA">
      <w:pPr>
        <w:pStyle w:val="FootnoteText"/>
      </w:pPr>
      <w:r>
        <w:rPr>
          <w:rStyle w:val="FootnoteReference"/>
        </w:rPr>
        <w:footnoteRef/>
      </w:r>
      <w:r>
        <w:t xml:space="preserve"> </w:t>
      </w:r>
      <w:proofErr w:type="spellStart"/>
      <w:r>
        <w:t>Unicredit</w:t>
      </w:r>
      <w:proofErr w:type="spellEnd"/>
      <w:r>
        <w:t xml:space="preserve"> Bank (2020)</w:t>
      </w:r>
    </w:p>
  </w:footnote>
  <w:footnote w:id="9">
    <w:p w14:paraId="58A48887" w14:textId="65FBD260" w:rsidR="007122EA" w:rsidRDefault="007122EA">
      <w:pPr>
        <w:pStyle w:val="FootnoteText"/>
      </w:pPr>
      <w:r>
        <w:rPr>
          <w:rStyle w:val="FootnoteReference"/>
        </w:rPr>
        <w:footnoteRef/>
      </w:r>
      <w:r>
        <w:t xml:space="preserve"> </w:t>
      </w:r>
      <w:r w:rsidRPr="00137432">
        <w:t>Chen, Sinha and Dong (2019)</w:t>
      </w:r>
    </w:p>
  </w:footnote>
  <w:footnote w:id="10">
    <w:p w14:paraId="7937720F" w14:textId="0559E926" w:rsidR="007122EA" w:rsidRDefault="007122EA">
      <w:pPr>
        <w:pStyle w:val="FootnoteText"/>
      </w:pPr>
      <w:r>
        <w:rPr>
          <w:rStyle w:val="FootnoteReference"/>
        </w:rPr>
        <w:footnoteRef/>
      </w:r>
      <w:r>
        <w:t xml:space="preserve"> </w:t>
      </w:r>
      <w:proofErr w:type="spellStart"/>
      <w:r w:rsidRPr="005737B1">
        <w:t>Koleski</w:t>
      </w:r>
      <w:proofErr w:type="spellEnd"/>
      <w:r w:rsidRPr="005737B1">
        <w:t xml:space="preserve"> (2017)</w:t>
      </w:r>
    </w:p>
  </w:footnote>
  <w:footnote w:id="11">
    <w:p w14:paraId="70735D12" w14:textId="4F943F75" w:rsidR="003F6089" w:rsidRDefault="003F6089" w:rsidP="003F6089">
      <w:pPr>
        <w:pStyle w:val="FootnoteText"/>
      </w:pPr>
      <w:r>
        <w:rPr>
          <w:rStyle w:val="FootnoteReference"/>
        </w:rPr>
        <w:footnoteRef/>
      </w:r>
      <w:r>
        <w:t xml:space="preserve"> </w:t>
      </w:r>
      <w:proofErr w:type="spellStart"/>
      <w:r>
        <w:t>Eckbo</w:t>
      </w:r>
      <w:proofErr w:type="spellEnd"/>
      <w:r>
        <w:t>,</w:t>
      </w:r>
      <w:r>
        <w:t xml:space="preserve"> </w:t>
      </w:r>
      <w:proofErr w:type="spellStart"/>
      <w:r>
        <w:t>Masulis</w:t>
      </w:r>
      <w:proofErr w:type="spellEnd"/>
      <w:r>
        <w:t xml:space="preserve">, and </w:t>
      </w:r>
      <w:proofErr w:type="spellStart"/>
      <w:r>
        <w:t>Norli</w:t>
      </w:r>
      <w:proofErr w:type="spellEnd"/>
      <w:r>
        <w:t xml:space="preserve"> </w:t>
      </w:r>
      <w:r>
        <w:t>(</w:t>
      </w:r>
      <w:r>
        <w:t>2007</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03036"/>
    <w:multiLevelType w:val="hybridMultilevel"/>
    <w:tmpl w:val="DAA218AA"/>
    <w:lvl w:ilvl="0" w:tplc="220A2A4A">
      <w:numFmt w:val="bullet"/>
      <w:lvlText w:val="•"/>
      <w:lvlJc w:val="left"/>
      <w:pPr>
        <w:ind w:left="720" w:hanging="360"/>
      </w:pPr>
      <w:rPr>
        <w:rFonts w:ascii="Verdana" w:eastAsiaTheme="minorHAnsi" w:hAnsi="Verdan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9029EF"/>
    <w:multiLevelType w:val="hybridMultilevel"/>
    <w:tmpl w:val="DAD22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0B2693"/>
    <w:multiLevelType w:val="hybridMultilevel"/>
    <w:tmpl w:val="13E6CEFE"/>
    <w:lvl w:ilvl="0" w:tplc="220A2A4A">
      <w:numFmt w:val="bullet"/>
      <w:lvlText w:val="•"/>
      <w:lvlJc w:val="left"/>
      <w:pPr>
        <w:ind w:left="720" w:hanging="360"/>
      </w:pPr>
      <w:rPr>
        <w:rFonts w:ascii="Verdana" w:eastAsiaTheme="minorHAnsi" w:hAnsi="Verdan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636FBD"/>
    <w:multiLevelType w:val="hybridMultilevel"/>
    <w:tmpl w:val="D02A7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3F32837"/>
    <w:multiLevelType w:val="hybridMultilevel"/>
    <w:tmpl w:val="0E1226B8"/>
    <w:lvl w:ilvl="0" w:tplc="220A2A4A">
      <w:numFmt w:val="bullet"/>
      <w:lvlText w:val="•"/>
      <w:lvlJc w:val="left"/>
      <w:pPr>
        <w:ind w:left="720" w:hanging="360"/>
      </w:pPr>
      <w:rPr>
        <w:rFonts w:ascii="Verdana" w:eastAsiaTheme="minorHAnsi" w:hAnsi="Verdan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6473D"/>
    <w:multiLevelType w:val="hybridMultilevel"/>
    <w:tmpl w:val="79729B1C"/>
    <w:lvl w:ilvl="0" w:tplc="220A2A4A">
      <w:numFmt w:val="bullet"/>
      <w:lvlText w:val="•"/>
      <w:lvlJc w:val="left"/>
      <w:pPr>
        <w:ind w:left="720" w:hanging="360"/>
      </w:pPr>
      <w:rPr>
        <w:rFonts w:ascii="Verdana" w:eastAsiaTheme="minorHAnsi" w:hAnsi="Verdan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E71EAC"/>
    <w:multiLevelType w:val="hybridMultilevel"/>
    <w:tmpl w:val="C5E44B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346040B"/>
    <w:multiLevelType w:val="hybridMultilevel"/>
    <w:tmpl w:val="B8622DC8"/>
    <w:lvl w:ilvl="0" w:tplc="21F07FDC">
      <w:numFmt w:val="bullet"/>
      <w:lvlText w:val="•"/>
      <w:lvlJc w:val="left"/>
      <w:pPr>
        <w:ind w:left="1080" w:hanging="720"/>
      </w:pPr>
      <w:rPr>
        <w:rFonts w:ascii="Verdana" w:eastAsiaTheme="minorHAnsi" w:hAnsi="Verdan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D93A51"/>
    <w:multiLevelType w:val="hybridMultilevel"/>
    <w:tmpl w:val="FD543A96"/>
    <w:lvl w:ilvl="0" w:tplc="21F07FDC">
      <w:numFmt w:val="bullet"/>
      <w:lvlText w:val="•"/>
      <w:lvlJc w:val="left"/>
      <w:pPr>
        <w:ind w:left="1080" w:hanging="720"/>
      </w:pPr>
      <w:rPr>
        <w:rFonts w:ascii="Verdana" w:eastAsiaTheme="minorHAnsi" w:hAnsi="Verdan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EC1A67"/>
    <w:multiLevelType w:val="multilevel"/>
    <w:tmpl w:val="3A9A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AA212E"/>
    <w:multiLevelType w:val="hybridMultilevel"/>
    <w:tmpl w:val="3B5ED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3"/>
  </w:num>
  <w:num w:numId="4">
    <w:abstractNumId w:val="1"/>
  </w:num>
  <w:num w:numId="5">
    <w:abstractNumId w:val="9"/>
  </w:num>
  <w:num w:numId="6">
    <w:abstractNumId w:val="10"/>
  </w:num>
  <w:num w:numId="7">
    <w:abstractNumId w:val="7"/>
  </w:num>
  <w:num w:numId="8">
    <w:abstractNumId w:val="8"/>
  </w:num>
  <w:num w:numId="9">
    <w:abstractNumId w:val="0"/>
  </w:num>
  <w:num w:numId="10">
    <w:abstractNumId w:val="5"/>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3B"/>
    <w:rsid w:val="00005177"/>
    <w:rsid w:val="000A0BE2"/>
    <w:rsid w:val="000D43D0"/>
    <w:rsid w:val="000E32F3"/>
    <w:rsid w:val="001065E7"/>
    <w:rsid w:val="00110F41"/>
    <w:rsid w:val="00137432"/>
    <w:rsid w:val="001A2A72"/>
    <w:rsid w:val="001A64FC"/>
    <w:rsid w:val="001C1531"/>
    <w:rsid w:val="001D41C8"/>
    <w:rsid w:val="00211B6B"/>
    <w:rsid w:val="00217E42"/>
    <w:rsid w:val="0024571F"/>
    <w:rsid w:val="00250C58"/>
    <w:rsid w:val="00265AB4"/>
    <w:rsid w:val="002B3028"/>
    <w:rsid w:val="002B732B"/>
    <w:rsid w:val="002C1F41"/>
    <w:rsid w:val="002F21E5"/>
    <w:rsid w:val="00304706"/>
    <w:rsid w:val="0033467F"/>
    <w:rsid w:val="003548BA"/>
    <w:rsid w:val="00376D94"/>
    <w:rsid w:val="003B0B12"/>
    <w:rsid w:val="003E2DA9"/>
    <w:rsid w:val="003F6089"/>
    <w:rsid w:val="00404770"/>
    <w:rsid w:val="00434D62"/>
    <w:rsid w:val="00437E5E"/>
    <w:rsid w:val="00463586"/>
    <w:rsid w:val="00481638"/>
    <w:rsid w:val="00482B0C"/>
    <w:rsid w:val="00490541"/>
    <w:rsid w:val="00493422"/>
    <w:rsid w:val="004A3738"/>
    <w:rsid w:val="004D158F"/>
    <w:rsid w:val="00516E13"/>
    <w:rsid w:val="00561486"/>
    <w:rsid w:val="00564B9D"/>
    <w:rsid w:val="005737B1"/>
    <w:rsid w:val="005B785E"/>
    <w:rsid w:val="005E3489"/>
    <w:rsid w:val="005E7A49"/>
    <w:rsid w:val="00606DFE"/>
    <w:rsid w:val="00617571"/>
    <w:rsid w:val="006274DA"/>
    <w:rsid w:val="006334E7"/>
    <w:rsid w:val="00652E89"/>
    <w:rsid w:val="006634BF"/>
    <w:rsid w:val="00683569"/>
    <w:rsid w:val="006C5722"/>
    <w:rsid w:val="006D0BD3"/>
    <w:rsid w:val="006D3BFE"/>
    <w:rsid w:val="006F097B"/>
    <w:rsid w:val="006F362D"/>
    <w:rsid w:val="0070558A"/>
    <w:rsid w:val="007122EA"/>
    <w:rsid w:val="007333A4"/>
    <w:rsid w:val="00741FBE"/>
    <w:rsid w:val="00755635"/>
    <w:rsid w:val="007701B0"/>
    <w:rsid w:val="00770D75"/>
    <w:rsid w:val="00777942"/>
    <w:rsid w:val="00780503"/>
    <w:rsid w:val="007838C1"/>
    <w:rsid w:val="007877ED"/>
    <w:rsid w:val="00790A5F"/>
    <w:rsid w:val="007C6454"/>
    <w:rsid w:val="008051DC"/>
    <w:rsid w:val="00832756"/>
    <w:rsid w:val="008503C3"/>
    <w:rsid w:val="008523DB"/>
    <w:rsid w:val="00855BB7"/>
    <w:rsid w:val="00887019"/>
    <w:rsid w:val="008B347C"/>
    <w:rsid w:val="008B4C76"/>
    <w:rsid w:val="00900398"/>
    <w:rsid w:val="0092352F"/>
    <w:rsid w:val="0093285D"/>
    <w:rsid w:val="0094338C"/>
    <w:rsid w:val="00962CFA"/>
    <w:rsid w:val="0096578A"/>
    <w:rsid w:val="009735B3"/>
    <w:rsid w:val="00991B13"/>
    <w:rsid w:val="009B254F"/>
    <w:rsid w:val="009C0223"/>
    <w:rsid w:val="009C08EB"/>
    <w:rsid w:val="009C5827"/>
    <w:rsid w:val="009D4E5C"/>
    <w:rsid w:val="009D6D33"/>
    <w:rsid w:val="009F1190"/>
    <w:rsid w:val="00A106BD"/>
    <w:rsid w:val="00A17590"/>
    <w:rsid w:val="00A2141E"/>
    <w:rsid w:val="00A2390B"/>
    <w:rsid w:val="00A27518"/>
    <w:rsid w:val="00A50F95"/>
    <w:rsid w:val="00A55B3A"/>
    <w:rsid w:val="00AB6620"/>
    <w:rsid w:val="00AC4E23"/>
    <w:rsid w:val="00AD2A90"/>
    <w:rsid w:val="00B03F56"/>
    <w:rsid w:val="00B422A2"/>
    <w:rsid w:val="00B4251D"/>
    <w:rsid w:val="00B62F17"/>
    <w:rsid w:val="00B6711B"/>
    <w:rsid w:val="00BA0AD1"/>
    <w:rsid w:val="00BA55E1"/>
    <w:rsid w:val="00BB2F3E"/>
    <w:rsid w:val="00BE4169"/>
    <w:rsid w:val="00BE6774"/>
    <w:rsid w:val="00BF1667"/>
    <w:rsid w:val="00BF2F3B"/>
    <w:rsid w:val="00C14F48"/>
    <w:rsid w:val="00C65AB5"/>
    <w:rsid w:val="00C67E6B"/>
    <w:rsid w:val="00C732EE"/>
    <w:rsid w:val="00C952CA"/>
    <w:rsid w:val="00CA00F3"/>
    <w:rsid w:val="00CB64A8"/>
    <w:rsid w:val="00CE0C80"/>
    <w:rsid w:val="00CE370C"/>
    <w:rsid w:val="00D005F8"/>
    <w:rsid w:val="00D43905"/>
    <w:rsid w:val="00DC171F"/>
    <w:rsid w:val="00DC4210"/>
    <w:rsid w:val="00DE07C4"/>
    <w:rsid w:val="00DF1EC6"/>
    <w:rsid w:val="00E01745"/>
    <w:rsid w:val="00E264D2"/>
    <w:rsid w:val="00E42BBA"/>
    <w:rsid w:val="00E62FB9"/>
    <w:rsid w:val="00EA2050"/>
    <w:rsid w:val="00EB07D8"/>
    <w:rsid w:val="00F035D4"/>
    <w:rsid w:val="00F4600E"/>
    <w:rsid w:val="00F614AB"/>
    <w:rsid w:val="00F64DB0"/>
    <w:rsid w:val="00FB313B"/>
    <w:rsid w:val="00FE53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F8D4"/>
  <w15:chartTrackingRefBased/>
  <w15:docId w15:val="{95803C91-78C0-488C-8678-8B6C7BF8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E5E"/>
  </w:style>
  <w:style w:type="paragraph" w:styleId="Heading1">
    <w:name w:val="heading 1"/>
    <w:basedOn w:val="Normal"/>
    <w:next w:val="Normal"/>
    <w:link w:val="Heading1Char"/>
    <w:uiPriority w:val="9"/>
    <w:qFormat/>
    <w:rsid w:val="004A3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7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7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373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439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3905"/>
    <w:rPr>
      <w:sz w:val="20"/>
      <w:szCs w:val="20"/>
    </w:rPr>
  </w:style>
  <w:style w:type="character" w:styleId="FootnoteReference">
    <w:name w:val="footnote reference"/>
    <w:basedOn w:val="DefaultParagraphFont"/>
    <w:uiPriority w:val="99"/>
    <w:semiHidden/>
    <w:unhideWhenUsed/>
    <w:rsid w:val="00D43905"/>
    <w:rPr>
      <w:vertAlign w:val="superscript"/>
    </w:rPr>
  </w:style>
  <w:style w:type="paragraph" w:customStyle="1" w:styleId="Standard">
    <w:name w:val="Standard"/>
    <w:rsid w:val="00780503"/>
    <w:pPr>
      <w:suppressAutoHyphens/>
      <w:autoSpaceDN w:val="0"/>
      <w:spacing w:after="0" w:line="360" w:lineRule="auto"/>
      <w:textAlignment w:val="baseline"/>
    </w:pPr>
    <w:rPr>
      <w:rFonts w:ascii="Times New Roman" w:eastAsia="Times New Roman" w:hAnsi="Times New Roman" w:cs="Times New Roman"/>
      <w:iCs/>
      <w:color w:val="000000"/>
      <w:kern w:val="3"/>
      <w:sz w:val="24"/>
      <w:szCs w:val="24"/>
      <w:shd w:val="clear" w:color="auto" w:fill="FCFCFC"/>
      <w:lang w:eastAsia="zh-CN" w:bidi="en-US"/>
    </w:rPr>
  </w:style>
  <w:style w:type="character" w:customStyle="1" w:styleId="Internetlink">
    <w:name w:val="Internet link"/>
    <w:rsid w:val="00780503"/>
    <w:rPr>
      <w:u w:val="single"/>
    </w:rPr>
  </w:style>
  <w:style w:type="character" w:customStyle="1" w:styleId="selectable">
    <w:name w:val="selectable"/>
    <w:rsid w:val="00780503"/>
    <w:rPr>
      <w:lang w:val="en-US"/>
    </w:rPr>
  </w:style>
  <w:style w:type="paragraph" w:styleId="ListParagraph">
    <w:name w:val="List Paragraph"/>
    <w:basedOn w:val="Normal"/>
    <w:uiPriority w:val="34"/>
    <w:qFormat/>
    <w:rsid w:val="009B254F"/>
    <w:pPr>
      <w:ind w:left="720"/>
      <w:contextualSpacing/>
    </w:pPr>
  </w:style>
  <w:style w:type="character" w:styleId="Hyperlink">
    <w:name w:val="Hyperlink"/>
    <w:basedOn w:val="DefaultParagraphFont"/>
    <w:uiPriority w:val="99"/>
    <w:unhideWhenUsed/>
    <w:rsid w:val="00DC4210"/>
    <w:rPr>
      <w:color w:val="0563C1" w:themeColor="hyperlink"/>
      <w:u w:val="single"/>
    </w:rPr>
  </w:style>
  <w:style w:type="character" w:styleId="UnresolvedMention">
    <w:name w:val="Unresolved Mention"/>
    <w:basedOn w:val="DefaultParagraphFont"/>
    <w:uiPriority w:val="99"/>
    <w:semiHidden/>
    <w:unhideWhenUsed/>
    <w:rsid w:val="00DC4210"/>
    <w:rPr>
      <w:color w:val="605E5C"/>
      <w:shd w:val="clear" w:color="auto" w:fill="E1DFDD"/>
    </w:rPr>
  </w:style>
  <w:style w:type="paragraph" w:customStyle="1" w:styleId="rtejustify">
    <w:name w:val="rtejustify"/>
    <w:basedOn w:val="Normal"/>
    <w:rsid w:val="00E42BBA"/>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styleId="FollowedHyperlink">
    <w:name w:val="FollowedHyperlink"/>
    <w:basedOn w:val="DefaultParagraphFont"/>
    <w:uiPriority w:val="99"/>
    <w:semiHidden/>
    <w:unhideWhenUsed/>
    <w:rsid w:val="007838C1"/>
    <w:rPr>
      <w:color w:val="954F72" w:themeColor="followedHyperlink"/>
      <w:u w:val="single"/>
    </w:rPr>
  </w:style>
  <w:style w:type="paragraph" w:styleId="NormalWeb">
    <w:name w:val="Normal (Web)"/>
    <w:basedOn w:val="Normal"/>
    <w:uiPriority w:val="99"/>
    <w:semiHidden/>
    <w:unhideWhenUsed/>
    <w:rsid w:val="00E017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01745"/>
    <w:rPr>
      <w:b/>
      <w:bCs/>
    </w:rPr>
  </w:style>
  <w:style w:type="character" w:styleId="LineNumber">
    <w:name w:val="line number"/>
    <w:basedOn w:val="DefaultParagraphFont"/>
    <w:uiPriority w:val="99"/>
    <w:semiHidden/>
    <w:unhideWhenUsed/>
    <w:rsid w:val="009C5827"/>
  </w:style>
  <w:style w:type="table" w:styleId="TableGrid">
    <w:name w:val="Table Grid"/>
    <w:basedOn w:val="TableNormal"/>
    <w:uiPriority w:val="39"/>
    <w:rsid w:val="00850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65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01427">
      <w:bodyDiv w:val="1"/>
      <w:marLeft w:val="0"/>
      <w:marRight w:val="0"/>
      <w:marTop w:val="0"/>
      <w:marBottom w:val="0"/>
      <w:divBdr>
        <w:top w:val="none" w:sz="0" w:space="0" w:color="auto"/>
        <w:left w:val="none" w:sz="0" w:space="0" w:color="auto"/>
        <w:bottom w:val="none" w:sz="0" w:space="0" w:color="auto"/>
        <w:right w:val="none" w:sz="0" w:space="0" w:color="auto"/>
      </w:divBdr>
    </w:div>
    <w:div w:id="204946029">
      <w:bodyDiv w:val="1"/>
      <w:marLeft w:val="0"/>
      <w:marRight w:val="0"/>
      <w:marTop w:val="0"/>
      <w:marBottom w:val="0"/>
      <w:divBdr>
        <w:top w:val="none" w:sz="0" w:space="0" w:color="auto"/>
        <w:left w:val="none" w:sz="0" w:space="0" w:color="auto"/>
        <w:bottom w:val="none" w:sz="0" w:space="0" w:color="auto"/>
        <w:right w:val="none" w:sz="0" w:space="0" w:color="auto"/>
      </w:divBdr>
    </w:div>
    <w:div w:id="313486946">
      <w:bodyDiv w:val="1"/>
      <w:marLeft w:val="0"/>
      <w:marRight w:val="0"/>
      <w:marTop w:val="0"/>
      <w:marBottom w:val="0"/>
      <w:divBdr>
        <w:top w:val="none" w:sz="0" w:space="0" w:color="auto"/>
        <w:left w:val="none" w:sz="0" w:space="0" w:color="auto"/>
        <w:bottom w:val="none" w:sz="0" w:space="0" w:color="auto"/>
        <w:right w:val="none" w:sz="0" w:space="0" w:color="auto"/>
      </w:divBdr>
    </w:div>
    <w:div w:id="535389647">
      <w:bodyDiv w:val="1"/>
      <w:marLeft w:val="0"/>
      <w:marRight w:val="0"/>
      <w:marTop w:val="0"/>
      <w:marBottom w:val="0"/>
      <w:divBdr>
        <w:top w:val="none" w:sz="0" w:space="0" w:color="auto"/>
        <w:left w:val="none" w:sz="0" w:space="0" w:color="auto"/>
        <w:bottom w:val="none" w:sz="0" w:space="0" w:color="auto"/>
        <w:right w:val="none" w:sz="0" w:space="0" w:color="auto"/>
      </w:divBdr>
    </w:div>
    <w:div w:id="750663744">
      <w:bodyDiv w:val="1"/>
      <w:marLeft w:val="0"/>
      <w:marRight w:val="0"/>
      <w:marTop w:val="0"/>
      <w:marBottom w:val="0"/>
      <w:divBdr>
        <w:top w:val="none" w:sz="0" w:space="0" w:color="auto"/>
        <w:left w:val="none" w:sz="0" w:space="0" w:color="auto"/>
        <w:bottom w:val="none" w:sz="0" w:space="0" w:color="auto"/>
        <w:right w:val="none" w:sz="0" w:space="0" w:color="auto"/>
      </w:divBdr>
    </w:div>
    <w:div w:id="831482716">
      <w:bodyDiv w:val="1"/>
      <w:marLeft w:val="0"/>
      <w:marRight w:val="0"/>
      <w:marTop w:val="0"/>
      <w:marBottom w:val="0"/>
      <w:divBdr>
        <w:top w:val="none" w:sz="0" w:space="0" w:color="auto"/>
        <w:left w:val="none" w:sz="0" w:space="0" w:color="auto"/>
        <w:bottom w:val="none" w:sz="0" w:space="0" w:color="auto"/>
        <w:right w:val="none" w:sz="0" w:space="0" w:color="auto"/>
      </w:divBdr>
    </w:div>
    <w:div w:id="834608946">
      <w:bodyDiv w:val="1"/>
      <w:marLeft w:val="0"/>
      <w:marRight w:val="0"/>
      <w:marTop w:val="0"/>
      <w:marBottom w:val="0"/>
      <w:divBdr>
        <w:top w:val="none" w:sz="0" w:space="0" w:color="auto"/>
        <w:left w:val="none" w:sz="0" w:space="0" w:color="auto"/>
        <w:bottom w:val="none" w:sz="0" w:space="0" w:color="auto"/>
        <w:right w:val="none" w:sz="0" w:space="0" w:color="auto"/>
      </w:divBdr>
    </w:div>
    <w:div w:id="881357232">
      <w:bodyDiv w:val="1"/>
      <w:marLeft w:val="0"/>
      <w:marRight w:val="0"/>
      <w:marTop w:val="0"/>
      <w:marBottom w:val="0"/>
      <w:divBdr>
        <w:top w:val="none" w:sz="0" w:space="0" w:color="auto"/>
        <w:left w:val="none" w:sz="0" w:space="0" w:color="auto"/>
        <w:bottom w:val="none" w:sz="0" w:space="0" w:color="auto"/>
        <w:right w:val="none" w:sz="0" w:space="0" w:color="auto"/>
      </w:divBdr>
    </w:div>
    <w:div w:id="919556598">
      <w:bodyDiv w:val="1"/>
      <w:marLeft w:val="0"/>
      <w:marRight w:val="0"/>
      <w:marTop w:val="0"/>
      <w:marBottom w:val="0"/>
      <w:divBdr>
        <w:top w:val="none" w:sz="0" w:space="0" w:color="auto"/>
        <w:left w:val="none" w:sz="0" w:space="0" w:color="auto"/>
        <w:bottom w:val="none" w:sz="0" w:space="0" w:color="auto"/>
        <w:right w:val="none" w:sz="0" w:space="0" w:color="auto"/>
      </w:divBdr>
    </w:div>
    <w:div w:id="928469425">
      <w:bodyDiv w:val="1"/>
      <w:marLeft w:val="0"/>
      <w:marRight w:val="0"/>
      <w:marTop w:val="0"/>
      <w:marBottom w:val="0"/>
      <w:divBdr>
        <w:top w:val="none" w:sz="0" w:space="0" w:color="auto"/>
        <w:left w:val="none" w:sz="0" w:space="0" w:color="auto"/>
        <w:bottom w:val="none" w:sz="0" w:space="0" w:color="auto"/>
        <w:right w:val="none" w:sz="0" w:space="0" w:color="auto"/>
      </w:divBdr>
    </w:div>
    <w:div w:id="988172721">
      <w:bodyDiv w:val="1"/>
      <w:marLeft w:val="0"/>
      <w:marRight w:val="0"/>
      <w:marTop w:val="0"/>
      <w:marBottom w:val="0"/>
      <w:divBdr>
        <w:top w:val="none" w:sz="0" w:space="0" w:color="auto"/>
        <w:left w:val="none" w:sz="0" w:space="0" w:color="auto"/>
        <w:bottom w:val="none" w:sz="0" w:space="0" w:color="auto"/>
        <w:right w:val="none" w:sz="0" w:space="0" w:color="auto"/>
      </w:divBdr>
    </w:div>
    <w:div w:id="995770073">
      <w:bodyDiv w:val="1"/>
      <w:marLeft w:val="0"/>
      <w:marRight w:val="0"/>
      <w:marTop w:val="0"/>
      <w:marBottom w:val="0"/>
      <w:divBdr>
        <w:top w:val="none" w:sz="0" w:space="0" w:color="auto"/>
        <w:left w:val="none" w:sz="0" w:space="0" w:color="auto"/>
        <w:bottom w:val="none" w:sz="0" w:space="0" w:color="auto"/>
        <w:right w:val="none" w:sz="0" w:space="0" w:color="auto"/>
      </w:divBdr>
    </w:div>
    <w:div w:id="1025986443">
      <w:bodyDiv w:val="1"/>
      <w:marLeft w:val="0"/>
      <w:marRight w:val="0"/>
      <w:marTop w:val="0"/>
      <w:marBottom w:val="0"/>
      <w:divBdr>
        <w:top w:val="none" w:sz="0" w:space="0" w:color="auto"/>
        <w:left w:val="none" w:sz="0" w:space="0" w:color="auto"/>
        <w:bottom w:val="none" w:sz="0" w:space="0" w:color="auto"/>
        <w:right w:val="none" w:sz="0" w:space="0" w:color="auto"/>
      </w:divBdr>
    </w:div>
    <w:div w:id="1211377147">
      <w:bodyDiv w:val="1"/>
      <w:marLeft w:val="0"/>
      <w:marRight w:val="0"/>
      <w:marTop w:val="0"/>
      <w:marBottom w:val="0"/>
      <w:divBdr>
        <w:top w:val="none" w:sz="0" w:space="0" w:color="auto"/>
        <w:left w:val="none" w:sz="0" w:space="0" w:color="auto"/>
        <w:bottom w:val="none" w:sz="0" w:space="0" w:color="auto"/>
        <w:right w:val="none" w:sz="0" w:space="0" w:color="auto"/>
      </w:divBdr>
    </w:div>
    <w:div w:id="1257640359">
      <w:bodyDiv w:val="1"/>
      <w:marLeft w:val="0"/>
      <w:marRight w:val="0"/>
      <w:marTop w:val="0"/>
      <w:marBottom w:val="0"/>
      <w:divBdr>
        <w:top w:val="none" w:sz="0" w:space="0" w:color="auto"/>
        <w:left w:val="none" w:sz="0" w:space="0" w:color="auto"/>
        <w:bottom w:val="none" w:sz="0" w:space="0" w:color="auto"/>
        <w:right w:val="none" w:sz="0" w:space="0" w:color="auto"/>
      </w:divBdr>
    </w:div>
    <w:div w:id="1280184114">
      <w:bodyDiv w:val="1"/>
      <w:marLeft w:val="0"/>
      <w:marRight w:val="0"/>
      <w:marTop w:val="0"/>
      <w:marBottom w:val="0"/>
      <w:divBdr>
        <w:top w:val="none" w:sz="0" w:space="0" w:color="auto"/>
        <w:left w:val="none" w:sz="0" w:space="0" w:color="auto"/>
        <w:bottom w:val="none" w:sz="0" w:space="0" w:color="auto"/>
        <w:right w:val="none" w:sz="0" w:space="0" w:color="auto"/>
      </w:divBdr>
    </w:div>
    <w:div w:id="1298679892">
      <w:bodyDiv w:val="1"/>
      <w:marLeft w:val="0"/>
      <w:marRight w:val="0"/>
      <w:marTop w:val="0"/>
      <w:marBottom w:val="0"/>
      <w:divBdr>
        <w:top w:val="none" w:sz="0" w:space="0" w:color="auto"/>
        <w:left w:val="none" w:sz="0" w:space="0" w:color="auto"/>
        <w:bottom w:val="none" w:sz="0" w:space="0" w:color="auto"/>
        <w:right w:val="none" w:sz="0" w:space="0" w:color="auto"/>
      </w:divBdr>
    </w:div>
    <w:div w:id="1338538538">
      <w:bodyDiv w:val="1"/>
      <w:marLeft w:val="0"/>
      <w:marRight w:val="0"/>
      <w:marTop w:val="0"/>
      <w:marBottom w:val="0"/>
      <w:divBdr>
        <w:top w:val="none" w:sz="0" w:space="0" w:color="auto"/>
        <w:left w:val="none" w:sz="0" w:space="0" w:color="auto"/>
        <w:bottom w:val="none" w:sz="0" w:space="0" w:color="auto"/>
        <w:right w:val="none" w:sz="0" w:space="0" w:color="auto"/>
      </w:divBdr>
    </w:div>
    <w:div w:id="1411732647">
      <w:bodyDiv w:val="1"/>
      <w:marLeft w:val="0"/>
      <w:marRight w:val="0"/>
      <w:marTop w:val="0"/>
      <w:marBottom w:val="0"/>
      <w:divBdr>
        <w:top w:val="none" w:sz="0" w:space="0" w:color="auto"/>
        <w:left w:val="none" w:sz="0" w:space="0" w:color="auto"/>
        <w:bottom w:val="none" w:sz="0" w:space="0" w:color="auto"/>
        <w:right w:val="none" w:sz="0" w:space="0" w:color="auto"/>
      </w:divBdr>
    </w:div>
    <w:div w:id="1488285874">
      <w:bodyDiv w:val="1"/>
      <w:marLeft w:val="0"/>
      <w:marRight w:val="0"/>
      <w:marTop w:val="0"/>
      <w:marBottom w:val="0"/>
      <w:divBdr>
        <w:top w:val="none" w:sz="0" w:space="0" w:color="auto"/>
        <w:left w:val="none" w:sz="0" w:space="0" w:color="auto"/>
        <w:bottom w:val="none" w:sz="0" w:space="0" w:color="auto"/>
        <w:right w:val="none" w:sz="0" w:space="0" w:color="auto"/>
      </w:divBdr>
    </w:div>
    <w:div w:id="1525897884">
      <w:bodyDiv w:val="1"/>
      <w:marLeft w:val="0"/>
      <w:marRight w:val="0"/>
      <w:marTop w:val="0"/>
      <w:marBottom w:val="0"/>
      <w:divBdr>
        <w:top w:val="none" w:sz="0" w:space="0" w:color="auto"/>
        <w:left w:val="none" w:sz="0" w:space="0" w:color="auto"/>
        <w:bottom w:val="none" w:sz="0" w:space="0" w:color="auto"/>
        <w:right w:val="none" w:sz="0" w:space="0" w:color="auto"/>
      </w:divBdr>
    </w:div>
    <w:div w:id="207535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cmagroup.org/assets/documents/Regulatory/Green-Bonds/Green-Bonds-Principles-June-2018-270520.pdf" TargetMode="External"/><Relationship Id="rId18" Type="http://schemas.openxmlformats.org/officeDocument/2006/relationships/hyperlink" Target="https://www.uscc.gov/sites/default/files/Research/The%2013th%20Five-Year%20Plan_Final_2.14.17_Updated%20(00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unicredit.eu/DocsKey/credit_docs_2020_176565.ashx?EXT=pdf&amp;KEY=n03ZZLYZf5m_TjufI0N-SYIayxf3oNc8JOXSk3v6nU0=&amp;T=1" TargetMode="External"/><Relationship Id="rId17" Type="http://schemas.openxmlformats.org/officeDocument/2006/relationships/hyperlink" Target="https://onlinelibrary.wiley.com/doi/abs/10.1002/bse.2358" TargetMode="External"/><Relationship Id="rId2" Type="http://schemas.openxmlformats.org/officeDocument/2006/relationships/numbering" Target="numbering.xml"/><Relationship Id="rId16" Type="http://schemas.openxmlformats.org/officeDocument/2006/relationships/hyperlink" Target="https://doi.org/10.1016/j.jacceco.2020.10131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uments1.worldbank.org/curated/en/400251468187810398/pdf/99662-REVISED-WB-Green-Bond-Box393208B-PUBLIC.pdf" TargetMode="External"/><Relationship Id="rId5" Type="http://schemas.openxmlformats.org/officeDocument/2006/relationships/webSettings" Target="webSettings.xml"/><Relationship Id="rId15" Type="http://schemas.openxmlformats.org/officeDocument/2006/relationships/hyperlink" Target="https://www.lexology.com/library/detail.aspx?g=0a6503d3-d4ff-44fc-ab2b-5166c157f630" TargetMode="External"/><Relationship Id="rId10" Type="http://schemas.openxmlformats.org/officeDocument/2006/relationships/hyperlink" Target="https://github.com/ElLorans/GreenBond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is.org/publ/qtrpdf/r_qt1709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BE348-A193-45E8-BB7D-AE7000A31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2804</TotalTime>
  <Pages>28</Pages>
  <Words>4157</Words>
  <Characters>23695</Characters>
  <Application>Microsoft Office Word</Application>
  <DocSecurity>0</DocSecurity>
  <Lines>197</Lines>
  <Paragraphs>55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CERRETA</dc:creator>
  <cp:keywords/>
  <dc:description/>
  <cp:lastModifiedBy>LORENZO CERRETA</cp:lastModifiedBy>
  <cp:revision>43</cp:revision>
  <dcterms:created xsi:type="dcterms:W3CDTF">2020-10-25T20:39:00Z</dcterms:created>
  <dcterms:modified xsi:type="dcterms:W3CDTF">2020-11-01T23:22:00Z</dcterms:modified>
</cp:coreProperties>
</file>