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Georgia" w:cs="Georgia" w:eastAsia="Georgia" w:hAnsi="Georgia"/>
          <w:b/>
          <w:bCs/>
          <w:color w:val="7A1F2B"/>
          <w:sz w:val="56"/>
          <w:szCs w:val="56"/>
        </w:rPr>
        <w:t xml:space="preserve">I C C</w:t>
      </w:r>
    </w:p>
    <w:p>
      <w:pPr>
        <w:spacing w:after="40"/>
        <w:jc w:val="center"/>
      </w:pPr>
      <w:r>
        <w:rPr>
          <w:color w:val="222222"/>
          <w:sz w:val="32"/>
          <w:szCs w:val="32"/>
        </w:rPr>
        <w:t xml:space="preserve">Communauté Française de Belgique</w:t>
      </w:r>
    </w:p>
    <w:p>
      <w:pPr>
        <w:jc w:val="center"/>
      </w:pPr>
      <w:r>
        <w:rPr>
          <w:i/>
          <w:iCs/>
          <w:sz w:val="24"/>
          <w:szCs w:val="24"/>
        </w:rPr>
        <w:t xml:space="preserve">Institut des Carrières Commerciales</w:t>
      </w:r>
    </w:p>
    <w:p>
      <w:pPr>
        <w:jc w:val="center"/>
      </w:pPr>
      <w:r>
        <w:rPr>
          <w:i/>
          <w:iCs/>
          <w:sz w:val="24"/>
          <w:szCs w:val="24"/>
        </w:rPr>
        <w:t xml:space="preserve">Ville de Bruxelles</w:t>
      </w:r>
    </w:p>
    <w:p>
      <w:pPr>
        <w:jc w:val="center"/>
      </w:pPr>
      <w:r>
        <w:rPr>
          <w:i/>
          <w:iCs/>
          <w:sz w:val="24"/>
          <w:szCs w:val="24"/>
        </w:rPr>
        <w:t xml:space="preserve">Rue de la Fontaine, 4</w:t>
      </w:r>
    </w:p>
    <w:p>
      <w:pPr>
        <w:jc w:val="center"/>
      </w:pPr>
      <w:r>
        <w:rPr>
          <w:i/>
          <w:iCs/>
          <w:sz w:val="24"/>
          <w:szCs w:val="24"/>
        </w:rPr>
        <w:t xml:space="preserve">1000 Bruxelles</w:t>
      </w:r>
    </w:p>
    <w:p>
      <w:pPr>
        <w:spacing w:after="0" w:before="700"/>
        <w:jc w:val="center"/>
      </w:pPr>
      <w:r>
        <w:rPr>
          <w:rFonts w:ascii="Georgia" w:cs="Georgia" w:eastAsia="Georgia" w:hAnsi="Georgia"/>
          <w:b/>
          <w:bCs/>
          <w:color w:val="13233F"/>
          <w:sz w:val="80"/>
          <w:szCs w:val="80"/>
        </w:rPr>
        <w:t xml:space="preserve">Bike</w:t>
      </w:r>
      <w:r>
        <w:rPr>
          <w:rFonts w:ascii="Georgia" w:cs="Georgia" w:eastAsia="Georgia" w:hAnsi="Georgia"/>
          <w:b/>
          <w:bCs/>
          <w:color w:val="1FA67A"/>
          <w:sz w:val="80"/>
          <w:szCs w:val="80"/>
        </w:rPr>
        <w:t xml:space="preserve">Share</w:t>
      </w:r>
    </w:p>
    <w:p>
      <w:pPr>
        <w:spacing w:after="200" w:before="900"/>
        <w:jc w:val="center"/>
      </w:pPr>
    </w:p>
    <w:tbl>
      <w:tblPr>
        <w:tblW w:type="dxa" w:w="7200"/>
        <w:jc w:val="center"/>
        <w:tblBorders>
          <w:top w:val="single" w:color="13233F" w:sz="6"/>
          <w:left w:val="single" w:color="13233F" w:sz="6"/>
          <w:bottom w:val="single" w:color="13233F" w:sz="6"/>
          <w:right w:val="single" w:color="13233F" w:sz="6"/>
          <w:insideH w:val="none"/>
          <w:insideV w:val="none"/>
        </w:tblBorders>
      </w:tblPr>
      <w:tblGrid>
        <w:gridCol w:w="7200"/>
      </w:tblGrid>
      <w:tr>
        <w:tc>
          <w:tcPr>
            <w:tcW w:type="dxa" w:w="7200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i/>
                <w:iCs/>
                <w:color w:val="13233F"/>
                <w:sz w:val="32"/>
                <w:szCs w:val="32"/>
              </w:rPr>
              <w:t xml:space="preserve">Plateforme de location de vélos</w:t>
            </w:r>
          </w:p>
          <w:p>
            <w:pPr>
              <w:jc w:val="center"/>
            </w:pPr>
            <w:r>
              <w:rPr>
                <w:b/>
                <w:bCs/>
                <w:i/>
                <w:iCs/>
                <w:color w:val="13233F"/>
                <w:sz w:val="36"/>
                <w:szCs w:val="36"/>
              </w:rPr>
              <w:t xml:space="preserve">Schéma de base de données</w:t>
            </w:r>
          </w:p>
        </w:tc>
      </w:tr>
    </w:tbl>
    <w:p>
      <w:pPr>
        <w:pStyle w:val="Heading1"/>
        <w:pageBreakBefore/>
        <w:spacing w:after="160"/>
      </w:pPr>
      <w:r>
        <w:rPr>
          <w:b/>
          <w:bCs/>
          <w:color w:val="13233F"/>
          <w:sz w:val="32"/>
          <w:szCs w:val="32"/>
        </w:rPr>
        <w:t xml:space="preserve">Schéma de base de données</w:t>
      </w:r>
    </w:p>
    <w:p>
      <w:pPr>
        <w:spacing w:after="200"/>
        <w:jc w:val="center"/>
      </w:pPr>
      <w:r>
        <w:drawing>
          <wp:inline distT="0" distB="0" distL="0" distR="0">
            <wp:extent cx="4095750" cy="4648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1FA67A" w:sz="8" w:space="4"/>
        </w:pBdr>
        <w:spacing w:after="120" w:before="200"/>
      </w:pPr>
      <w:r>
        <w:rPr>
          <w:b/>
          <w:bCs/>
          <w:color w:val="13233F"/>
          <w:sz w:val="28"/>
          <w:szCs w:val="28"/>
        </w:rPr>
        <w:t xml:space="preserve">Explication du Schéma de Base de Données – BikeShare</w:t>
      </w:r>
    </w:p>
    <w:p>
      <w:pPr>
        <w:spacing w:after="30" w:before="160"/>
      </w:pPr>
      <w:r>
        <w:rPr>
          <w:b/>
          <w:bCs/>
          <w:color w:val="13233F"/>
          <w:sz w:val="22"/>
          <w:szCs w:val="22"/>
        </w:rPr>
        <w:t xml:space="preserve">Users → Bikes (1-n)</w:t>
      </w:r>
    </w:p>
    <w:p>
      <w:pPr>
        <w:spacing w:after="60"/>
        <w:ind w:left="360"/>
      </w:pPr>
      <w:r>
        <w:rPr>
          <w:sz w:val="21"/>
          <w:szCs w:val="21"/>
        </w:rPr>
        <w:t xml:space="preserve">— Un utilisateur peut posséder 0 à plusieurs vélos, mais un vélo est lié à un seul utilisateur.</w:t>
      </w:r>
    </w:p>
    <w:p>
      <w:pPr>
        <w:spacing w:after="30" w:before="160"/>
      </w:pPr>
      <w:r>
        <w:rPr>
          <w:b/>
          <w:bCs/>
          <w:color w:val="13233F"/>
          <w:sz w:val="22"/>
          <w:szCs w:val="22"/>
        </w:rPr>
        <w:t xml:space="preserve">Users → Reservations (1-n)</w:t>
      </w:r>
    </w:p>
    <w:p>
      <w:pPr>
        <w:spacing w:after="60"/>
        <w:ind w:left="360"/>
      </w:pPr>
      <w:r>
        <w:rPr>
          <w:sz w:val="21"/>
          <w:szCs w:val="21"/>
        </w:rPr>
        <w:t xml:space="preserve">— Un utilisateur peut effectuer 0 à plusieurs réservations, mais chaque réservation est liée à un seul utilisateur.</w:t>
      </w:r>
    </w:p>
    <w:p>
      <w:pPr>
        <w:spacing w:after="30" w:before="160"/>
      </w:pPr>
      <w:r>
        <w:rPr>
          <w:b/>
          <w:bCs/>
          <w:color w:val="13233F"/>
          <w:sz w:val="22"/>
          <w:szCs w:val="22"/>
        </w:rPr>
        <w:t xml:space="preserve">Users → Roles (n-n)</w:t>
      </w:r>
    </w:p>
    <w:p>
      <w:pPr>
        <w:spacing w:after="60"/>
        <w:ind w:left="360"/>
      </w:pPr>
      <w:r>
        <w:rPr>
          <w:sz w:val="21"/>
          <w:szCs w:val="21"/>
        </w:rPr>
        <w:t xml:space="preserve">— Un utilisateur peut avoir plusieurs rôles, et un rôle peut être partagé par plusieurs utilisateurs.</w:t>
      </w:r>
    </w:p>
    <w:p>
      <w:pPr>
        <w:spacing w:after="30" w:before="160"/>
      </w:pPr>
      <w:r>
        <w:rPr>
          <w:b/>
          <w:bCs/>
          <w:color w:val="13233F"/>
          <w:sz w:val="22"/>
          <w:szCs w:val="22"/>
        </w:rPr>
        <w:t xml:space="preserve">Users → Notifications (1-n)</w:t>
      </w:r>
    </w:p>
    <w:p>
      <w:pPr>
        <w:spacing w:after="60"/>
        <w:ind w:left="360"/>
      </w:pPr>
      <w:r>
        <w:rPr>
          <w:sz w:val="21"/>
          <w:szCs w:val="21"/>
        </w:rPr>
        <w:t xml:space="preserve">— Un utilisateur peut envoyer et recevoir 0 à plusieurs notifications, chaque notification ayant un expéditeur et un destinataire uniques.</w:t>
      </w:r>
    </w:p>
    <w:p>
      <w:pPr>
        <w:spacing w:after="30" w:before="160"/>
      </w:pPr>
      <w:r>
        <w:rPr>
          <w:b/>
          <w:bCs/>
          <w:color w:val="13233F"/>
          <w:sz w:val="22"/>
          <w:szCs w:val="22"/>
        </w:rPr>
        <w:t xml:space="preserve">Users → Documents (1-n)</w:t>
      </w:r>
    </w:p>
    <w:p>
      <w:pPr>
        <w:spacing w:after="60"/>
        <w:ind w:left="360"/>
      </w:pPr>
      <w:r>
        <w:rPr>
          <w:sz w:val="21"/>
          <w:szCs w:val="21"/>
        </w:rPr>
        <w:t xml:space="preserve">— Un utilisateur peut avoir plusieurs documents vérifiés, chaque document étant lié à un seul utilisateur.</w:t>
      </w:r>
    </w:p>
    <w:p>
      <w:pPr>
        <w:spacing w:after="30" w:before="160"/>
      </w:pPr>
      <w:r>
        <w:rPr>
          <w:b/>
          <w:bCs/>
          <w:color w:val="13233F"/>
          <w:sz w:val="22"/>
          <w:szCs w:val="22"/>
        </w:rPr>
        <w:t xml:space="preserve">Bikes → Categories (n-1)</w:t>
      </w:r>
    </w:p>
    <w:p>
      <w:pPr>
        <w:spacing w:after="60"/>
        <w:ind w:left="360"/>
      </w:pPr>
      <w:r>
        <w:rPr>
          <w:sz w:val="21"/>
          <w:szCs w:val="21"/>
        </w:rPr>
        <w:t xml:space="preserve">— Un vélo est lié à une seule catégorie, mais une catégorie peut inclure plusieurs vélos.</w:t>
      </w:r>
    </w:p>
    <w:p>
      <w:pPr>
        <w:spacing w:after="30" w:before="160"/>
      </w:pPr>
      <w:r>
        <w:rPr>
          <w:b/>
          <w:bCs/>
          <w:color w:val="13233F"/>
          <w:sz w:val="22"/>
          <w:szCs w:val="22"/>
        </w:rPr>
        <w:t xml:space="preserve">Bike → Price (1-1)</w:t>
      </w:r>
    </w:p>
    <w:p>
      <w:pPr>
        <w:spacing w:after="60"/>
        <w:ind w:left="360"/>
      </w:pPr>
      <w:r>
        <w:rPr>
          <w:sz w:val="21"/>
          <w:szCs w:val="21"/>
        </w:rPr>
        <w:t xml:space="preserve">— Un vélo est lié à une structure de prix unique et vice versa.</w:t>
      </w:r>
    </w:p>
    <w:p>
      <w:pPr>
        <w:spacing w:after="30" w:before="160"/>
      </w:pPr>
      <w:r>
        <w:rPr>
          <w:b/>
          <w:bCs/>
          <w:color w:val="13233F"/>
          <w:sz w:val="22"/>
          <w:szCs w:val="22"/>
        </w:rPr>
        <w:t xml:space="preserve">Bikes → Conditions (1-n)</w:t>
      </w:r>
    </w:p>
    <w:p>
      <w:pPr>
        <w:spacing w:after="60"/>
        <w:ind w:left="360"/>
      </w:pPr>
      <w:r>
        <w:rPr>
          <w:sz w:val="21"/>
          <w:szCs w:val="21"/>
        </w:rPr>
        <w:t xml:space="preserve">— Un vélo peut avoir 0 à plusieurs conditions de location, chaque condition étant liée à un seul vélo.</w:t>
      </w:r>
    </w:p>
    <w:p>
      <w:pPr>
        <w:spacing w:after="30" w:before="160"/>
      </w:pPr>
      <w:r>
        <w:rPr>
          <w:b/>
          <w:bCs/>
          <w:color w:val="13233F"/>
          <w:sz w:val="22"/>
          <w:szCs w:val="22"/>
        </w:rPr>
        <w:t xml:space="preserve">Bikes → Pictures (1-n)</w:t>
      </w:r>
    </w:p>
    <w:p>
      <w:pPr>
        <w:spacing w:after="60"/>
        <w:ind w:left="360"/>
      </w:pPr>
      <w:r>
        <w:rPr>
          <w:sz w:val="21"/>
          <w:szCs w:val="21"/>
        </w:rPr>
        <w:t xml:space="preserve">— Un vélo peut avoir 0 à plusieurs photos, chaque photo étant liée à un seul vélo.</w:t>
      </w:r>
    </w:p>
    <w:p>
      <w:pPr>
        <w:spacing w:after="30" w:before="160"/>
      </w:pPr>
      <w:r>
        <w:rPr>
          <w:b/>
          <w:bCs/>
          <w:color w:val="13233F"/>
          <w:sz w:val="22"/>
          <w:szCs w:val="22"/>
        </w:rPr>
        <w:t xml:space="preserve">Bikes → Features (n-n)</w:t>
      </w:r>
    </w:p>
    <w:p>
      <w:pPr>
        <w:spacing w:after="60"/>
        <w:ind w:left="360"/>
      </w:pPr>
      <w:r>
        <w:rPr>
          <w:sz w:val="21"/>
          <w:szCs w:val="21"/>
        </w:rPr>
        <w:t xml:space="preserve">— Un vélo peut avoir 0 à plusieurs caractéristiques, et une caractéristique peut être partagée par plusieurs vélos.</w:t>
      </w:r>
    </w:p>
    <w:p>
      <w:pPr>
        <w:spacing w:after="30" w:before="160"/>
      </w:pPr>
      <w:r>
        <w:rPr>
          <w:b/>
          <w:bCs/>
          <w:color w:val="13233F"/>
          <w:sz w:val="22"/>
          <w:szCs w:val="22"/>
        </w:rPr>
        <w:t xml:space="preserve">Bikes → Equipment (n-n)</w:t>
      </w:r>
    </w:p>
    <w:p>
      <w:pPr>
        <w:spacing w:after="60"/>
        <w:ind w:left="360"/>
      </w:pPr>
      <w:r>
        <w:rPr>
          <w:sz w:val="21"/>
          <w:szCs w:val="21"/>
        </w:rPr>
        <w:t xml:space="preserve">— Un vélo peut avoir 0 à plusieurs équipements, et un équipement peut être partagé par plusieurs vélos.</w:t>
      </w:r>
    </w:p>
    <w:p>
      <w:pPr>
        <w:spacing w:after="30" w:before="160"/>
      </w:pPr>
      <w:r>
        <w:rPr>
          <w:b/>
          <w:bCs/>
          <w:color w:val="13233F"/>
          <w:sz w:val="22"/>
          <w:szCs w:val="22"/>
        </w:rPr>
        <w:t xml:space="preserve">Bikes → Unavailabilities (1-n)</w:t>
      </w:r>
    </w:p>
    <w:p>
      <w:pPr>
        <w:spacing w:after="60"/>
        <w:ind w:left="360"/>
      </w:pPr>
      <w:r>
        <w:rPr>
          <w:sz w:val="21"/>
          <w:szCs w:val="21"/>
        </w:rPr>
        <w:t xml:space="preserve">— Un vélo peut être indisponible pour 0 à plusieurs périodes, chaque période étant liée à un seul vélo.</w:t>
      </w:r>
    </w:p>
    <w:p>
      <w:pPr>
        <w:spacing w:after="30" w:before="160"/>
      </w:pPr>
      <w:r>
        <w:rPr>
          <w:b/>
          <w:bCs/>
          <w:color w:val="13233F"/>
          <w:sz w:val="22"/>
          <w:szCs w:val="22"/>
        </w:rPr>
        <w:t xml:space="preserve">Bikes → Notifications (1-n)</w:t>
      </w:r>
    </w:p>
    <w:p>
      <w:pPr>
        <w:spacing w:after="60"/>
        <w:ind w:left="360"/>
      </w:pPr>
      <w:r>
        <w:rPr>
          <w:sz w:val="21"/>
          <w:szCs w:val="21"/>
        </w:rPr>
        <w:t xml:space="preserve">— Un vélo peut être lié à 0 ou plusieurs notifications, chaque notification étant liée à un vélo.</w:t>
      </w:r>
    </w:p>
    <w:p>
      <w:pPr>
        <w:spacing w:after="30" w:before="160"/>
      </w:pPr>
      <w:r>
        <w:rPr>
          <w:b/>
          <w:bCs/>
          <w:color w:val="13233F"/>
          <w:sz w:val="22"/>
          <w:szCs w:val="22"/>
        </w:rPr>
        <w:t xml:space="preserve">Reservations → Evaluations (1-1)</w:t>
      </w:r>
    </w:p>
    <w:p>
      <w:pPr>
        <w:spacing w:after="60"/>
        <w:ind w:left="360"/>
      </w:pPr>
      <w:r>
        <w:rPr>
          <w:sz w:val="21"/>
          <w:szCs w:val="21"/>
        </w:rPr>
        <w:t xml:space="preserve">— Une réservation peut avoir une ou aucune évaluation, et chaque évaluation est liée à une seule réservation.</w:t>
      </w:r>
    </w:p>
    <w:p>
      <w:pPr>
        <w:spacing w:after="30" w:before="160"/>
      </w:pPr>
      <w:r>
        <w:rPr>
          <w:b/>
          <w:bCs/>
          <w:color w:val="13233F"/>
          <w:sz w:val="22"/>
          <w:szCs w:val="22"/>
        </w:rPr>
        <w:t xml:space="preserve">Reservations → Payments (1-1)</w:t>
      </w:r>
    </w:p>
    <w:p>
      <w:pPr>
        <w:spacing w:after="60"/>
        <w:ind w:left="360"/>
      </w:pPr>
      <w:r>
        <w:rPr>
          <w:sz w:val="21"/>
          <w:szCs w:val="21"/>
        </w:rPr>
        <w:t xml:space="preserve">— Une réservation est liée à un seul paiement, et un paiement est lié à une seule réservation.</w:t>
      </w:r>
    </w:p>
    <w:p>
      <w:pPr>
        <w:spacing w:after="30" w:before="160"/>
      </w:pPr>
      <w:r>
        <w:rPr>
          <w:b/>
          <w:bCs/>
          <w:color w:val="13233F"/>
          <w:sz w:val="22"/>
          <w:szCs w:val="22"/>
        </w:rPr>
        <w:t xml:space="preserve">Payments → Refunds (1-1)</w:t>
      </w:r>
    </w:p>
    <w:p>
      <w:pPr>
        <w:spacing w:after="60"/>
        <w:ind w:left="360"/>
      </w:pPr>
      <w:r>
        <w:rPr>
          <w:sz w:val="21"/>
          <w:szCs w:val="21"/>
        </w:rPr>
        <w:t xml:space="preserve">— Un paiement peut générer 0 ou un seul remboursement, chaque remboursement étant lié à un seul paiement.</w:t>
      </w:r>
    </w:p>
    <w:p>
      <w:pPr>
        <w:spacing w:after="30" w:before="160"/>
      </w:pPr>
      <w:r>
        <w:rPr>
          <w:b/>
          <w:bCs/>
          <w:color w:val="13233F"/>
          <w:sz w:val="22"/>
          <w:szCs w:val="22"/>
        </w:rPr>
        <w:t xml:space="preserve">Payments → Gains (1-1)</w:t>
      </w:r>
    </w:p>
    <w:p>
      <w:pPr>
        <w:spacing w:after="60"/>
        <w:ind w:left="360"/>
      </w:pPr>
      <w:r>
        <w:rPr>
          <w:sz w:val="21"/>
          <w:szCs w:val="21"/>
        </w:rPr>
        <w:t xml:space="preserve">— Un paiement peut générer un seul gain, chaque gain étant lié à un seul paiement.</w:t>
      </w:r>
    </w:p>
    <w:p>
      <w:pPr>
        <w:spacing w:after="30" w:before="160"/>
      </w:pPr>
      <w:r>
        <w:rPr>
          <w:b/>
          <w:bCs/>
          <w:color w:val="13233F"/>
          <w:sz w:val="22"/>
          <w:szCs w:val="22"/>
        </w:rPr>
        <w:t xml:space="preserve">Reservations → Chat_Messages (1-n)</w:t>
      </w:r>
    </w:p>
    <w:p>
      <w:pPr>
        <w:spacing w:after="60"/>
        <w:ind w:left="360"/>
      </w:pPr>
      <w:r>
        <w:rPr>
          <w:sz w:val="21"/>
          <w:szCs w:val="21"/>
        </w:rPr>
        <w:t xml:space="preserve">— Une réservation peut avoir 0 à plusieurs messages de chat, chaque message étant lié à une seule réservation.</w:t>
      </w:r>
    </w:p>
    <w:p>
      <w:pPr>
        <w:spacing w:after="30" w:before="160"/>
      </w:pPr>
      <w:r>
        <w:rPr>
          <w:b/>
          <w:bCs/>
          <w:color w:val="13233F"/>
          <w:sz w:val="22"/>
          <w:szCs w:val="22"/>
        </w:rPr>
        <w:t xml:space="preserve">Reservations → Claims (1-n)</w:t>
      </w:r>
    </w:p>
    <w:p>
      <w:pPr>
        <w:spacing w:after="60"/>
        <w:ind w:left="360"/>
      </w:pPr>
      <w:r>
        <w:rPr>
          <w:sz w:val="21"/>
          <w:szCs w:val="21"/>
        </w:rPr>
        <w:t xml:space="preserve">— Une réservation peut avoir plusieurs réclamations, chaque réclamation étant liée à une seule réservation.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</w:pPr>
    <w:r>
      <w:rPr>
        <w:i/>
        <w:iCs/>
        <w:color w:val="6B7689"/>
        <w:sz w:val="18"/>
        <w:szCs w:val="18"/>
      </w:rPr>
      <w:t xml:space="preserve">Tarik EL MAHTOUCHI</w:t>
    </w:r>
    <w:r>
      <w:rPr>
        <w:color w:val="6B7689"/>
        <w:sz w:val="18"/>
        <w:szCs w:val="18"/>
      </w:rPr>
      <w:t xml:space="preserve">  –  </w:t>
    </w:r>
    <w:r>
      <w:rPr>
        <w:b/>
        <w:bCs/>
        <w:i/>
        <w:iCs/>
        <w:color w:val="1FA67A"/>
        <w:sz w:val="18"/>
        <w:szCs w:val="18"/>
      </w:rPr>
      <w:t xml:space="preserve">« BikeShare »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feac257de8767078ecceebd4536b54898b36c6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2026-06-01T19:42:55.790Z</dcterms:created>
  <dcterms:modified xsi:type="dcterms:W3CDTF">2026-06-01T19:42:55.791Z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