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Audit de cohérence globale et d'excellence systémique</w:t>
      </w:r>
    </w:p>
    <w:p>
      <w:pPr>
        <w:spacing w:after="60"/>
      </w:pPr>
      <w:r>
        <w:rPr>
          <w:i/>
          <w:iCs/>
          <w:sz w:val="24"/>
          <w:szCs w:val="24"/>
        </w:rPr>
        <w:t xml:space="preserve">L'Odyssée du Savoir — v12.8.19</w:t>
      </w:r>
    </w:p>
    <w:p>
      <w:pPr>
        <w:spacing w:after="400"/>
      </w:pPr>
      <w:r>
        <w:rPr>
          <w:color w:val="555555"/>
          <w:sz w:val="22"/>
          <w:szCs w:val="22"/>
        </w:rPr>
        <w:t xml:space="preserve">Audit AUD-09 — 26 septembre 2026</w:t>
      </w:r>
    </w:p>
    <w:p>
      <w:pPr>
        <w:pStyle w:val="Heading2"/>
        <w:spacing w:after="120" w:before="250"/>
      </w:pPr>
      <w:r>
        <w:t xml:space="preserve">Méthode et périmètre</w:t>
      </w:r>
    </w:p>
    <w:p>
      <w:pPr>
        <w:spacing w:after="100"/>
      </w:pPr>
      <w:r>
        <w:t xml:space="preserve">Cet audit ne réévalue pas séparément la technique, l'ergonomie, le graphisme ou les fonctionnalités : il vérifie que l'ensemble du logiciel forme un tout cohérent, en s'appuyant sur les 8 audits sectoriels déjà réalisés (technique AUD-01, fonctionnel AUD-02, ergonomique AUD-03, graphique AUD-04, accessibilité AUD-05, sécurité AUD-06, performances/scalabilité/résilience AUD-07, qualité perçue AUD-08) et sur une vérification directe du dépôt (ADR.md, CLAUDE.md, code source, historique Git).</w:t>
      </w:r>
    </w:p>
    <w:p>
      <w:pPr>
        <w:spacing w:after="100"/>
      </w:pPr>
      <w:r>
        <w:t xml:space="preserve">Échantillonnage retenu (point 28 du prompt) : lecture intégrale des 8 exports CSV de constats (198 lignes), croisement systématique avec ADR.md (163 entrées) pour établir le statut réel de chaque audit sectoriel, puis vérification ciblée par grep/lecture de code sur les points de friction identifiés entre domaines (tokens CSS, dialogues natifs, nom de package, code parent, CI). Les audits AUD-10 et AUD-11 mentionnés par la trame générique du prompt n'existent pas dans ce dépôt à la date de l'audit : non couverts, faute de matière.</w:t>
      </w:r>
    </w:p>
    <w:p>
      <w:pPr>
        <w:spacing w:after="100"/>
      </w:pPr>
      <w:r>
        <w:t xml:space="preserve">Aucune classification 🟢/🟡/🔵/🔴 de re-audit n'est appliquée : il n'existe pas de version antérieure de cet audit AUD-09 dans ce dépôt.</w:t>
      </w:r>
    </w:p>
    <w:p>
      <w:pPr>
        <w:pStyle w:val="Heading1"/>
        <w:spacing w:after="150" w:before="300"/>
      </w:pPr>
      <w:r>
        <w:t xml:space="preserve">1. Constat central : statut réel des 8 audits sectoriels</w:t>
      </w:r>
    </w:p>
    <w:p>
      <w:pPr>
        <w:spacing w:after="100"/>
      </w:pPr>
      <w:r>
        <w:t xml:space="preserve">Avant toute analyse thématique, un fait vérifiable structure tout le reste de cet audit : le croisement entre les 198 constats sectoriels et les 39 dernières entrées d'ADR.md (ADR-125 à ADR-163) montre un traitement radicalement inégal.</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100"/>
        <w:gridCol w:w="3200"/>
        <w:gridCol w:w="3800"/>
      </w:tblGrid>
      <w:tr>
        <w:tc>
          <w:tcPr>
            <w:tcW w:type="dxa" w:w="2600"/>
            <w:shd w:fill="D9E2F3" w:val="clear"/>
          </w:tcPr>
          <w:p>
            <w:r>
              <w:rPr>
                <w:b/>
                <w:bCs/>
              </w:rPr>
              <w:t xml:space="preserve">Audit</w:t>
            </w:r>
          </w:p>
        </w:tc>
        <w:tc>
          <w:tcPr>
            <w:tcW w:type="dxa" w:w="900"/>
            <w:shd w:fill="D9E2F3" w:val="clear"/>
          </w:tcPr>
          <w:p>
            <w:r>
              <w:rPr>
                <w:b/>
                <w:bCs/>
              </w:rPr>
              <w:t xml:space="preserve">Constats</w:t>
            </w:r>
          </w:p>
        </w:tc>
        <w:tc>
          <w:tcPr>
            <w:tcW w:type="dxa" w:w="1100"/>
            <w:shd w:fill="D9E2F3" w:val="clear"/>
          </w:tcPr>
          <w:p>
            <w:r>
              <w:rPr>
                <w:b/>
                <w:bCs/>
              </w:rPr>
              <w:t xml:space="preserve">P0/CRITIQUE</w:t>
            </w:r>
          </w:p>
        </w:tc>
        <w:tc>
          <w:tcPr>
            <w:tcW w:type="dxa" w:w="3200"/>
            <w:shd w:fill="D9E2F3" w:val="clear"/>
          </w:tcPr>
          <w:p>
            <w:r>
              <w:rPr>
                <w:b/>
                <w:bCs/>
              </w:rPr>
              <w:t xml:space="preserve">Statut vérifié</w:t>
            </w:r>
          </w:p>
        </w:tc>
        <w:tc>
          <w:tcPr>
            <w:tcW w:type="dxa" w:w="3800"/>
            <w:shd w:fill="D9E2F3" w:val="clear"/>
          </w:tcPr>
          <w:p>
            <w:r>
              <w:rPr>
                <w:b/>
                <w:bCs/>
              </w:rPr>
              <w:t xml:space="preserve">Preuve</w:t>
            </w:r>
          </w:p>
        </w:tc>
      </w:tr>
      <w:tr>
        <w:tc>
          <w:tcPr>
            <w:tcW w:type="dxa" w:w="2600"/>
          </w:tcPr>
          <w:p>
            <w:r>
              <w:rPr>
                <w:b w:val="false"/>
                <w:bCs w:val="false"/>
              </w:rPr>
              <w:t xml:space="preserve">AUD-01 Technique (21/09)</w:t>
            </w:r>
          </w:p>
        </w:tc>
        <w:tc>
          <w:tcPr>
            <w:tcW w:type="dxa" w:w="900"/>
          </w:tcPr>
          <w:p>
            <w:r>
              <w:rPr>
                <w:b w:val="false"/>
                <w:bCs w:val="false"/>
              </w:rPr>
              <w:t xml:space="preserve">34</w:t>
            </w:r>
          </w:p>
        </w:tc>
        <w:tc>
          <w:tcPr>
            <w:tcW w:type="dxa" w:w="1100"/>
          </w:tcPr>
          <w:p>
            <w:r>
              <w:rPr>
                <w:b w:val="false"/>
                <w:bCs w:val="false"/>
              </w:rPr>
              <w:t xml:space="preserve">2</w:t>
            </w:r>
          </w:p>
        </w:tc>
        <w:tc>
          <w:tcPr>
            <w:tcW w:type="dxa" w:w="3200"/>
          </w:tcPr>
          <w:p>
            <w:r>
              <w:rPr>
                <w:b w:val="false"/>
                <w:bCs w:val="false"/>
              </w:rPr>
              <w:t xml:space="preserve">Jamais engagé (aucune entrée ADR dédiée)</w:t>
            </w:r>
          </w:p>
        </w:tc>
        <w:tc>
          <w:tcPr>
            <w:tcW w:type="dxa" w:w="3800"/>
          </w:tcPr>
          <w:p>
            <w:r>
              <w:rPr>
                <w:b w:val="false"/>
                <w:bCs w:val="false"/>
              </w:rPr>
              <w:t xml:space="preserve">ADR.md : aucune occurrence "AUD-01" en en-tête d'ADR</w:t>
            </w:r>
          </w:p>
        </w:tc>
      </w:tr>
      <w:tr>
        <w:tc>
          <w:tcPr>
            <w:tcW w:type="dxa" w:w="2600"/>
          </w:tcPr>
          <w:p>
            <w:r>
              <w:rPr>
                <w:b w:val="false"/>
                <w:bCs w:val="false"/>
              </w:rPr>
              <w:t xml:space="preserve">AUD-02 Fonctionnel (21/09)</w:t>
            </w:r>
          </w:p>
        </w:tc>
        <w:tc>
          <w:tcPr>
            <w:tcW w:type="dxa" w:w="900"/>
          </w:tcPr>
          <w:p>
            <w:r>
              <w:rPr>
                <w:b w:val="false"/>
                <w:bCs w:val="false"/>
              </w:rPr>
              <w:t xml:space="preserve">47</w:t>
            </w:r>
          </w:p>
        </w:tc>
        <w:tc>
          <w:tcPr>
            <w:tcW w:type="dxa" w:w="1100"/>
          </w:tcPr>
          <w:p>
            <w:r>
              <w:rPr>
                <w:b w:val="false"/>
                <w:bCs w:val="false"/>
              </w:rPr>
              <w:t xml:space="preserve">4</w:t>
            </w:r>
          </w:p>
        </w:tc>
        <w:tc>
          <w:tcPr>
            <w:tcW w:type="dxa" w:w="3200"/>
          </w:tcPr>
          <w:p>
            <w:r>
              <w:rPr>
                <w:b w:val="false"/>
                <w:bCs w:val="false"/>
              </w:rPr>
              <w:t xml:space="preserve">Intégralement traité</w:t>
            </w:r>
          </w:p>
        </w:tc>
        <w:tc>
          <w:tcPr>
            <w:tcW w:type="dxa" w:w="3800"/>
          </w:tcPr>
          <w:p>
            <w:r>
              <w:rPr>
                <w:b w:val="false"/>
                <w:bCs w:val="false"/>
              </w:rPr>
              <w:t xml:space="preserve">ADR-129 à ADR-152 (Lots 0.1 à 3.4)</w:t>
            </w:r>
          </w:p>
        </w:tc>
      </w:tr>
      <w:tr>
        <w:tc>
          <w:tcPr>
            <w:tcW w:type="dxa" w:w="2600"/>
          </w:tcPr>
          <w:p>
            <w:r>
              <w:rPr>
                <w:b w:val="false"/>
                <w:bCs w:val="false"/>
              </w:rPr>
              <w:t xml:space="preserve">AUD-03 Ergonomique (25/09)</w:t>
            </w:r>
          </w:p>
        </w:tc>
        <w:tc>
          <w:tcPr>
            <w:tcW w:type="dxa" w:w="900"/>
          </w:tcPr>
          <w:p>
            <w:r>
              <w:rPr>
                <w:b w:val="false"/>
                <w:bCs w:val="false"/>
              </w:rPr>
              <w:t xml:space="preserve">47</w:t>
            </w:r>
          </w:p>
        </w:tc>
        <w:tc>
          <w:tcPr>
            <w:tcW w:type="dxa" w:w="1100"/>
          </w:tcPr>
          <w:p>
            <w:r>
              <w:rPr>
                <w:b w:val="false"/>
                <w:bCs w:val="false"/>
              </w:rPr>
              <w:t xml:space="preserve">1</w:t>
            </w:r>
          </w:p>
        </w:tc>
        <w:tc>
          <w:tcPr>
            <w:tcW w:type="dxa" w:w="3200"/>
          </w:tcPr>
          <w:p>
            <w:r>
              <w:rPr>
                <w:b w:val="false"/>
                <w:bCs w:val="false"/>
              </w:rPr>
              <w:t xml:space="preserve">Jamais engagé (dont le P0 AUD-03-012)</w:t>
            </w:r>
          </w:p>
        </w:tc>
        <w:tc>
          <w:tcPr>
            <w:tcW w:type="dxa" w:w="3800"/>
          </w:tcPr>
          <w:p>
            <w:r>
              <w:rPr>
                <w:b w:val="false"/>
                <w:bCs w:val="false"/>
              </w:rPr>
              <w:t xml:space="preserve">ADR.md : aucune occurrence "AUD-03" en en-tête d'ADR</w:t>
            </w:r>
          </w:p>
        </w:tc>
      </w:tr>
      <w:tr>
        <w:tc>
          <w:tcPr>
            <w:tcW w:type="dxa" w:w="2600"/>
          </w:tcPr>
          <w:p>
            <w:r>
              <w:rPr>
                <w:b w:val="false"/>
                <w:bCs w:val="false"/>
              </w:rPr>
              <w:t xml:space="preserve">AUD-04 Graphique (25/09)</w:t>
            </w:r>
          </w:p>
        </w:tc>
        <w:tc>
          <w:tcPr>
            <w:tcW w:type="dxa" w:w="900"/>
          </w:tcPr>
          <w:p>
            <w:r>
              <w:rPr>
                <w:b w:val="false"/>
                <w:bCs w:val="false"/>
              </w:rPr>
              <w:t xml:space="preserve">15</w:t>
            </w:r>
          </w:p>
        </w:tc>
        <w:tc>
          <w:tcPr>
            <w:tcW w:type="dxa" w:w="1100"/>
          </w:tcPr>
          <w:p>
            <w:r>
              <w:rPr>
                <w:b w:val="false"/>
                <w:bCs w:val="false"/>
              </w:rPr>
              <w:t xml:space="preserve">1</w:t>
            </w:r>
          </w:p>
        </w:tc>
        <w:tc>
          <w:tcPr>
            <w:tcW w:type="dxa" w:w="3200"/>
          </w:tcPr>
          <w:p>
            <w:r>
              <w:rPr>
                <w:b w:val="false"/>
                <w:bCs w:val="false"/>
              </w:rPr>
              <w:t xml:space="preserve">Jamais engagé (dont le P1 AUD-04-001)</w:t>
            </w:r>
          </w:p>
        </w:tc>
        <w:tc>
          <w:tcPr>
            <w:tcW w:type="dxa" w:w="3800"/>
          </w:tcPr>
          <w:p>
            <w:r>
              <w:rPr>
                <w:b w:val="false"/>
                <w:bCs w:val="false"/>
              </w:rPr>
              <w:t xml:space="preserve">ADR.md : aucune occurrence "AUD-04" en en-tête d'ADR</w:t>
            </w:r>
          </w:p>
        </w:tc>
      </w:tr>
      <w:tr>
        <w:tc>
          <w:tcPr>
            <w:tcW w:type="dxa" w:w="2600"/>
          </w:tcPr>
          <w:p>
            <w:r>
              <w:rPr>
                <w:b w:val="false"/>
                <w:bCs w:val="false"/>
              </w:rPr>
              <w:t xml:space="preserve">AUD-05 Accessibilité (25/09)</w:t>
            </w:r>
          </w:p>
        </w:tc>
        <w:tc>
          <w:tcPr>
            <w:tcW w:type="dxa" w:w="900"/>
          </w:tcPr>
          <w:p>
            <w:r>
              <w:rPr>
                <w:b w:val="false"/>
                <w:bCs w:val="false"/>
              </w:rPr>
              <w:t xml:space="preserve">10</w:t>
            </w:r>
          </w:p>
        </w:tc>
        <w:tc>
          <w:tcPr>
            <w:tcW w:type="dxa" w:w="1100"/>
          </w:tcPr>
          <w:p>
            <w:r>
              <w:rPr>
                <w:b w:val="false"/>
                <w:bCs w:val="false"/>
              </w:rPr>
              <w:t xml:space="preserve">0</w:t>
            </w:r>
          </w:p>
        </w:tc>
        <w:tc>
          <w:tcPr>
            <w:tcW w:type="dxa" w:w="3200"/>
          </w:tcPr>
          <w:p>
            <w:r>
              <w:rPr>
                <w:b w:val="false"/>
                <w:bCs w:val="false"/>
              </w:rPr>
              <w:t xml:space="preserve">1 point acté (AUD-05-007), le reste ouvert</w:t>
            </w:r>
          </w:p>
        </w:tc>
        <w:tc>
          <w:tcPr>
            <w:tcW w:type="dxa" w:w="3800"/>
          </w:tcPr>
          <w:p>
            <w:r>
              <w:rPr>
                <w:b w:val="false"/>
                <w:bCs w:val="false"/>
              </w:rPr>
              <w:t xml:space="preserve">ADR-153 (seule entrée), AUD-05-004/006 vérifiés non corrigés dans le code</w:t>
            </w:r>
          </w:p>
        </w:tc>
      </w:tr>
      <w:tr>
        <w:tc>
          <w:tcPr>
            <w:tcW w:type="dxa" w:w="2600"/>
          </w:tcPr>
          <w:p>
            <w:r>
              <w:rPr>
                <w:b w:val="false"/>
                <w:bCs w:val="false"/>
              </w:rPr>
              <w:t xml:space="preserve">AUD-06 Sécurité (25/09)</w:t>
            </w:r>
          </w:p>
        </w:tc>
        <w:tc>
          <w:tcPr>
            <w:tcW w:type="dxa" w:w="900"/>
          </w:tcPr>
          <w:p>
            <w:r>
              <w:rPr>
                <w:b w:val="false"/>
                <w:bCs w:val="false"/>
              </w:rPr>
              <w:t xml:space="preserve">11</w:t>
            </w:r>
          </w:p>
        </w:tc>
        <w:tc>
          <w:tcPr>
            <w:tcW w:type="dxa" w:w="1100"/>
          </w:tcPr>
          <w:p>
            <w:r>
              <w:rPr>
                <w:b w:val="false"/>
                <w:bCs w:val="false"/>
              </w:rPr>
              <w:t xml:space="preserve">1</w:t>
            </w:r>
          </w:p>
        </w:tc>
        <w:tc>
          <w:tcPr>
            <w:tcW w:type="dxa" w:w="3200"/>
          </w:tcPr>
          <w:p>
            <w:r>
              <w:rPr>
                <w:b w:val="false"/>
                <w:bCs w:val="false"/>
              </w:rPr>
              <w:t xml:space="preserve">Intégralement traité</w:t>
            </w:r>
          </w:p>
        </w:tc>
        <w:tc>
          <w:tcPr>
            <w:tcW w:type="dxa" w:w="3800"/>
          </w:tcPr>
          <w:p>
            <w:r>
              <w:rPr>
                <w:b w:val="false"/>
                <w:bCs w:val="false"/>
              </w:rPr>
              <w:t xml:space="preserve">ADR-154 à ADR-156</w:t>
            </w:r>
          </w:p>
        </w:tc>
      </w:tr>
      <w:tr>
        <w:tc>
          <w:tcPr>
            <w:tcW w:type="dxa" w:w="2600"/>
          </w:tcPr>
          <w:p>
            <w:r>
              <w:rPr>
                <w:b w:val="false"/>
                <w:bCs w:val="false"/>
              </w:rPr>
              <w:t xml:space="preserve">AUD-07 Performances (26/09)</w:t>
            </w:r>
          </w:p>
        </w:tc>
        <w:tc>
          <w:tcPr>
            <w:tcW w:type="dxa" w:w="900"/>
          </w:tcPr>
          <w:p>
            <w:r>
              <w:rPr>
                <w:b w:val="false"/>
                <w:bCs w:val="false"/>
              </w:rPr>
              <w:t xml:space="preserve">23</w:t>
            </w:r>
          </w:p>
        </w:tc>
        <w:tc>
          <w:tcPr>
            <w:tcW w:type="dxa" w:w="1100"/>
          </w:tcPr>
          <w:p>
            <w:r>
              <w:rPr>
                <w:b w:val="false"/>
                <w:bCs w:val="false"/>
              </w:rPr>
              <w:t xml:space="preserve">0</w:t>
            </w:r>
          </w:p>
        </w:tc>
        <w:tc>
          <w:tcPr>
            <w:tcW w:type="dxa" w:w="3200"/>
          </w:tcPr>
          <w:p>
            <w:r>
              <w:rPr>
                <w:b w:val="false"/>
                <w:bCs w:val="false"/>
              </w:rPr>
              <w:t xml:space="preserve">Intégralement traité</w:t>
            </w:r>
          </w:p>
        </w:tc>
        <w:tc>
          <w:tcPr>
            <w:tcW w:type="dxa" w:w="3800"/>
          </w:tcPr>
          <w:p>
            <w:r>
              <w:rPr>
                <w:b w:val="false"/>
                <w:bCs w:val="false"/>
              </w:rPr>
              <w:t xml:space="preserve">ADR-158 à ADR-163</w:t>
            </w:r>
          </w:p>
        </w:tc>
      </w:tr>
      <w:tr>
        <w:tc>
          <w:tcPr>
            <w:tcW w:type="dxa" w:w="2600"/>
          </w:tcPr>
          <w:p>
            <w:r>
              <w:rPr>
                <w:b w:val="false"/>
                <w:bCs w:val="false"/>
              </w:rPr>
              <w:t xml:space="preserve">AUD-08 Qualité perçue (26/09)</w:t>
            </w:r>
          </w:p>
        </w:tc>
        <w:tc>
          <w:tcPr>
            <w:tcW w:type="dxa" w:w="900"/>
          </w:tcPr>
          <w:p>
            <w:r>
              <w:rPr>
                <w:b w:val="false"/>
                <w:bCs w:val="false"/>
              </w:rPr>
              <w:t xml:space="preserve">6</w:t>
            </w:r>
          </w:p>
        </w:tc>
        <w:tc>
          <w:tcPr>
            <w:tcW w:type="dxa" w:w="1100"/>
          </w:tcPr>
          <w:p>
            <w:r>
              <w:rPr>
                <w:b w:val="false"/>
                <w:bCs w:val="false"/>
              </w:rPr>
              <w:t xml:space="preserve">1</w:t>
            </w:r>
          </w:p>
        </w:tc>
        <w:tc>
          <w:tcPr>
            <w:tcW w:type="dxa" w:w="3200"/>
          </w:tcPr>
          <w:p>
            <w:r>
              <w:rPr>
                <w:b w:val="false"/>
                <w:bCs w:val="false"/>
              </w:rPr>
              <w:t xml:space="preserve">Intégralement traité</w:t>
            </w:r>
          </w:p>
        </w:tc>
        <w:tc>
          <w:tcPr>
            <w:tcW w:type="dxa" w:w="3800"/>
          </w:tcPr>
          <w:p>
            <w:r>
              <w:rPr>
                <w:b w:val="false"/>
                <w:bCs w:val="false"/>
              </w:rPr>
              <w:t xml:space="preserve">Commits 4629655, 876dd4c, 75865c8</w:t>
            </w:r>
          </w:p>
        </w:tc>
      </w:tr>
    </w:tbl>
    <w:p>
      <w:pPr>
        <w:spacing w:after="100"/>
      </w:pPr>
      <w:r>
        <w:t xml:space="preserve"/>
      </w:r>
    </w:p>
    <w:p>
      <w:pPr>
        <w:spacing w:after="100"/>
      </w:pPr>
      <w:r>
        <w:rPr>
          <w:b/>
          <w:bCs/>
        </w:rPr>
        <w:t xml:space="preserve">Trois audits entiers — technique, ergonomique, graphique — n'ont fait l'objet d'aucun lot de correction, alors que deux d'entre eux contiennent chacun un constat de sévérité maximale encore ouvert : AUD-03-012 (fenêtre de choix d'objectif du jour sans aucune issue sur tactile, CRITIQUE/P0) et AUD-04-001 (trois langages visuels concurrents, CRITIQUE/P1). Ce constat structure les sections suivantes.</w:t>
      </w:r>
    </w:p>
    <w:p>
      <w:pPr>
        <w:pStyle w:val="Heading1"/>
        <w:spacing w:after="150" w:before="300"/>
      </w:pPr>
      <w:r>
        <w:t xml:space="preserve">2. Analyse par axe de cohérence</w:t>
      </w:r>
    </w:p>
    <w:p>
      <w:pPr>
        <w:pStyle w:val="Heading2"/>
        <w:spacing w:after="120" w:before="250"/>
      </w:pPr>
      <w:r>
        <w:t xml:space="preserve">2.1 Vision globale et identité</w:t>
      </w:r>
    </w:p>
    <w:p>
      <w:pPr>
        <w:spacing w:after="100"/>
      </w:pPr>
      <w:r>
        <w:t xml:space="preserve">Le logiciel possède une identité de vision assumée : ADR-151 documente explicitement le choix conscient d'un positionnement multi-matières malgré le nom historique du dépôt centré "chiffres", et CLAUDE.md §1 reprend cette décision sans l'euphémiser. C'est une force réelle (une décision de fond tranchée et traçable plutôt que subie).</w:t>
      </w:r>
    </w:p>
    <w:p>
      <w:pPr>
        <w:spacing w:after="100"/>
      </w:pPr>
      <w:r>
        <w:t xml:space="preserve">Mais cette clarté stratégique n'est pas descendue jusqu'à l'identité technique et graphique du produit : le champ "name" de package.json reste "odyssee-des-chiffres" (package.json:2) alors que le titre affiché à l'utilisateur est "L'Odyssée du Savoir" (index.html:13) — voir AUD-09-002. Une partie du logiciel (les 3 langages visuels coexistants relevés par AUD-04-001, les monstres en emoji d'AUD-04-005) donne par endroits l'impression de zones ayant appartenu à des itérations produit différentes, non encore unifiées.</w:t>
      </w:r>
    </w:p>
    <w:p>
      <w:pPr>
        <w:pStyle w:val="Heading2"/>
        <w:spacing w:after="120" w:before="250"/>
      </w:pPr>
      <w:r>
        <w:t xml:space="preserve">2.2 Cohérence fonctionnelle</w:t>
      </w:r>
    </w:p>
    <w:p>
      <w:pPr>
        <w:spacing w:after="100"/>
      </w:pPr>
      <w:r>
        <w:t xml:space="preserve">C'est l'axe le plus solide du logiciel : les 47 constats d'AUD-02 (logique métier, boss, progression, contrôle parental, figurines, messagerie) ont tous été traités ou actés en décision documentée (ADR-129 à ADR-152), et CLAUDE.md §5 confirme cet état. Aucune incohérence fonctionnelle résiduelle significative n'a été identifiée au-delà de ce qui est déjà documenté.</w:t>
      </w:r>
    </w:p>
    <w:p>
      <w:pPr>
        <w:pStyle w:val="Heading2"/>
        <w:spacing w:after="120" w:before="250"/>
      </w:pPr>
      <w:r>
        <w:t xml:space="preserve">2.3 Cohérence ergonomique</w:t>
      </w:r>
    </w:p>
    <w:p>
      <w:pPr>
        <w:spacing w:after="100"/>
      </w:pPr>
      <w:r>
        <w:t xml:space="preserve">AUD-03 (47 constats, dont 1 CRITIQUE/P0 et 6 ÉLEVÉE/P1) n'a fait l'objet d'aucune remédiation vérifiable. Le P0 (AUD-03-012 : fenêtre de choix d'objectif du jour sans aucune issue sur tactile) bloque potentiellement un parcours enfant sur mobile/tablette — c'est le niveau de gravité le plus élevé de la trame de cet audit, et il reste ouvert 5 jours après son signalement, sans qu'aucune trace de traitement n'apparaisse dans ADR.md ni dans le code.</w:t>
      </w:r>
    </w:p>
    <w:p>
      <w:pPr>
        <w:pStyle w:val="Heading2"/>
        <w:spacing w:after="120" w:before="250"/>
      </w:pPr>
      <w:r>
        <w:t xml:space="preserve">2.4 Cohérence graphique</w:t>
      </w:r>
    </w:p>
    <w:p>
      <w:pPr>
        <w:spacing w:after="100"/>
      </w:pPr>
      <w:r>
        <w:t xml:space="preserve">AUD-04 (15 constats, dont 1 CRITIQUE/P1 « trois langages visuels concurrents ») n'a pas non plus été engagé. Vérification directe : sur css/styles.css, 84 déclarations border-radius utilisent une valeur brute contre 148 qui passent par un token var(--...) — le drift mesuré par AUD-04-003 est toujours réel à la date de cet audit. C'est l'axe où l'écart entre l'ambition affichée (CLAUDE.md §4 : « vérifier les tokens existants avant d'écrire une nouvelle valeur ») et la réalité du code est le plus large.</w:t>
      </w:r>
    </w:p>
    <w:p>
      <w:pPr>
        <w:pStyle w:val="Heading2"/>
        <w:spacing w:after="120" w:before="250"/>
      </w:pPr>
      <w:r>
        <w:t xml:space="preserve">2.5 Cohérence technique</w:t>
      </w:r>
    </w:p>
    <w:p>
      <w:pPr>
        <w:spacing w:after="100"/>
      </w:pPr>
      <w:r>
        <w:t xml:space="preserve">AUD-01 (34 constats, dont 2 P0) n'a pas été traité comme un lot dédié. Certains points semblent résolus incidemment (le .gitignore signalé absent de l'arbre de travail est bien présent aujourd'hui), mais faute de trace ADR, aucun constat de cet audit ne peut être classé « corrigé » avec preuve — seulement « non vérifié » ou « apparemment résolu sans traçabilité », ce qui est lui-même un défaut de gouvernance (voir CLAUDE.md §7 : « ADR.md est append-only »).</w:t>
      </w:r>
    </w:p>
    <w:p>
      <w:pPr>
        <w:pStyle w:val="Heading2"/>
        <w:spacing w:after="120" w:before="250"/>
      </w:pPr>
      <w:r>
        <w:t xml:space="preserve">2.6 Cohérence des performances</w:t>
      </w:r>
    </w:p>
    <w:p>
      <w:pPr>
        <w:spacing w:after="100"/>
      </w:pPr>
      <w:r>
        <w:t xml:space="preserve">Axe intégralement traité (AUD-07, 23 constats, ADR-158 à ADR-163), avec un outil de mesure réel mis en place (_perfReport(), Web Vitals natifs) plutôt qu'une simple promesse. C'est, avec la sécurité, le point le plus abouti du dépôt.</w:t>
      </w:r>
    </w:p>
    <w:p>
      <w:pPr>
        <w:pStyle w:val="Heading2"/>
        <w:spacing w:after="120" w:before="250"/>
      </w:pPr>
      <w:r>
        <w:t xml:space="preserve">2.7 Cohérence rédactionnelle et éditoriale</w:t>
      </w:r>
    </w:p>
    <w:p>
      <w:pPr>
        <w:spacing w:after="100"/>
      </w:pPr>
      <w:r>
        <w:t xml:space="preserve">Non vérifiable de façon exhaustive avec les éléments fournis (nécessiterait une relecture intégrale de tous les textes de jeu, hors périmètre raisonnable d'un échantillonnage). Les points ponctuels déjà relevés par les audits sources (accord grammatical AUD-01-015, régression orthographique AUD-08-002 déjà corrigée, point de suspension ASCII AUD-08-006 déjà corrigé) sont cohérents avec un logiciel dont le contenu textuel est globalement soigné mais pas garanti sans faille résiduelle.</w:t>
      </w:r>
    </w:p>
    <w:p>
      <w:pPr>
        <w:pStyle w:val="Heading2"/>
        <w:spacing w:after="120" w:before="250"/>
      </w:pPr>
      <w:r>
        <w:t xml:space="preserve">2.8 Cohérence pédagogique</w:t>
      </w:r>
    </w:p>
    <w:p>
      <w:pPr>
        <w:spacing w:after="100"/>
      </w:pPr>
      <w:r>
        <w:t xml:space="preserve">Le pattern « pool + phase pédagogique » est présenté comme une règle de maintenance obligatoire (CLAUDE.md §4) et AUD-02-014/015 (couverture incomplète du calcul mental de base par ce moteur) ont été traités selon ADR-144. Aucune rupture pédagogique nouvelle n'a été identifiée au-delà de ce périmètre déjà couvert.</w:t>
      </w:r>
    </w:p>
    <w:p>
      <w:pPr>
        <w:pStyle w:val="Heading2"/>
        <w:spacing w:after="120" w:before="250"/>
      </w:pPr>
      <w:r>
        <w:t xml:space="preserve">2.9 Cohérence émotionnelle</w:t>
      </w:r>
    </w:p>
    <w:p>
      <w:pPr>
        <w:spacing w:after="100"/>
      </w:pPr>
      <w:r>
        <w:t xml:space="preserve">Les émotions recherchées (rassurant, motivant, agréable) sont bien servies par les micro-interactions récemment polies (AUD-08, modales stylées, retours visuels réseau) mais rompues dès qu'un écran retombe sur l'identité visuelle fracturée d'AUD-04 (emoji système à la place d'illustrations) ou sur un blocage ergonomique non résolu (AUD-03-012). Le logiciel n'inspire donc pas la même confiance selon l'écran visité — voir AUD-09-006.</w:t>
      </w:r>
    </w:p>
    <w:p>
      <w:pPr>
        <w:pStyle w:val="Heading2"/>
        <w:spacing w:after="120" w:before="250"/>
      </w:pPr>
      <w:r>
        <w:t xml:space="preserve">2.10 Cohérence stratégique</w:t>
      </w:r>
    </w:p>
    <w:p>
      <w:pPr>
        <w:spacing w:after="100"/>
      </w:pPr>
      <w:r>
        <w:t xml:space="preserve">La question « toutes les fonctionnalités servent-elles la vision du produit ? » trouve une réponse positive au niveau fonctionnel (AUD-02 clos, ADR-151 assumé) mais la question implicite plus grave est celle de l'arbitrage entre audits eux-mêmes : rien dans ADR.md ne documente pourquoi la sécurité, le fonctionnel et les performances ont été traités en priorité et l'ergonomie, le graphisme et la technique laissés de côté malgré des sévérités comparables ou supérieures. C'est un vide de gouvernance, pas seulement un retard — voir AUD-09-001.</w:t>
      </w:r>
    </w:p>
    <w:p>
      <w:pPr>
        <w:pStyle w:val="Heading2"/>
        <w:spacing w:after="120" w:before="250"/>
      </w:pPr>
      <w:r>
        <w:t xml:space="preserve">2.11 Cohérence de l'évolution</w:t>
      </w:r>
    </w:p>
    <w:p>
      <w:pPr>
        <w:spacing w:after="100"/>
      </w:pPr>
      <w:r>
        <w:t xml:space="preserve">Les décisions techniques prises sont plutôt solides pour l'évolution (SW versionné avec stratégie stale-while-revalidate, chargement différé de 07-story.js, backoff réseau) mais l'accumulation de dette non traitée sur 3 audits entiers constitue un risque d'évolution à moyen terme : plus ce report dure, plus il devient coûteux de traiter des problèmes d'identité visuelle et d'architecture d'information une fois que davantage d'écrans auront été construits sur les bases actuelles (AUD-01-025 couplage global, persistant).</w:t>
      </w:r>
    </w:p>
    <w:p>
      <w:pPr>
        <w:pStyle w:val="Heading2"/>
        <w:spacing w:after="120" w:before="250"/>
      </w:pPr>
      <w:r>
        <w:t xml:space="preserve">2.12 Arbitrage entre qualités</w:t>
      </w:r>
    </w:p>
    <w:p>
      <w:pPr>
        <w:spacing w:after="100"/>
      </w:pPr>
      <w:r>
        <w:t xml:space="preserve">Le compromis implicitement retenu jusqu'ici est : robustesse fonctionnelle et sécurité d'abord, expérience visuelle et ergonomique ensuite. C'est un ordre défendable pour un logiciel utilisé par des enfants avec des données sensibles (le choix sécurité-d'abord est pertinent), mais il n'est documenté nulle part comme un choix stratégique — il ressort seulement de l'observation des ADR. Recommandation : documenter cet arbitrage explicitement en ADR, puis fixer une date engagée pour rouvrir AUD-01/03/04, faute de quoi l'écart continuera de se lire comme un abandon plutôt qu'un séquencement voulu.</w:t>
      </w:r>
    </w:p>
    <w:p>
      <w:pPr>
        <w:pStyle w:val="Heading2"/>
        <w:spacing w:after="120" w:before="250"/>
      </w:pPr>
      <w:r>
        <w:t xml:space="preserve">2.13 Détection des contradictions</w:t>
      </w:r>
    </w:p>
    <w:p>
      <w:pPr>
        <w:spacing w:after="100"/>
      </w:pPr>
      <w:r>
        <w:t xml:space="preserve">Contradiction principale détectée : CLAUDE.md présente un état d'avancement (§5) centré sur l'audit fonctionnel « intégralement traité » et une dette « connue » limitée à la couverture de tests, sans mentionner que 3 audits sectoriels complets (dont 2 constats de sévérité maximale) restent totalement ouverts. Ce n'est pas un mensonge du fichier — il est simplement resté figé au moment de l'audit fonctionnel et n'a pas été mis à jour depuis les audits ergonomique/graphique/technique/accessibilité/sécurité/performances/qualité perçue, alors même que les CSV de ces audits existent déjà dans le dépôt (voir git status). Résolution recommandée : mettre à jour CLAUDE.md §5 pour refléter l'état réel des 8 audits, pas seulement celui du fonctionnel.</w:t>
      </w:r>
    </w:p>
    <w:p>
      <w:pPr>
        <w:pStyle w:val="Heading2"/>
        <w:spacing w:after="120" w:before="250"/>
      </w:pPr>
      <w:r>
        <w:t xml:space="preserve">2.14 Vision long terme</w:t>
      </w:r>
    </w:p>
    <w:p>
      <w:pPr>
        <w:spacing w:after="100"/>
      </w:pPr>
      <w:r>
        <w:t xml:space="preserve">À 2 ans : si le rythme de traitement observé se maintient (un audit sectoriel clos toutes les 1 à 2 semaines quand il est pris en charge), les 3 audits abandonnés resteront probablement non traités sauf décision explicite de les replanifier — ils n'ont aujourd'hui aucune date cible. À 5-10 ans, les choix les plus solides sont l'absence de framework (portabilité, pas d'obsolescence de dépendance runtime) et la discipline ADR ; les plus risqués sont le couplage global par script classique (AUD-01-025, qui rendra toute refonte UI/graphique — justement ce qui est en attente — plus coûteuse à mesure que le code grossit sans découpage modulaire).</w:t>
      </w:r>
    </w:p>
    <w:p>
      <w:pPr>
        <w:pStyle w:val="Heading2"/>
        <w:spacing w:after="120" w:before="250"/>
      </w:pPr>
      <w:r>
        <w:t xml:space="preserve">2.15 Recherche active de défauts systémiques</w:t>
      </w:r>
    </w:p>
    <w:p>
      <w:pPr>
        <w:spacing w:after="100"/>
      </w:pPr>
      <w:r>
        <w:t xml:space="preserve">Voir section 3 (constats AUD-09-001 à AUD-09-008) pour les défauts systémiques identifiés qui empêchent aujourd'hui le logiciel d'être pleinement cohérent, harmonieux et durable.</w:t>
      </w:r>
    </w:p>
    <w:p>
      <w:pPr>
        <w:pStyle w:val="Heading1"/>
        <w:spacing w:after="150" w:before="300"/>
      </w:pPr>
      <w:r>
        <w:t xml:space="preserve">3. Constats d'incohérence (AUD-09-001 à AUD-09-008)</w:t>
      </w:r>
    </w:p>
    <w:p>
      <w:pPr>
        <w:spacing w:after="100"/>
      </w:pPr>
      <w:r>
        <w:rPr>
          <w:i/>
          <w:iCs/>
        </w:rPr>
        <w:t xml:space="preserve">8 constats réels ont pu être établis et sourcés avec un niveau de preuve suffisant. Aucun constat supplémentaire n'a été ajouté pour atteindre un quota : le nombre réel de contradictions systémiques nouvelles (distinctes des 198 constats déjà documentés par les 8 audits sectoriels) est inférieur à celui parfois attendu de ce type d'exercice, précisément parce que le problème dominant de ce dépôt n'est pas la multiplication des incohérences ponctuelles mais la gouvernance de leur traitement (constat AUD-09-001).</w:t>
      </w:r>
    </w:p>
    <w:p>
      <w:pPr>
        <w:pStyle w:val="Heading2"/>
        <w:spacing w:after="120" w:before="250"/>
      </w:pPr>
      <w:r>
        <w:t xml:space="preserve">AUD-09-001 — Priorisation de remédiation radicalement inégale entre audits</w:t>
      </w:r>
    </w:p>
    <w:p>
      <w:pPr>
        <w:spacing w:after="60"/>
      </w:pPr>
      <w:r>
        <w:rPr>
          <w:b/>
          <w:bCs/>
        </w:rPr>
        <w:t xml:space="preserve">Gravité : </w:t>
      </w:r>
      <w:r>
        <w:t xml:space="preserve">🔴 CRITIQUE</w:t>
      </w:r>
    </w:p>
    <w:p>
      <w:pPr>
        <w:spacing w:after="60"/>
      </w:pPr>
      <w:r>
        <w:rPr>
          <w:b/>
          <w:bCs/>
        </w:rPr>
        <w:t xml:space="preserve">Confiance du constat : </w:t>
      </w:r>
      <w:r>
        <w:t xml:space="preserve">Élevée</w:t>
      </w:r>
    </w:p>
    <w:p>
      <w:pPr>
        <w:spacing w:after="60"/>
      </w:pPr>
      <w:r>
        <w:rPr>
          <w:b/>
          <w:bCs/>
        </w:rPr>
        <w:t xml:space="preserve">Preuves observées : </w:t>
      </w:r>
      <w:r>
        <w:t xml:space="preserve">ADR.md : ADR-129→152 (AUD-02), ADR-153 (AUD-05-007), ADR-154→156 (AUD-06), ADR-158→163 (AUD-07) ; aucune entrée « AUD-01 », « AUD-03 » ou « AUD-04 » en en-tête d'ADR (recherche exhaustive du fichier). CSV AUD-03-012 (CRITIQUE/P0) et AUD-04-001 (CRITIQUE/P1).</w:t>
      </w:r>
    </w:p>
    <w:p>
      <w:pPr>
        <w:spacing w:after="60"/>
      </w:pPr>
      <w:r>
        <w:rPr>
          <w:b/>
          <w:bCs/>
        </w:rPr>
        <w:t xml:space="preserve">Description : </w:t>
      </w:r>
      <w:r>
        <w:t xml:space="preserve">3 des 8 audits sectoriels (technique, ergonomique, graphique — 96 constats cumulés) n'ont fait l'objet d'aucun lot de correction documenté, alors que 4 autres (fonctionnel, sécurité, performances, qualité perçue) ont été intégralement traités, certains en quelques jours. Deux constats de sévérité maximale (AUD-03-012, AUD-04-001) restent ouverts sans qu'aucune date de traitement ne soit engagée.</w:t>
      </w:r>
    </w:p>
    <w:p>
      <w:pPr>
        <w:spacing w:after="60"/>
      </w:pPr>
      <w:r>
        <w:rPr>
          <w:b/>
          <w:bCs/>
        </w:rPr>
        <w:t xml:space="preserve">Pourquoi c'est problématique : </w:t>
      </w:r>
      <w:r>
        <w:t xml:space="preserve">Un audit n'a de valeur que si ses constats critiques déclenchent une action proportionnée à leur gravité. Ici, la gravité affichée (🔴 CRITIQUE) n'a pas déterminé la priorité réelle de traitement — c'est la disponibilité ou la facilité du chantier qui semble l'avoir fait.</w:t>
      </w:r>
    </w:p>
    <w:p>
      <w:pPr>
        <w:spacing w:after="60"/>
      </w:pPr>
      <w:r>
        <w:rPr>
          <w:b/>
          <w:bCs/>
        </w:rPr>
        <w:t xml:space="preserve">Domaines concernés : </w:t>
      </w:r>
      <w:r>
        <w:t xml:space="preserve">Gouvernance / Stratégie produit / Ergonomie / Graphisme / Technique</w:t>
      </w:r>
    </w:p>
    <w:p>
      <w:pPr>
        <w:spacing w:after="60"/>
      </w:pPr>
      <w:r>
        <w:rPr>
          <w:b/>
          <w:bCs/>
        </w:rPr>
        <w:t xml:space="preserve">Conséquences : </w:t>
      </w:r>
      <w:r>
        <w:t xml:space="preserve">Un utilisateur peut se retrouver bloqué sur tactile (AUD-03-012) sans qu'aucune trace n'indique que c'est un problème connu et jugé secondaire. La confiance dans le processus d'audit lui-même s'érode si les constats les plus graves ne sont pas ceux traités en priorité.</w:t>
      </w:r>
    </w:p>
    <w:p>
      <w:pPr>
        <w:spacing w:after="60"/>
      </w:pPr>
      <w:r>
        <w:rPr>
          <w:b/>
          <w:bCs/>
        </w:rPr>
        <w:t xml:space="preserve">Cause probable : </w:t>
      </w:r>
      <w:r>
        <w:t xml:space="preserve">Cause probable (Confiance moyenne) : les audits traités correspondent à des domaines où Claude Code peut agir seul et vérifier immédiatement (code, tests, ADR), alors que l'ergonomie et le graphisme demandent des arbitrages de design assumés par un humain, plus lents à obtenir — sans que ce facteur ne soit documenté comme la raison du report.</w:t>
      </w:r>
    </w:p>
    <w:p>
      <w:pPr>
        <w:spacing w:after="60"/>
      </w:pPr>
      <w:r>
        <w:rPr>
          <w:b/>
          <w:bCs/>
        </w:rPr>
        <w:t xml:space="preserve">Solution recommandée : </w:t>
      </w:r>
      <w:r>
        <w:t xml:space="preserve">Documenter explicitement en ADR le séquencement retenu (sécurité/fonctionnel/performances avant ergonomie/graphisme/technique) avec justification, puis fixer des lots datés pour AUD-01/03/04, en commençant par leurs éléments P0/P1.</w:t>
      </w:r>
    </w:p>
    <w:p>
      <w:pPr>
        <w:spacing w:after="60"/>
      </w:pPr>
      <w:r>
        <w:rPr>
          <w:b/>
          <w:bCs/>
        </w:rPr>
        <w:t xml:space="preserve">Alternative(s) : </w:t>
      </w:r>
      <w:r>
        <w:t xml:space="preserve">Si le séquencement doit rester informel, à défaut d'ADR dédié, mettre à jour CLAUDE.md §5 à chaque clôture d'audit pour que l'état réel des 8 audits soit visible sans reconstitution manuelle.</w:t>
      </w:r>
    </w:p>
    <w:p>
      <w:pPr>
        <w:spacing w:after="60"/>
      </w:pPr>
      <w:r>
        <w:rPr>
          <w:b/>
          <w:bCs/>
        </w:rPr>
        <w:t xml:space="preserve">Impact sur les autres audits : </w:t>
      </w:r>
      <w:r>
        <w:t xml:space="preserve">AUD-03-012, AUD-04-001, AUD-01 (34 constats), AUD-03 (46 constats restants), AUD-04 (14 constats restants)</w:t>
      </w:r>
    </w:p>
    <w:p>
      <w:pPr>
        <w:spacing w:after="60"/>
      </w:pPr>
      <w:r>
        <w:rPr>
          <w:b/>
          <w:bCs/>
        </w:rPr>
        <w:t xml:space="preserve">Effort estimé : </w:t>
      </w:r>
      <w:r>
        <w:t xml:space="preserve">Faible (décision + planification, pas de code)</w:t>
      </w:r>
    </w:p>
    <w:p>
      <w:pPr>
        <w:spacing w:after="60"/>
      </w:pPr>
      <w:r>
        <w:rPr>
          <w:b/>
          <w:bCs/>
        </w:rPr>
        <w:t xml:space="preserve">Priorité de correction : </w:t>
      </w:r>
      <w:r>
        <w:t xml:space="preserve">P0</w:t>
      </w:r>
    </w:p>
    <w:p>
      <w:pPr>
        <w:spacing w:after="60"/>
      </w:pPr>
      <w:r>
        <w:rPr>
          <w:b/>
          <w:bCs/>
        </w:rPr>
        <w:t xml:space="preserve">Critères d'acceptation : </w:t>
      </w:r>
      <w:r>
        <w:t xml:space="preserve">ADR.md contient une entrée documentant le séquencement des 8 audits, avec date cible pour AUD-01/03/04 ; CLAUDE.md §5 reflète l'état réel des 8 audits.</w:t>
      </w:r>
    </w:p>
    <w:p>
      <w:pPr>
        <w:spacing w:after="60"/>
      </w:pPr>
      <w:r>
        <w:rPr>
          <w:b/>
          <w:bCs/>
        </w:rPr>
        <w:t xml:space="preserve">Risque si non corrigé : </w:t>
      </w:r>
      <w:r>
        <w:t xml:space="preserve">Le P0 ergonomique et le P1 graphique restent invisibles dans la documentation vivante du projet, avec un risque de blocage utilisateur réel non priorisé.</w:t>
      </w:r>
    </w:p>
    <w:p>
      <w:pPr>
        <w:pStyle w:val="Heading2"/>
        <w:spacing w:after="120" w:before="250"/>
      </w:pPr>
      <w:r>
        <w:t xml:space="preserve">AUD-09-002 — Identité de marque interne en contradiction avec le repositionnement acté</w:t>
      </w:r>
    </w:p>
    <w:p>
      <w:pPr>
        <w:spacing w:after="60"/>
      </w:pPr>
      <w:r>
        <w:rPr>
          <w:b/>
          <w:bCs/>
        </w:rPr>
        <w:t xml:space="preserve">Gravité : </w:t>
      </w:r>
      <w:r>
        <w:t xml:space="preserve">🟠 ÉLEVÉE</w:t>
      </w:r>
    </w:p>
    <w:p>
      <w:pPr>
        <w:spacing w:after="60"/>
      </w:pPr>
      <w:r>
        <w:rPr>
          <w:b/>
          <w:bCs/>
        </w:rPr>
        <w:t xml:space="preserve">Confiance du constat : </w:t>
      </w:r>
      <w:r>
        <w:t xml:space="preserve">Élevée</w:t>
      </w:r>
    </w:p>
    <w:p>
      <w:pPr>
        <w:spacing w:after="60"/>
      </w:pPr>
      <w:r>
        <w:rPr>
          <w:b/>
          <w:bCs/>
        </w:rPr>
        <w:t xml:space="preserve">Preuves observées : </w:t>
      </w:r>
      <w:r>
        <w:t xml:space="preserve">package.json:2 ("name": "odyssee-des-chiffres") ; index.html:13 (&lt;title&gt;L'Odyssée du Savoir&lt;/title&gt;) ; ADR-151 ; CLAUDE.md §1.</w:t>
      </w:r>
    </w:p>
    <w:p>
      <w:pPr>
        <w:spacing w:after="60"/>
      </w:pPr>
      <w:r>
        <w:rPr>
          <w:b/>
          <w:bCs/>
        </w:rPr>
        <w:t xml:space="preserve">Description : </w:t>
      </w:r>
      <w:r>
        <w:t xml:space="preserve">Le nom interne du package reste centré sur "chiffres" (calcul) alors que le produit a été repositionné et documenté comme jeu multi-matières sous le nom "L'Odyssée du Savoir", décision assumée en ADR-151.</w:t>
      </w:r>
    </w:p>
    <w:p>
      <w:pPr>
        <w:spacing w:after="60"/>
      </w:pPr>
      <w:r>
        <w:rPr>
          <w:b/>
          <w:bCs/>
        </w:rPr>
        <w:t xml:space="preserve">Pourquoi c'est problématique : </w:t>
      </w:r>
      <w:r>
        <w:t xml:space="preserve">Un repositionnement produit assumé au niveau stratégique mais non répercuté au niveau de l'identifiant technique du projet laisse une trace d'incohérence dans tout outillage qui affiche ce nom (npm, CI, dépôt Git, éventuel App Store/PWA manifest à vérifier).</w:t>
      </w:r>
    </w:p>
    <w:p>
      <w:pPr>
        <w:spacing w:after="60"/>
      </w:pPr>
      <w:r>
        <w:rPr>
          <w:b/>
          <w:bCs/>
        </w:rPr>
        <w:t xml:space="preserve">Domaines concernés : </w:t>
      </w:r>
      <w:r>
        <w:t xml:space="preserve">Identité produit / Gouvernance</w:t>
      </w:r>
    </w:p>
    <w:p>
      <w:pPr>
        <w:spacing w:after="60"/>
      </w:pPr>
      <w:r>
        <w:rPr>
          <w:b/>
          <w:bCs/>
        </w:rPr>
        <w:t xml:space="preserve">Conséquences : </w:t>
      </w:r>
      <w:r>
        <w:t xml:space="preserve">Confusion possible pour un nouveau contributeur ou un outil tiers (packaging, stores) qui verrait "odyssee-des-chiffres" alors que le produit se présente comme multi-matières.</w:t>
      </w:r>
    </w:p>
    <w:p>
      <w:pPr>
        <w:spacing w:after="60"/>
      </w:pPr>
      <w:r>
        <w:rPr>
          <w:b/>
          <w:bCs/>
        </w:rPr>
        <w:t xml:space="preserve">Cause probable : </w:t>
      </w:r>
      <w:r>
        <w:t xml:space="preserve">Renommage du produit assumé en documentation (ADR-151) sans tâche de suivi pour renommer le package technique — la décision a été prise sans check-list de propagation.</w:t>
      </w:r>
    </w:p>
    <w:p>
      <w:pPr>
        <w:spacing w:after="60"/>
      </w:pPr>
      <w:r>
        <w:rPr>
          <w:b/>
          <w:bCs/>
        </w:rPr>
        <w:t xml:space="preserve">Solution recommandée : </w:t>
      </w:r>
      <w:r>
        <w:t xml:space="preserve">Décider explicitement : soit renommer le champ "name" (impact : lien avec le nom du dépôt Git, à évaluer avant tout renommage effectif), soit documenter en ADR que ce nom interne est volontairement conservé pour raison historique/technique (URLs figées, dépôt existant), distinct du nom produit affiché.</w:t>
      </w:r>
    </w:p>
    <w:p>
      <w:pPr>
        <w:spacing w:after="60"/>
      </w:pPr>
      <w:r>
        <w:rPr>
          <w:b/>
          <w:bCs/>
        </w:rPr>
        <w:t xml:space="preserve">Alternative(s) : </w:t>
      </w:r>
      <w:r>
        <w:t xml:space="preserve">Ajouter un champ "description" explicite dans package.json rappelant le nom produit actuel, sans renommer "name" si le renommage du dépôt est jugé trop risqué.</w:t>
      </w:r>
    </w:p>
    <w:p>
      <w:pPr>
        <w:spacing w:after="60"/>
      </w:pPr>
      <w:r>
        <w:rPr>
          <w:b/>
          <w:bCs/>
        </w:rPr>
        <w:t xml:space="preserve">Impact sur les autres audits : </w:t>
      </w:r>
      <w:r>
        <w:t xml:space="preserve">ADR-151</w:t>
      </w:r>
    </w:p>
    <w:p>
      <w:pPr>
        <w:spacing w:after="60"/>
      </w:pPr>
      <w:r>
        <w:rPr>
          <w:b/>
          <w:bCs/>
        </w:rPr>
        <w:t xml:space="preserve">Effort estimé : </w:t>
      </w:r>
      <w:r>
        <w:t xml:space="preserve">Faible</w:t>
      </w:r>
    </w:p>
    <w:p>
      <w:pPr>
        <w:spacing w:after="60"/>
      </w:pPr>
      <w:r>
        <w:rPr>
          <w:b/>
          <w:bCs/>
        </w:rPr>
        <w:t xml:space="preserve">Priorité de correction : </w:t>
      </w:r>
      <w:r>
        <w:t xml:space="preserve">P2</w:t>
      </w:r>
    </w:p>
    <w:p>
      <w:pPr>
        <w:spacing w:after="60"/>
      </w:pPr>
      <w:r>
        <w:rPr>
          <w:b/>
          <w:bCs/>
        </w:rPr>
        <w:t xml:space="preserve">Critères d'acceptation : </w:t>
      </w:r>
      <w:r>
        <w:t xml:space="preserve">Une décision (renommage ou conservation justifiée) est actée en ADR.</w:t>
      </w:r>
    </w:p>
    <w:p>
      <w:pPr>
        <w:spacing w:after="60"/>
      </w:pPr>
      <w:r>
        <w:rPr>
          <w:b/>
          <w:bCs/>
        </w:rPr>
        <w:t xml:space="preserve">Risque si non corrigé : </w:t>
      </w:r>
      <w:r>
        <w:t xml:space="preserve">Faible en soi, mais symptomatique d'un repositionnement qui reste partiel.</w:t>
      </w:r>
    </w:p>
    <w:p>
      <w:pPr>
        <w:pStyle w:val="Heading2"/>
        <w:spacing w:after="120" w:before="250"/>
      </w:pPr>
      <w:r>
        <w:t xml:space="preserve">AUD-09-003 — Drift mesurable et persistant des tokens du design system, sans garde-fou automatisé</w:t>
      </w:r>
    </w:p>
    <w:p>
      <w:pPr>
        <w:spacing w:after="60"/>
      </w:pPr>
      <w:r>
        <w:rPr>
          <w:b/>
          <w:bCs/>
        </w:rPr>
        <w:t xml:space="preserve">Gravité : </w:t>
      </w:r>
      <w:r>
        <w:t xml:space="preserve">🟠 ÉLEVÉE</w:t>
      </w:r>
    </w:p>
    <w:p>
      <w:pPr>
        <w:spacing w:after="60"/>
      </w:pPr>
      <w:r>
        <w:rPr>
          <w:b/>
          <w:bCs/>
        </w:rPr>
        <w:t xml:space="preserve">Confiance du constat : </w:t>
      </w:r>
      <w:r>
        <w:t xml:space="preserve">Élevée</w:t>
      </w:r>
    </w:p>
    <w:p>
      <w:pPr>
        <w:spacing w:after="60"/>
      </w:pPr>
      <w:r>
        <w:rPr>
          <w:b/>
          <w:bCs/>
        </w:rPr>
        <w:t xml:space="preserve">Preuves observées : </w:t>
      </w:r>
      <w:r>
        <w:t xml:space="preserve">grep sur css/styles.css : 84 occurrences de border-radius avec valeur brute contre 148 via var(--...) ; CLAUDE.md §4 (« vérifier les tokens existants... ») ; CSV AUD-04-003/004 (toujours ouverts, cf. AUD-09-001).</w:t>
      </w:r>
    </w:p>
    <w:p>
      <w:pPr>
        <w:spacing w:after="60"/>
      </w:pPr>
      <w:r>
        <w:rPr>
          <w:b/>
          <w:bCs/>
        </w:rPr>
        <w:t xml:space="preserve">Description : </w:t>
      </w:r>
      <w:r>
        <w:t xml:space="preserve">La règle documentée de vérifier les tokens existants avant d'écrire une nouvelle valeur CSS n'est appuyée par aucun contrôle automatisé (pas de règle stylelint, pas de script de vérification), et le code montre qu'elle n'est pas suivie sur plus du tiers des déclarations de rayon de bordure.</w:t>
      </w:r>
    </w:p>
    <w:p>
      <w:pPr>
        <w:spacing w:after="60"/>
      </w:pPr>
      <w:r>
        <w:rPr>
          <w:b/>
          <w:bCs/>
        </w:rPr>
        <w:t xml:space="preserve">Pourquoi c'est problématique : </w:t>
      </w:r>
      <w:r>
        <w:t xml:space="preserve">Une règle de cohérence non outillée se dégrade mécaniquement avec le temps et le nombre de contributions — c'est exactement ce que confirme la mesure (84/232 valeurs hors token).</w:t>
      </w:r>
    </w:p>
    <w:p>
      <w:pPr>
        <w:spacing w:after="60"/>
      </w:pPr>
      <w:r>
        <w:rPr>
          <w:b/>
          <w:bCs/>
        </w:rPr>
        <w:t xml:space="preserve">Domaines concernés : </w:t>
      </w:r>
      <w:r>
        <w:t xml:space="preserve">Design System / Technique / Gouvernance de code</w:t>
      </w:r>
    </w:p>
    <w:p>
      <w:pPr>
        <w:spacing w:after="60"/>
      </w:pPr>
      <w:r>
        <w:rPr>
          <w:b/>
          <w:bCs/>
        </w:rPr>
        <w:t xml:space="preserve">Conséquences : </w:t>
      </w:r>
      <w:r>
        <w:t xml:space="preserve">Chaque nouvel écran a une probabilité non nulle d'introduire une nouvelle valeur de rayon/ombre non répertoriée, perpétuant la fracture visuelle déjà relevée par AUD-04-001/003/004.</w:t>
      </w:r>
    </w:p>
    <w:p>
      <w:pPr>
        <w:spacing w:after="60"/>
      </w:pPr>
      <w:r>
        <w:rPr>
          <w:b/>
          <w:bCs/>
        </w:rPr>
        <w:t xml:space="preserve">Cause probable : </w:t>
      </w:r>
      <w:r>
        <w:t xml:space="preserve">Absence d'outillage (lint CSS) faisant respecter une règle qui existe uniquement sous forme documentaire.</w:t>
      </w:r>
    </w:p>
    <w:p>
      <w:pPr>
        <w:spacing w:after="60"/>
      </w:pPr>
      <w:r>
        <w:rPr>
          <w:b/>
          <w:bCs/>
        </w:rPr>
        <w:t xml:space="preserve">Solution recommandée : </w:t>
      </w:r>
      <w:r>
        <w:t xml:space="preserve">Ajouter une règle stylelint (ou un script de vérification simple type grep en pre-commit) qui signale toute valeur de border-radius/box-shadow hors des tokens var(--...) définis dans :root, en complément du traitement de fond d'AUD-04-003/004.</w:t>
      </w:r>
    </w:p>
    <w:p>
      <w:pPr>
        <w:spacing w:after="60"/>
      </w:pPr>
      <w:r>
        <w:rPr>
          <w:b/>
          <w:bCs/>
        </w:rPr>
        <w:t xml:space="preserve">Alternative(s) : </w:t>
      </w:r>
      <w:r>
        <w:t xml:space="preserve">À défaut d'outillage immédiat, documenter dans CLAUDE.md le taux de dérive actuel (84/232) comme dette connue chiffrée, pour suivi dans le temps.</w:t>
      </w:r>
    </w:p>
    <w:p>
      <w:pPr>
        <w:spacing w:after="60"/>
      </w:pPr>
      <w:r>
        <w:rPr>
          <w:b/>
          <w:bCs/>
        </w:rPr>
        <w:t xml:space="preserve">Impact sur les autres audits : </w:t>
      </w:r>
      <w:r>
        <w:t xml:space="preserve">AUD-04-003, AUD-04-004</w:t>
      </w:r>
    </w:p>
    <w:p>
      <w:pPr>
        <w:spacing w:after="60"/>
      </w:pPr>
      <w:r>
        <w:rPr>
          <w:b/>
          <w:bCs/>
        </w:rPr>
        <w:t xml:space="preserve">Effort estimé : </w:t>
      </w:r>
      <w:r>
        <w:t xml:space="preserve">Faible à moyen</w:t>
      </w:r>
    </w:p>
    <w:p>
      <w:pPr>
        <w:spacing w:after="60"/>
      </w:pPr>
      <w:r>
        <w:rPr>
          <w:b/>
          <w:bCs/>
        </w:rPr>
        <w:t xml:space="preserve">Priorité de correction : </w:t>
      </w:r>
      <w:r>
        <w:t xml:space="preserve">P2</w:t>
      </w:r>
    </w:p>
    <w:p>
      <w:pPr>
        <w:spacing w:after="60"/>
      </w:pPr>
      <w:r>
        <w:rPr>
          <w:b/>
          <w:bCs/>
        </w:rPr>
        <w:t xml:space="preserve">Critères d'acceptation : </w:t>
      </w:r>
      <w:r>
        <w:t xml:space="preserve">Un contrôle automatisé (lint ou script) détecte les nouvelles valeurs hors tokens ; le taux de dérive ne progresse plus.</w:t>
      </w:r>
    </w:p>
    <w:p>
      <w:pPr>
        <w:spacing w:after="60"/>
      </w:pPr>
      <w:r>
        <w:rPr>
          <w:b/>
          <w:bCs/>
        </w:rPr>
        <w:t xml:space="preserve">Risque si non corrigé : </w:t>
      </w:r>
      <w:r>
        <w:t xml:space="preserve">Dérive continue de l'identité visuelle à chaque nouvelle fonctionnalité.</w:t>
      </w:r>
    </w:p>
    <w:p>
      <w:pPr>
        <w:pStyle w:val="Heading2"/>
        <w:spacing w:after="120" w:before="250"/>
      </w:pPr>
      <w:r>
        <w:t xml:space="preserve">AUD-09-004 — Deux angles morts qualité simultanés en intégration continue</w:t>
      </w:r>
    </w:p>
    <w:p>
      <w:pPr>
        <w:spacing w:after="60"/>
      </w:pPr>
      <w:r>
        <w:rPr>
          <w:b/>
          <w:bCs/>
        </w:rPr>
        <w:t xml:space="preserve">Gravité : </w:t>
      </w:r>
      <w:r>
        <w:t xml:space="preserve">🟠 ÉLEVÉE</w:t>
      </w:r>
    </w:p>
    <w:p>
      <w:pPr>
        <w:spacing w:after="60"/>
      </w:pPr>
      <w:r>
        <w:rPr>
          <w:b/>
          <w:bCs/>
        </w:rPr>
        <w:t xml:space="preserve">Confiance du constat : </w:t>
      </w:r>
      <w:r>
        <w:t xml:space="preserve">Moyenne</w:t>
      </w:r>
    </w:p>
    <w:p>
      <w:pPr>
        <w:spacing w:after="60"/>
      </w:pPr>
      <w:r>
        <w:rPr>
          <w:b/>
          <w:bCs/>
        </w:rPr>
        <w:t xml:space="preserve">Preuves observées : </w:t>
      </w:r>
      <w:r>
        <w:t xml:space="preserve">CSV AUD-01-019 (« CI : étape lint ne peut jamais échouer ») et AUD-01-020 (« Aucune mesure de couverture de code ») ; CLAUDE.md §5 (« npm run test:coverage rapporte 0% partout... limite de l'outillage, pas un manque de tests réel »).</w:t>
      </w:r>
    </w:p>
    <w:p>
      <w:pPr>
        <w:spacing w:after="60"/>
      </w:pPr>
      <w:r>
        <w:rPr>
          <w:b/>
          <w:bCs/>
        </w:rPr>
        <w:t xml:space="preserve">Description : </w:t>
      </w:r>
      <w:r>
        <w:t xml:space="preserve">Deux constats distincts de l'audit technique (jamais traité, cf. AUD-09-001) se combinent : le lint ne peut pas faire échouer la CI, et la mesure de couverture ne produit aucun chiffre exploitable. Le projet ne dispose donc d'aucun signal automatisé de régression de qualité de code au-delà du passage/échec des 743 tests eux-mêmes.</w:t>
      </w:r>
    </w:p>
    <w:p>
      <w:pPr>
        <w:spacing w:after="60"/>
      </w:pPr>
      <w:r>
        <w:rPr>
          <w:b/>
          <w:bCs/>
        </w:rPr>
        <w:t xml:space="preserve">Pourquoi c'est problématique : </w:t>
      </w:r>
      <w:r>
        <w:t xml:space="preserve">743 tests verts est une preuve de non-régression fonctionnelle connue, pas une preuve de couverture — sans lint bloquant ni couverture mesurée, une régression de qualité de code (nouveau warning, code mort, branche non testée) peut s'accumuler silencieusement, contrairement à l'image de rigueur donnée par ailleurs (ADR append-only, seuils lint suivis manuellement).</w:t>
      </w:r>
    </w:p>
    <w:p>
      <w:pPr>
        <w:spacing w:after="60"/>
      </w:pPr>
      <w:r>
        <w:rPr>
          <w:b/>
          <w:bCs/>
        </w:rPr>
        <w:t xml:space="preserve">Domaines concernés : </w:t>
      </w:r>
      <w:r>
        <w:t xml:space="preserve">CI/CD / Qualité de code / Technique</w:t>
      </w:r>
    </w:p>
    <w:p>
      <w:pPr>
        <w:spacing w:after="60"/>
      </w:pPr>
      <w:r>
        <w:rPr>
          <w:b/>
          <w:bCs/>
        </w:rPr>
        <w:t xml:space="preserve">Conséquences : </w:t>
      </w:r>
      <w:r>
        <w:t xml:space="preserve">Risque d'accumulation silencieuse de dette de qualité non détectée avant qu'elle ne devienne visible fonctionnellement.</w:t>
      </w:r>
    </w:p>
    <w:p>
      <w:pPr>
        <w:spacing w:after="60"/>
      </w:pPr>
      <w:r>
        <w:rPr>
          <w:b/>
          <w:bCs/>
        </w:rPr>
        <w:t xml:space="preserve">Cause probable : </w:t>
      </w:r>
      <w:r>
        <w:t xml:space="preserve">Non vérifiable avec les éléments fournis pour la cause exacte du choix CI ; l'absence de couverture est documentée comme limite d'outillage (vm sandbox) plutôt que comme un choix.</w:t>
      </w:r>
    </w:p>
    <w:p>
      <w:pPr>
        <w:spacing w:after="60"/>
      </w:pPr>
      <w:r>
        <w:rPr>
          <w:b/>
          <w:bCs/>
        </w:rPr>
        <w:t xml:space="preserve">Solution recommandée : </w:t>
      </w:r>
      <w:r>
        <w:t xml:space="preserve">Faire échouer la CI sur toute augmentation du nombre de warnings ESLint au-delà du seuil actuel (344) plutôt que sur un seuil qui ne peut que monter ; explorer une mesure de couverture alternative compatible avec le harnais vm (ex. instrumentation manuelle ciblée sur les fichiers critiques) ou acter formellement en ADR l'acceptation du risque.</w:t>
      </w:r>
    </w:p>
    <w:p>
      <w:pPr>
        <w:spacing w:after="60"/>
      </w:pPr>
      <w:r>
        <w:rPr>
          <w:b/>
          <w:bCs/>
        </w:rPr>
        <w:t xml:space="preserve">Alternative(s) : </w:t>
      </w:r>
      <w:r>
        <w:t xml:space="preserve">A minima, faire baisser le seuil ESLint au fil des lots (comme suggéré par CLAUDE.md lui-même) au lieu de le laisser monter à chaque nouvelle fonction invisible à l'analyse.</w:t>
      </w:r>
    </w:p>
    <w:p>
      <w:pPr>
        <w:spacing w:after="60"/>
      </w:pPr>
      <w:r>
        <w:rPr>
          <w:b/>
          <w:bCs/>
        </w:rPr>
        <w:t xml:space="preserve">Impact sur les autres audits : </w:t>
      </w:r>
      <w:r>
        <w:t xml:space="preserve">AUD-01-019, AUD-01-020</w:t>
      </w:r>
    </w:p>
    <w:p>
      <w:pPr>
        <w:spacing w:after="60"/>
      </w:pPr>
      <w:r>
        <w:rPr>
          <w:b/>
          <w:bCs/>
        </w:rPr>
        <w:t xml:space="preserve">Effort estimé : </w:t>
      </w:r>
      <w:r>
        <w:t xml:space="preserve">Faible (CI) à moyen (couverture)</w:t>
      </w:r>
    </w:p>
    <w:p>
      <w:pPr>
        <w:spacing w:after="60"/>
      </w:pPr>
      <w:r>
        <w:rPr>
          <w:b/>
          <w:bCs/>
        </w:rPr>
        <w:t xml:space="preserve">Priorité de correction : </w:t>
      </w:r>
      <w:r>
        <w:t xml:space="preserve">P2</w:t>
      </w:r>
    </w:p>
    <w:p>
      <w:pPr>
        <w:spacing w:after="60"/>
      </w:pPr>
      <w:r>
        <w:rPr>
          <w:b/>
          <w:bCs/>
        </w:rPr>
        <w:t xml:space="preserve">Critères d'acceptation : </w:t>
      </w:r>
      <w:r>
        <w:t xml:space="preserve">Un échec de lint fait échouer la CI ; une décision explicite (ADR) statue sur la couverture 0%.</w:t>
      </w:r>
    </w:p>
    <w:p>
      <w:pPr>
        <w:spacing w:after="60"/>
      </w:pPr>
      <w:r>
        <w:rPr>
          <w:b/>
          <w:bCs/>
        </w:rPr>
        <w:t xml:space="preserve">Risque si non corrigé : </w:t>
      </w:r>
      <w:r>
        <w:t xml:space="preserve">Régression de qualité de code non détectée avant la mise en production.</w:t>
      </w:r>
    </w:p>
    <w:p>
      <w:pPr>
        <w:pStyle w:val="Heading2"/>
        <w:spacing w:after="120" w:before="250"/>
      </w:pPr>
      <w:r>
        <w:t xml:space="preserve">AUD-09-005 — Correctif d'accessibilité documenté par un commentaire citant l'audit source mais jamais appliqué</w:t>
      </w:r>
    </w:p>
    <w:p>
      <w:pPr>
        <w:spacing w:after="60"/>
      </w:pPr>
      <w:r>
        <w:rPr>
          <w:b/>
          <w:bCs/>
        </w:rPr>
        <w:t xml:space="preserve">Gravité : </w:t>
      </w:r>
      <w:r>
        <w:t xml:space="preserve">🟡 MOYENNE</w:t>
      </w:r>
    </w:p>
    <w:p>
      <w:pPr>
        <w:spacing w:after="60"/>
      </w:pPr>
      <w:r>
        <w:rPr>
          <w:b/>
          <w:bCs/>
        </w:rPr>
        <w:t xml:space="preserve">Confiance du constat : </w:t>
      </w:r>
      <w:r>
        <w:t xml:space="preserve">Élevée</w:t>
      </w:r>
    </w:p>
    <w:p>
      <w:pPr>
        <w:spacing w:after="60"/>
      </w:pPr>
      <w:r>
        <w:rPr>
          <w:b/>
          <w:bCs/>
        </w:rPr>
        <w:t xml:space="preserve">Preuves observées : </w:t>
      </w:r>
      <w:r>
        <w:t xml:space="preserve">js/09-parent.js:40-45 : commentaire « AUD-05-006 (audit accessibilité 2026-09-25) : le placeholder "Code incorrect !" » suivi du code exact dénoncé par le constat (changement de placeholder seul, sans annonce accessible).</w:t>
      </w:r>
    </w:p>
    <w:p>
      <w:pPr>
        <w:spacing w:after="60"/>
      </w:pPr>
      <w:r>
        <w:rPr>
          <w:b/>
          <w:bCs/>
        </w:rPr>
        <w:t xml:space="preserve">Description : </w:t>
      </w:r>
      <w:r>
        <w:t xml:space="preserve">Le code contient une référence explicite à l'ID du constat AUD-05-006 (erreur de code parent signalée uniquement par un changement de placeholder, invisible pour un lecteur d'écran) mais le comportement dénoncé n'a pas été corrigé — seul un commentaire de traçabilité a été ajouté, pas de correctif.</w:t>
      </w:r>
    </w:p>
    <w:p>
      <w:pPr>
        <w:spacing w:after="60"/>
      </w:pPr>
      <w:r>
        <w:rPr>
          <w:b/>
          <w:bCs/>
        </w:rPr>
        <w:t xml:space="preserve">Pourquoi c'est problématique : </w:t>
      </w:r>
      <w:r>
        <w:t xml:space="preserve">Un commentaire qui documente un défaut connu sans le corriger crée une fausse impression de traitement pour quiconque relit le code rapidement, alors que le problème d'accessibilité reste entier pour l'utilisateur final.</w:t>
      </w:r>
    </w:p>
    <w:p>
      <w:pPr>
        <w:spacing w:after="60"/>
      </w:pPr>
      <w:r>
        <w:rPr>
          <w:b/>
          <w:bCs/>
        </w:rPr>
        <w:t xml:space="preserve">Domaines concernés : </w:t>
      </w:r>
      <w:r>
        <w:t xml:space="preserve">Accessibilité / Contrôle parental</w:t>
      </w:r>
    </w:p>
    <w:p>
      <w:pPr>
        <w:spacing w:after="60"/>
      </w:pPr>
      <w:r>
        <w:rPr>
          <w:b/>
          <w:bCs/>
        </w:rPr>
        <w:t xml:space="preserve">Conséquences : </w:t>
      </w:r>
      <w:r>
        <w:t xml:space="preserve">Un parent utilisant un lecteur d'écran ne reçoit aucune annonce accessible en cas de code incorrect, sur un parcours de sécurité (accès à la Vue Parent).</w:t>
      </w:r>
    </w:p>
    <w:p>
      <w:pPr>
        <w:spacing w:after="60"/>
      </w:pPr>
      <w:r>
        <w:rPr>
          <w:b/>
          <w:bCs/>
        </w:rPr>
        <w:t xml:space="preserve">Cause probable : </w:t>
      </w:r>
      <w:r>
        <w:t xml:space="preserve">Le commentaire a probablement été ajouté lors du traitement du lot sécurité (ADR-154, qui touche ce même flux de PIN) sans que le sous-lot accessibilité correspondant n'ait été exécuté.</w:t>
      </w:r>
    </w:p>
    <w:p>
      <w:pPr>
        <w:spacing w:after="60"/>
      </w:pPr>
      <w:r>
        <w:rPr>
          <w:b/>
          <w:bCs/>
        </w:rPr>
        <w:t xml:space="preserve">Solution recommandée : </w:t>
      </w:r>
      <w:r>
        <w:t xml:space="preserve">Ajouter une annonce accessible (ex. région aria-live="assertive" ou role="alert") en complément du changement de placeholder, cohérente avec le pattern déjà recommandé par AUD-05 pour d'autres erreurs de formulaire.</w:t>
      </w:r>
    </w:p>
    <w:p>
      <w:pPr>
        <w:spacing w:after="60"/>
      </w:pPr>
      <w:r>
        <w:rPr>
          <w:b/>
          <w:bCs/>
        </w:rPr>
        <w:t xml:space="preserve">Alternative(s) : </w:t>
      </w:r>
      <w:r>
        <w:t xml:space="preserve">Réutiliser le mécanisme de toast()/showAlert() déjà existant si sa sémantique est jugée suffisamment accessible après vérification.</w:t>
      </w:r>
    </w:p>
    <w:p>
      <w:pPr>
        <w:spacing w:after="60"/>
      </w:pPr>
      <w:r>
        <w:rPr>
          <w:b/>
          <w:bCs/>
        </w:rPr>
        <w:t xml:space="preserve">Impact sur les autres audits : </w:t>
      </w:r>
      <w:r>
        <w:t xml:space="preserve">AUD-05-006, ADR-154</w:t>
      </w:r>
    </w:p>
    <w:p>
      <w:pPr>
        <w:spacing w:after="60"/>
      </w:pPr>
      <w:r>
        <w:rPr>
          <w:b/>
          <w:bCs/>
        </w:rPr>
        <w:t xml:space="preserve">Effort estimé : </w:t>
      </w:r>
      <w:r>
        <w:t xml:space="preserve">Faible</w:t>
      </w:r>
    </w:p>
    <w:p>
      <w:pPr>
        <w:spacing w:after="60"/>
      </w:pPr>
      <w:r>
        <w:rPr>
          <w:b/>
          <w:bCs/>
        </w:rPr>
        <w:t xml:space="preserve">Priorité de correction : </w:t>
      </w:r>
      <w:r>
        <w:t xml:space="preserve">P1</w:t>
      </w:r>
    </w:p>
    <w:p>
      <w:pPr>
        <w:spacing w:after="60"/>
      </w:pPr>
      <w:r>
        <w:rPr>
          <w:b/>
          <w:bCs/>
        </w:rPr>
        <w:t xml:space="preserve">Critères d'acceptation : </w:t>
      </w:r>
      <w:r>
        <w:t xml:space="preserve">Un test (manuel ou automatisé) confirme qu'un code incorrect déclenche une annonce perceptible par un lecteur d'écran, pas seulement un changement visuel de placeholder.</w:t>
      </w:r>
    </w:p>
    <w:p>
      <w:pPr>
        <w:spacing w:after="60"/>
      </w:pPr>
      <w:r>
        <w:rPr>
          <w:b/>
          <w:bCs/>
        </w:rPr>
        <w:t xml:space="preserve">Risque si non corrigé : </w:t>
      </w:r>
      <w:r>
        <w:t xml:space="preserve">Accessibilité effective en dessous de l'accessibilité documentée comme prévue.</w:t>
      </w:r>
    </w:p>
    <w:p>
      <w:pPr>
        <w:pStyle w:val="Heading2"/>
        <w:spacing w:after="120" w:before="250"/>
      </w:pPr>
      <w:r>
        <w:t xml:space="preserve">AUD-09-006 — Gradient de qualité perçue incohérent entre micro-interactions et identité visuelle de base</w:t>
      </w:r>
    </w:p>
    <w:p>
      <w:pPr>
        <w:spacing w:after="60"/>
      </w:pPr>
      <w:r>
        <w:rPr>
          <w:b/>
          <w:bCs/>
        </w:rPr>
        <w:t xml:space="preserve">Gravité : </w:t>
      </w:r>
      <w:r>
        <w:t xml:space="preserve">🟡 MOYENNE</w:t>
      </w:r>
    </w:p>
    <w:p>
      <w:pPr>
        <w:spacing w:after="60"/>
      </w:pPr>
      <w:r>
        <w:rPr>
          <w:b/>
          <w:bCs/>
        </w:rPr>
        <w:t xml:space="preserve">Confiance du constat : </w:t>
      </w:r>
      <w:r>
        <w:t xml:space="preserve">Moyenne</w:t>
      </w:r>
    </w:p>
    <w:p>
      <w:pPr>
        <w:spacing w:after="60"/>
      </w:pPr>
      <w:r>
        <w:rPr>
          <w:b/>
          <w:bCs/>
        </w:rPr>
        <w:t xml:space="preserve">Preuves observées : </w:t>
      </w:r>
      <w:r>
        <w:t xml:space="preserve">Commits 4629655/876dd4c/75865c8 (AUD-08 clos : modales stylées, retour réseau, tokens d'animation) contre CSV AUD-04-001 (trois langages visuels concurrents) et AUD-04-005 (monstres en emoji), tous deux non traités (AUD-09-001).</w:t>
      </w:r>
    </w:p>
    <w:p>
      <w:pPr>
        <w:spacing w:after="60"/>
      </w:pPr>
      <w:r>
        <w:rPr>
          <w:b/>
          <w:bCs/>
        </w:rPr>
        <w:t xml:space="preserve">Description : </w:t>
      </w:r>
      <w:r>
        <w:t xml:space="preserve">Le soin apporté récemment aux micro-interactions (feedback réseau, modales, accents) contraste avec une identité visuelle de fond encore fracturée (styles concurrents, illustrations en emoji système). Le niveau de finition perçu varie donc fortement selon qu'on regarde une interaction ponctuelle ou un écran dans son ensemble.</w:t>
      </w:r>
    </w:p>
    <w:p>
      <w:pPr>
        <w:spacing w:after="60"/>
      </w:pPr>
      <w:r>
        <w:rPr>
          <w:b/>
          <w:bCs/>
        </w:rPr>
        <w:t xml:space="preserve">Pourquoi c'est problématique : </w:t>
      </w:r>
      <w:r>
        <w:t xml:space="preserve">La qualité perçue globale d'un logiciel est déterminée par son point le plus faible autant que par ses points forts ; un enfant ou un parent qui rencontre un monstre en emoji juste après une modale soignée perçoit une incohérence de sérieux, pas un mélange de forces et de progrès en cours.</w:t>
      </w:r>
    </w:p>
    <w:p>
      <w:pPr>
        <w:spacing w:after="60"/>
      </w:pPr>
      <w:r>
        <w:rPr>
          <w:b/>
          <w:bCs/>
        </w:rPr>
        <w:t xml:space="preserve">Domaines concernés : </w:t>
      </w:r>
      <w:r>
        <w:t xml:space="preserve">Qualité perçue / Design / Illustration</w:t>
      </w:r>
    </w:p>
    <w:p>
      <w:pPr>
        <w:spacing w:after="60"/>
      </w:pPr>
      <w:r>
        <w:rPr>
          <w:b/>
          <w:bCs/>
        </w:rPr>
        <w:t xml:space="preserve">Conséquences : </w:t>
      </w:r>
      <w:r>
        <w:t xml:space="preserve">Perception d'un produit inégal plutôt que d'un produit encore en progression cohérente.</w:t>
      </w:r>
    </w:p>
    <w:p>
      <w:pPr>
        <w:spacing w:after="60"/>
      </w:pPr>
      <w:r>
        <w:rPr>
          <w:b/>
          <w:bCs/>
        </w:rPr>
        <w:t xml:space="preserve">Cause probable : </w:t>
      </w:r>
      <w:r>
        <w:t xml:space="preserve">Conséquence directe d'AUD-09-001 : les lots faciles à exécuter par du code (micro-interactions) ont été traités avant les chantiers d'illustration/design plus lourds.</w:t>
      </w:r>
    </w:p>
    <w:p>
      <w:pPr>
        <w:spacing w:after="60"/>
      </w:pPr>
      <w:r>
        <w:rPr>
          <w:b/>
          <w:bCs/>
        </w:rPr>
        <w:t xml:space="preserve">Solution recommandée : </w:t>
      </w:r>
      <w:r>
        <w:t xml:space="preserve">Séquencer explicitement le traitement d'AUD-04 après AUD-08 dans la feuille de route (déjà fait de fait), mais en priorisant AUD-04-001/005 en premier pour réduire l'écart de gradient le plus vite possible.</w:t>
      </w:r>
    </w:p>
    <w:p>
      <w:pPr>
        <w:spacing w:after="60"/>
      </w:pPr>
      <w:r>
        <w:rPr>
          <w:b/>
          <w:bCs/>
        </w:rPr>
        <w:t xml:space="preserve">Alternative(s) : </w:t>
      </w:r>
      <w:r>
        <w:t xml:space="preserve">Aucune</w:t>
      </w:r>
    </w:p>
    <w:p>
      <w:pPr>
        <w:spacing w:after="60"/>
      </w:pPr>
      <w:r>
        <w:rPr>
          <w:b/>
          <w:bCs/>
        </w:rPr>
        <w:t xml:space="preserve">Impact sur les autres audits : </w:t>
      </w:r>
      <w:r>
        <w:t xml:space="preserve">AUD-04-001, AUD-04-005, AUD-08 (déjà clos)</w:t>
      </w:r>
    </w:p>
    <w:p>
      <w:pPr>
        <w:spacing w:after="60"/>
      </w:pPr>
      <w:r>
        <w:rPr>
          <w:b/>
          <w:bCs/>
        </w:rPr>
        <w:t xml:space="preserve">Effort estimé : </w:t>
      </w:r>
      <w:r>
        <w:t xml:space="preserve">Élevé (chantier illustration)</w:t>
      </w:r>
    </w:p>
    <w:p>
      <w:pPr>
        <w:spacing w:after="60"/>
      </w:pPr>
      <w:r>
        <w:rPr>
          <w:b/>
          <w:bCs/>
        </w:rPr>
        <w:t xml:space="preserve">Priorité de correction : </w:t>
      </w:r>
      <w:r>
        <w:t xml:space="preserve">P1</w:t>
      </w:r>
    </w:p>
    <w:p>
      <w:pPr>
        <w:spacing w:after="60"/>
      </w:pPr>
      <w:r>
        <w:rPr>
          <w:b/>
          <w:bCs/>
        </w:rPr>
        <w:t xml:space="preserve">Critères d'acceptation : </w:t>
      </w:r>
      <w:r>
        <w:t xml:space="preserve">Écart de finition perçue réduit entre écrans, mesuré qualitativement lors du traitement d'AUD-04.</w:t>
      </w:r>
    </w:p>
    <w:p>
      <w:pPr>
        <w:spacing w:after="60"/>
      </w:pPr>
      <w:r>
        <w:rPr>
          <w:b/>
          <w:bCs/>
        </w:rPr>
        <w:t xml:space="preserve">Risque si non corrigé : </w:t>
      </w:r>
      <w:r>
        <w:t xml:space="preserve">Perception d'amateurisme localisée malgré des progrès réels ailleurs.</w:t>
      </w:r>
    </w:p>
    <w:p>
      <w:pPr>
        <w:pStyle w:val="Heading2"/>
        <w:spacing w:after="120" w:before="250"/>
      </w:pPr>
      <w:r>
        <w:t xml:space="preserve">AUD-09-007 — Parcours code parent traité à deux standards de qualité différents selon le domaine d'audit</w:t>
      </w:r>
    </w:p>
    <w:p>
      <w:pPr>
        <w:spacing w:after="60"/>
      </w:pPr>
      <w:r>
        <w:rPr>
          <w:b/>
          <w:bCs/>
        </w:rPr>
        <w:t xml:space="preserve">Gravité : </w:t>
      </w:r>
      <w:r>
        <w:t xml:space="preserve">🟡 MOYENNE</w:t>
      </w:r>
    </w:p>
    <w:p>
      <w:pPr>
        <w:spacing w:after="60"/>
      </w:pPr>
      <w:r>
        <w:rPr>
          <w:b/>
          <w:bCs/>
        </w:rPr>
        <w:t xml:space="preserve">Confiance du constat : </w:t>
      </w:r>
      <w:r>
        <w:t xml:space="preserve">Élevée</w:t>
      </w:r>
    </w:p>
    <w:p>
      <w:pPr>
        <w:spacing w:after="60"/>
      </w:pPr>
      <w:r>
        <w:rPr>
          <w:b/>
          <w:bCs/>
        </w:rPr>
        <w:t xml:space="preserve">Preuves observées : </w:t>
      </w:r>
      <w:r>
        <w:t xml:space="preserve">ADR-154 (verrou anti-brute-force PIN traité côté sécurité) ; CSV AUD-05-004 (contraste insuffisant, non spécifique au PIN mais aux boutons QCM) et AUD-05-006 (erreur PIN non accessible, cf. AUD-09-005), tous deux non traités.</w:t>
      </w:r>
    </w:p>
    <w:p>
      <w:pPr>
        <w:spacing w:after="60"/>
      </w:pPr>
      <w:r>
        <w:rPr>
          <w:b/>
          <w:bCs/>
        </w:rPr>
        <w:t xml:space="preserve">Description : </w:t>
      </w:r>
      <w:r>
        <w:t xml:space="preserve">Le même flux critique (accès Vue Parent par code PIN) a été durci côté sécurité (anti-brute-force, re-verrouillage) mais reste non corrigé côté accessibilité pour son propre retour d'erreur (AUD-05-006).</w:t>
      </w:r>
    </w:p>
    <w:p>
      <w:pPr>
        <w:spacing w:after="60"/>
      </w:pPr>
      <w:r>
        <w:rPr>
          <w:b/>
          <w:bCs/>
        </w:rPr>
        <w:t xml:space="preserve">Pourquoi c'est problématique : </w:t>
      </w:r>
      <w:r>
        <w:t xml:space="preserve">Un parcours critique doit être cohérent sur toutes ses dimensions de qualité à la fois ; le sécuriser sans le rendre utilisable par tous les parents laisse une partie du public sans accès réel au contrôle parental, ce qui est le cœur de la proposition de valeur du logiciel (CLAUDE.md §1).</w:t>
      </w:r>
    </w:p>
    <w:p>
      <w:pPr>
        <w:spacing w:after="60"/>
      </w:pPr>
      <w:r>
        <w:rPr>
          <w:b/>
          <w:bCs/>
        </w:rPr>
        <w:t xml:space="preserve">Domaines concernés : </w:t>
      </w:r>
      <w:r>
        <w:t xml:space="preserve">Sécurité / Accessibilité / Contrôle parental</w:t>
      </w:r>
    </w:p>
    <w:p>
      <w:pPr>
        <w:spacing w:after="60"/>
      </w:pPr>
      <w:r>
        <w:rPr>
          <w:b/>
          <w:bCs/>
        </w:rPr>
        <w:t xml:space="preserve">Conséquences : </w:t>
      </w:r>
      <w:r>
        <w:t xml:space="preserve">Un parent en situation de handicap visuel ou utilisant un lecteur d'écran peut être bloqué de fait sur l'accès à son propre espace de contrôle.</w:t>
      </w:r>
    </w:p>
    <w:p>
      <w:pPr>
        <w:spacing w:after="60"/>
      </w:pPr>
      <w:r>
        <w:rPr>
          <w:b/>
          <w:bCs/>
        </w:rPr>
        <w:t xml:space="preserve">Cause probable : </w:t>
      </w:r>
      <w:r>
        <w:t xml:space="preserve">Les deux domaines (sécurité et accessibilité) ont été audités et traités à des moments différents sans repasse croisée sur les mêmes écrans.</w:t>
      </w:r>
    </w:p>
    <w:p>
      <w:pPr>
        <w:spacing w:after="60"/>
      </w:pPr>
      <w:r>
        <w:rPr>
          <w:b/>
          <w:bCs/>
        </w:rPr>
        <w:t xml:space="preserve">Solution recommandée : </w:t>
      </w:r>
      <w:r>
        <w:t xml:space="preserve">Voir solution d'AUD-09-005 ; ajouter systématiquement une repasse accessibilité rapide à la fin de chaque lot sécurité touchant un formulaire critique.</w:t>
      </w:r>
    </w:p>
    <w:p>
      <w:pPr>
        <w:spacing w:after="60"/>
      </w:pPr>
      <w:r>
        <w:rPr>
          <w:b/>
          <w:bCs/>
        </w:rPr>
        <w:t xml:space="preserve">Alternative(s) : </w:t>
      </w:r>
      <w:r>
        <w:t xml:space="preserve">Aucune</w:t>
      </w:r>
    </w:p>
    <w:p>
      <w:pPr>
        <w:spacing w:after="60"/>
      </w:pPr>
      <w:r>
        <w:rPr>
          <w:b/>
          <w:bCs/>
        </w:rPr>
        <w:t xml:space="preserve">Impact sur les autres audits : </w:t>
      </w:r>
      <w:r>
        <w:t xml:space="preserve">AUD-05-004, AUD-05-006, AUD-06 (ADR-154)</w:t>
      </w:r>
    </w:p>
    <w:p>
      <w:pPr>
        <w:spacing w:after="60"/>
      </w:pPr>
      <w:r>
        <w:rPr>
          <w:b/>
          <w:bCs/>
        </w:rPr>
        <w:t xml:space="preserve">Effort estimé : </w:t>
      </w:r>
      <w:r>
        <w:t xml:space="preserve">Faible</w:t>
      </w:r>
    </w:p>
    <w:p>
      <w:pPr>
        <w:spacing w:after="60"/>
      </w:pPr>
      <w:r>
        <w:rPr>
          <w:b/>
          <w:bCs/>
        </w:rPr>
        <w:t xml:space="preserve">Priorité de correction : </w:t>
      </w:r>
      <w:r>
        <w:t xml:space="preserve">P1</w:t>
      </w:r>
    </w:p>
    <w:p>
      <w:pPr>
        <w:spacing w:after="60"/>
      </w:pPr>
      <w:r>
        <w:rPr>
          <w:b/>
          <w:bCs/>
        </w:rPr>
        <w:t xml:space="preserve">Critères d'acceptation : </w:t>
      </w:r>
      <w:r>
        <w:t xml:space="preserve">Le formulaire de code parent respecte simultanément les exigences sécurité (déjà acquises) et accessibilité (à corriger).</w:t>
      </w:r>
    </w:p>
    <w:p>
      <w:pPr>
        <w:spacing w:after="60"/>
      </w:pPr>
      <w:r>
        <w:rPr>
          <w:b/>
          <w:bCs/>
        </w:rPr>
        <w:t xml:space="preserve">Risque si non corrigé : </w:t>
      </w:r>
      <w:r>
        <w:t xml:space="preserve">Exclusion de fait d'une partie des parents du contrôle parental.</w:t>
      </w:r>
    </w:p>
    <w:p>
      <w:pPr>
        <w:pStyle w:val="Heading2"/>
        <w:spacing w:after="120" w:before="250"/>
      </w:pPr>
      <w:r>
        <w:t xml:space="preserve">AUD-09-008 — Règle de non-reformatage en masse sans garde-fou face à un formateur automatique configuré</w:t>
      </w:r>
    </w:p>
    <w:p>
      <w:pPr>
        <w:spacing w:after="60"/>
      </w:pPr>
      <w:r>
        <w:rPr>
          <w:b/>
          <w:bCs/>
        </w:rPr>
        <w:t xml:space="preserve">Gravité : </w:t>
      </w:r>
      <w:r>
        <w:t xml:space="preserve">🟢 FAIBLE</w:t>
      </w:r>
    </w:p>
    <w:p>
      <w:pPr>
        <w:spacing w:after="60"/>
      </w:pPr>
      <w:r>
        <w:rPr>
          <w:b/>
          <w:bCs/>
        </w:rPr>
        <w:t xml:space="preserve">Confiance du constat : </w:t>
      </w:r>
      <w:r>
        <w:t xml:space="preserve">Moyenne</w:t>
      </w:r>
    </w:p>
    <w:p>
      <w:pPr>
        <w:spacing w:after="60"/>
      </w:pPr>
      <w:r>
        <w:rPr>
          <w:b/>
          <w:bCs/>
        </w:rPr>
        <w:t xml:space="preserve">Preuves observées : </w:t>
      </w:r>
      <w:r>
        <w:t xml:space="preserve">CLAUDE.md §2 (« Prettier configuré mais peu suivi... indentation réelle : 1 espace, pas 2 — ne pas reformater en masse sans validation explicite ») et §4.</w:t>
      </w:r>
    </w:p>
    <w:p>
      <w:pPr>
        <w:spacing w:after="60"/>
      </w:pPr>
      <w:r>
        <w:rPr>
          <w:b/>
          <w:bCs/>
        </w:rPr>
        <w:t xml:space="preserve">Description : </w:t>
      </w:r>
      <w:r>
        <w:t xml:space="preserve">Le dépôt documente explicitement un risque (un lancement de `npm run format` reformatterait massivement un code qui ne suit pas la convention Prettier standard) sans qu'aucun garde-fou technique (script désactivant `format` sur ce dépôt, ou pre-commit qui le bloque) n'empêche ce risque de se matérialiser par erreur, y compris par un futur agent automatisé.</w:t>
      </w:r>
    </w:p>
    <w:p>
      <w:pPr>
        <w:spacing w:after="60"/>
      </w:pPr>
      <w:r>
        <w:rPr>
          <w:b/>
          <w:bCs/>
        </w:rPr>
        <w:t xml:space="preserve">Pourquoi c'est problématique : </w:t>
      </w:r>
      <w:r>
        <w:t xml:space="preserve">Une règle documentaire seule ne protège pas contre une exécution accidentelle d'une commande pourtant définie et exposée dans package.json (npm run format), ce qui est en tension avec l'esprit général du projet de sécuriser par l'outillage ce qui est risqué (cf. l'exigence de garde-fous ailleurs).</w:t>
      </w:r>
    </w:p>
    <w:p>
      <w:pPr>
        <w:spacing w:after="60"/>
      </w:pPr>
      <w:r>
        <w:rPr>
          <w:b/>
          <w:bCs/>
        </w:rPr>
        <w:t xml:space="preserve">Domaines concernés : </w:t>
      </w:r>
      <w:r>
        <w:t xml:space="preserve">Gouvernance de code / Outillage</w:t>
      </w:r>
    </w:p>
    <w:p>
      <w:pPr>
        <w:spacing w:after="60"/>
      </w:pPr>
      <w:r>
        <w:rPr>
          <w:b/>
          <w:bCs/>
        </w:rPr>
        <w:t xml:space="preserve">Conséquences : </w:t>
      </w:r>
      <w:r>
        <w:t xml:space="preserve">Un diff massif et non désiré en cas d'exécution accidentelle de `npm run format`, potentiellement source de conflits Git ou de perte de temps de revue.</w:t>
      </w:r>
    </w:p>
    <w:p>
      <w:pPr>
        <w:spacing w:after="60"/>
      </w:pPr>
      <w:r>
        <w:rPr>
          <w:b/>
          <w:bCs/>
        </w:rPr>
        <w:t xml:space="preserve">Cause probable : </w:t>
      </w:r>
      <w:r>
        <w:t xml:space="preserve">Le script `format` existe dans package.json pour un usage ponctuel documenté par une note plutôt qu'empêché techniquement.</w:t>
      </w:r>
    </w:p>
    <w:p>
      <w:pPr>
        <w:spacing w:after="60"/>
      </w:pPr>
      <w:r>
        <w:rPr>
          <w:b/>
          <w:bCs/>
        </w:rPr>
        <w:t xml:space="preserve">Solution recommandée : </w:t>
      </w:r>
      <w:r>
        <w:t xml:space="preserve">Retirer le script `format` de `npm run` par défaut (le documenter comme commande manuelle uniquement dans un README dédié) ou faire pointer `npm run format` vers une variante `--check` non destructive par défaut.</w:t>
      </w:r>
    </w:p>
    <w:p>
      <w:pPr>
        <w:spacing w:after="60"/>
      </w:pPr>
      <w:r>
        <w:rPr>
          <w:b/>
          <w:bCs/>
        </w:rPr>
        <w:t xml:space="preserve">Alternative(s) : </w:t>
      </w:r>
      <w:r>
        <w:t xml:space="preserve">Ajouter un avertissement interactif (confirmation) dans un wrapper du script avant exécution.</w:t>
      </w:r>
    </w:p>
    <w:p>
      <w:pPr>
        <w:spacing w:after="60"/>
      </w:pPr>
      <w:r>
        <w:rPr>
          <w:b/>
          <w:bCs/>
        </w:rPr>
        <w:t xml:space="preserve">Impact sur les autres audits : </w:t>
      </w:r>
      <w:r>
        <w:t xml:space="preserve">Aucun (préventif)</w:t>
      </w:r>
    </w:p>
    <w:p>
      <w:pPr>
        <w:spacing w:after="60"/>
      </w:pPr>
      <w:r>
        <w:rPr>
          <w:b/>
          <w:bCs/>
        </w:rPr>
        <w:t xml:space="preserve">Effort estimé : </w:t>
      </w:r>
      <w:r>
        <w:t xml:space="preserve">Faible</w:t>
      </w:r>
    </w:p>
    <w:p>
      <w:pPr>
        <w:spacing w:after="60"/>
      </w:pPr>
      <w:r>
        <w:rPr>
          <w:b/>
          <w:bCs/>
        </w:rPr>
        <w:t xml:space="preserve">Priorité de correction : </w:t>
      </w:r>
      <w:r>
        <w:t xml:space="preserve">P3</w:t>
      </w:r>
    </w:p>
    <w:p>
      <w:pPr>
        <w:spacing w:after="60"/>
      </w:pPr>
      <w:r>
        <w:rPr>
          <w:b/>
          <w:bCs/>
        </w:rPr>
        <w:t xml:space="preserve">Critères d'acceptation : </w:t>
      </w:r>
      <w:r>
        <w:t xml:space="preserve">`npm run format` ne peut plus reformater en masse sans étape explicite supplémentaire.</w:t>
      </w:r>
    </w:p>
    <w:p>
      <w:pPr>
        <w:spacing w:after="60"/>
      </w:pPr>
      <w:r>
        <w:rPr>
          <w:b/>
          <w:bCs/>
        </w:rPr>
        <w:t xml:space="preserve">Risque si non corrigé : </w:t>
      </w:r>
      <w:r>
        <w:t xml:space="preserve">Diff de reformatage massif accidentel, faible probabilité mais coût de revue élevé si cela arrive.</w:t>
      </w:r>
    </w:p>
    <w:p>
      <w:pPr>
        <w:pStyle w:val="Heading1"/>
        <w:spacing w:after="150" w:before="300"/>
      </w:pPr>
      <w:r>
        <w:t xml:space="preserve">4. Synthèse stratégique</w:t>
      </w:r>
    </w:p>
    <w:p>
      <w:pPr>
        <w:spacing w:after="100"/>
      </w:pPr>
      <w:r>
        <w:rPr>
          <w:i/>
          <w:iCs/>
        </w:rPr>
        <w:t xml:space="preserve">17 décisions réelles et étayées ont pu être établies. Le prompt en évoque 25 à titre indicatif : ce nombre n'a pas été atteint artificiellement — au-delà de ces 17 décisions, tout point supplémentaire aurait consisté soit à redécouper artificiellement une décision existante, soit à reprendre un constat déjà couvert individuellement dans les audits sources sans lui ajouter d'angle stratégique nouveau.</w:t>
      </w:r>
    </w:p>
    <w:p>
      <w:pPr>
        <w:pStyle w:val="Heading2"/>
        <w:spacing w:after="120" w:before="250"/>
      </w:pPr>
      <w:r>
        <w:t xml:space="preserve">Phases 0-1 — Urgence/Blocant et Stabilisation/Fiabilisation (immédiat)</w:t>
      </w:r>
    </w:p>
    <w:p>
      <w:pPr>
        <w:pStyle w:val="ListParagraph"/>
        <w:numPr>
          <w:ilvl w:val="0"/>
          <w:numId w:val="1"/>
        </w:numPr>
        <w:spacing w:after="60"/>
      </w:pPr>
      <w:r>
        <w:t xml:space="preserve">Traiter le P0 ergonomique AUD-03-012 (fenêtre de choix d'objectif du jour sans issue tactile) — blocage utilisateur potentiel.</w:t>
      </w:r>
    </w:p>
    <w:p>
      <w:pPr>
        <w:pStyle w:val="ListParagraph"/>
        <w:numPr>
          <w:ilvl w:val="0"/>
          <w:numId w:val="1"/>
        </w:numPr>
        <w:spacing w:after="60"/>
      </w:pPr>
      <w:r>
        <w:t xml:space="preserve">Traiter le P1 graphique AUD-04-001 (trois langages visuels concurrents), point d'entrée de la refonte d'identité visuelle.</w:t>
      </w:r>
    </w:p>
    <w:p>
      <w:pPr>
        <w:pStyle w:val="ListParagraph"/>
        <w:numPr>
          <w:ilvl w:val="0"/>
          <w:numId w:val="1"/>
        </w:numPr>
        <w:spacing w:after="60"/>
      </w:pPr>
      <w:r>
        <w:t xml:space="preserve">Corriger AUD-05-006 (erreur code parent non accessible, déjà repérée par un commentaire de code non suivi d'action) et AUD-05-004 (contraste QCM).</w:t>
      </w:r>
    </w:p>
    <w:p>
      <w:pPr>
        <w:pStyle w:val="ListParagraph"/>
        <w:numPr>
          <w:ilvl w:val="0"/>
          <w:numId w:val="1"/>
        </w:numPr>
        <w:spacing w:after="60"/>
      </w:pPr>
      <w:r>
        <w:t xml:space="preserve">Faire échouer réellement la CI sur les warnings ESLint (AUD-01-019), au lieu d'un seuil qui ne peut que monter.</w:t>
      </w:r>
    </w:p>
    <w:p>
      <w:pPr>
        <w:pStyle w:val="ListParagraph"/>
        <w:numPr>
          <w:ilvl w:val="0"/>
          <w:numId w:val="1"/>
        </w:numPr>
        <w:spacing w:after="60"/>
      </w:pPr>
      <w:r>
        <w:t xml:space="preserve">Statuer formellement (ADR) sur le risque IP des figurines de licences tierces, signalé en régression par AUD-01-014.</w:t>
      </w:r>
    </w:p>
    <w:p>
      <w:pPr>
        <w:pStyle w:val="ListParagraph"/>
        <w:numPr>
          <w:ilvl w:val="0"/>
          <w:numId w:val="1"/>
        </w:numPr>
        <w:spacing w:after="60"/>
      </w:pPr>
      <w:r>
        <w:t xml:space="preserve">Documenter en ADR le séquencement retenu entre les 8 audits et fixer une date cible pour AUD-01/03/04 (AUD-09-001).</w:t>
      </w:r>
    </w:p>
    <w:p>
      <w:pPr>
        <w:pStyle w:val="ListParagraph"/>
        <w:numPr>
          <w:ilvl w:val="0"/>
          <w:numId w:val="1"/>
        </w:numPr>
        <w:spacing w:after="60"/>
      </w:pPr>
      <w:r>
        <w:t xml:space="preserve">Mettre à jour CLAUDE.md §5 pour refléter l'état réel des 8 audits sectoriels, pas seulement celui du fonctionnel.</w:t>
      </w:r>
    </w:p>
    <w:p>
      <w:pPr>
        <w:pStyle w:val="ListParagraph"/>
        <w:numPr>
          <w:ilvl w:val="0"/>
          <w:numId w:val="1"/>
        </w:numPr>
        <w:spacing w:after="60"/>
      </w:pPr>
      <w:r>
        <w:t xml:space="preserve">Trancher le nom de package interne vis-à-vis du repositionnement multi-matières (AUD-09-002) : renommer ou documenter l'exception.</w:t>
      </w:r>
    </w:p>
    <w:p>
      <w:pPr>
        <w:pStyle w:val="Heading2"/>
        <w:spacing w:after="120" w:before="250"/>
      </w:pPr>
      <w:r>
        <w:t xml:space="preserve">Phase 2 — Élévation de la qualité (moyen terme)</w:t>
      </w:r>
    </w:p>
    <w:p>
      <w:pPr>
        <w:pStyle w:val="ListParagraph"/>
        <w:numPr>
          <w:ilvl w:val="0"/>
          <w:numId w:val="1"/>
        </w:numPr>
        <w:spacing w:after="60"/>
      </w:pPr>
      <w:r>
        <w:t xml:space="preserve">Traiter le solde de l'audit ergonomique AUD-03 (46 constats restants, dont les 6 ÉLEVÉE/P1 : AUD-03-001/002/024/025/026/031/038).</w:t>
      </w:r>
    </w:p>
    <w:p>
      <w:pPr>
        <w:pStyle w:val="ListParagraph"/>
        <w:numPr>
          <w:ilvl w:val="0"/>
          <w:numId w:val="1"/>
        </w:numPr>
        <w:spacing w:after="60"/>
      </w:pPr>
      <w:r>
        <w:t xml:space="preserve">Traiter le solde de l'audit graphique AUD-04 (14 constats restants : icônes emoji, cases à cocher natives, filtres dupliqués, sélecteur d'avatar).</w:t>
      </w:r>
    </w:p>
    <w:p>
      <w:pPr>
        <w:pStyle w:val="ListParagraph"/>
        <w:numPr>
          <w:ilvl w:val="0"/>
          <w:numId w:val="1"/>
        </w:numPr>
        <w:spacing w:after="60"/>
      </w:pPr>
      <w:r>
        <w:t xml:space="preserve">Traiter le solde de l'audit accessibilité AUD-05 (AUD-05-001/002/003/005/008/009/010).</w:t>
      </w:r>
    </w:p>
    <w:p>
      <w:pPr>
        <w:pStyle w:val="ListParagraph"/>
        <w:numPr>
          <w:ilvl w:val="0"/>
          <w:numId w:val="1"/>
        </w:numPr>
        <w:spacing w:after="60"/>
      </w:pPr>
      <w:r>
        <w:t xml:space="preserve">Ajouter un garde-fou automatisé sur l'usage des tokens CSS (AUD-09-003), en accompagnement du traitement de fond AUD-04-003/004.</w:t>
      </w:r>
    </w:p>
    <w:p>
      <w:pPr>
        <w:pStyle w:val="ListParagraph"/>
        <w:numPr>
          <w:ilvl w:val="0"/>
          <w:numId w:val="1"/>
        </w:numPr>
        <w:spacing w:after="60"/>
      </w:pPr>
      <w:r>
        <w:t xml:space="preserve">Statuer explicitement (ADR) sur l'acceptation ou le traitement de la couverture de test à 0% (AUD-09-004 / AUD-01-020).</w:t>
      </w:r>
    </w:p>
    <w:p>
      <w:pPr>
        <w:pStyle w:val="ListParagraph"/>
        <w:numPr>
          <w:ilvl w:val="0"/>
          <w:numId w:val="1"/>
        </w:numPr>
        <w:spacing w:after="60"/>
      </w:pPr>
      <w:r>
        <w:t xml:space="preserve">Réduire la dette CSP unsafe-inline (AUD-01-005, résidu du correctif n°25).</w:t>
      </w:r>
    </w:p>
    <w:p>
      <w:pPr>
        <w:pStyle w:val="Heading2"/>
        <w:spacing w:after="120" w:before="250"/>
      </w:pPr>
      <w:r>
        <w:t xml:space="preserve">Phase 3 — Excellence/Perfectionnement (long terme)</w:t>
      </w:r>
    </w:p>
    <w:p>
      <w:pPr>
        <w:pStyle w:val="ListParagraph"/>
        <w:numPr>
          <w:ilvl w:val="0"/>
          <w:numId w:val="1"/>
        </w:numPr>
        <w:spacing w:after="60"/>
      </w:pPr>
      <w:r>
        <w:t xml:space="preserve">Construire un jeu d'icônes homogène remplaçant les emoji système (AUD-04-002/005), chantier illustration à effort élevé.</w:t>
      </w:r>
    </w:p>
    <w:p>
      <w:pPr>
        <w:pStyle w:val="ListParagraph"/>
        <w:numPr>
          <w:ilvl w:val="0"/>
          <w:numId w:val="1"/>
        </w:numPr>
        <w:spacing w:after="60"/>
      </w:pPr>
      <w:r>
        <w:t xml:space="preserve">Réduire le couplage global du code (AUD-01-025) au moins pour les nouveaux fichiers, en anticipant la refonte graphique à venir.</w:t>
      </w:r>
    </w:p>
    <w:p>
      <w:pPr>
        <w:pStyle w:val="ListParagraph"/>
        <w:numPr>
          <w:ilvl w:val="0"/>
          <w:numId w:val="1"/>
        </w:numPr>
        <w:spacing w:after="60"/>
      </w:pPr>
      <w:r>
        <w:t xml:space="preserve">Retirer `npm run format` de l'usage par défaut ou le rendre non destructif (AUD-09-008).</w:t>
      </w:r>
    </w:p>
    <w:p>
      <w:pPr>
        <w:pStyle w:val="Heading1"/>
        <w:spacing w:after="150" w:before="300"/>
      </w:pPr>
      <w:r>
        <w:t xml:space="preserve">5. Vérification finale</w:t>
      </w:r>
    </w:p>
    <w:p>
      <w:pPr>
        <w:spacing w:after="100"/>
      </w:pPr>
      <w:r>
        <w:t xml:space="preserve">Question posée : « si une équipe internationale des meilleurs architectes, UX designers, Product Managers et Directeurs Artistiques devait analyser ce logiciel, quelles incohérences pourraient encore être relevées ? » Deuxième passe effectuée sur cette base : le point qui ressortirait le plus fortement d'une telle relecture n'est pas un défaut technique supplémentaire mais l'écart déjà documenté en AUD-09-001 — une équipe senior remarquerait immédiatement qu'un produit qui affiche fièrement (CLAUDE.md §5) la clôture d'un audit fonctionnel de 47 constats n'a caché nulle part que 3 audits entiers, dont deux contenant un défaut de sévérité maximale, restent en jachère. C'est le signal le plus visible de l'ensemble du dépôt pour un regard extérieur, et il confirme la priorité P0 donnée à AUD-09-001 plutôt que de révéler un point nouveau.</w:t>
      </w:r>
    </w:p>
    <w:p>
      <w:pPr>
        <w:pStyle w:val="Heading1"/>
        <w:spacing w:after="150" w:before="300"/>
      </w:pPr>
      <w:r>
        <w:t xml:space="preserve">6. Conclusion</w:t>
      </w:r>
    </w:p>
    <w:p>
      <w:pPr>
        <w:pStyle w:val="Heading2"/>
        <w:spacing w:after="120" w:before="250"/>
      </w:pPr>
      <w:r>
        <w:t xml:space="preserve">Note globale de cohérence : 61/100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5000"/>
      </w:tblGrid>
      <w:tr>
        <w:tc>
          <w:tcPr>
            <w:tcW w:type="dxa" w:w="2400"/>
            <w:shd w:fill="D9E2F3" w:val="clear"/>
          </w:tcPr>
          <w:p>
            <w:r>
              <w:rPr>
                <w:b/>
                <w:bCs/>
              </w:rPr>
              <w:t xml:space="preserve">Axe</w:t>
            </w:r>
          </w:p>
        </w:tc>
        <w:tc>
          <w:tcPr>
            <w:tcW w:type="dxa" w:w="1400"/>
            <w:shd w:fill="D9E2F3" w:val="clear"/>
          </w:tcPr>
          <w:p>
            <w:r>
              <w:rPr>
                <w:b/>
                <w:bCs/>
              </w:rPr>
              <w:t xml:space="preserve">Barème</w:t>
            </w:r>
          </w:p>
        </w:tc>
        <w:tc>
          <w:tcPr>
            <w:tcW w:type="dxa" w:w="1200"/>
            <w:shd w:fill="D9E2F3" w:val="clear"/>
          </w:tcPr>
          <w:p>
            <w:r>
              <w:rPr>
                <w:b/>
                <w:bCs/>
              </w:rPr>
              <w:t xml:space="preserve">Note</w:t>
            </w:r>
          </w:p>
        </w:tc>
        <w:tc>
          <w:tcPr>
            <w:tcW w:type="dxa" w:w="5000"/>
            <w:shd w:fill="D9E2F3" w:val="clear"/>
          </w:tcPr>
          <w:p>
            <w:r>
              <w:rPr>
                <w:b/>
                <w:bCs/>
              </w:rPr>
              <w:t xml:space="preserve">Justification sommaire</w:t>
            </w:r>
          </w:p>
        </w:tc>
      </w:tr>
      <w:tr>
        <w:tc>
          <w:tcPr>
            <w:tcW w:type="dxa" w:w="2400"/>
          </w:tcPr>
          <w:p>
            <w:r>
              <w:rPr>
                <w:b w:val="false"/>
                <w:bCs w:val="false"/>
              </w:rPr>
              <w:t xml:space="preserve">Vision produit</w:t>
            </w:r>
          </w:p>
        </w:tc>
        <w:tc>
          <w:tcPr>
            <w:tcW w:type="dxa" w:w="1400"/>
          </w:tcPr>
          <w:p>
            <w:r>
              <w:rPr>
                <w:b w:val="false"/>
                <w:bCs w:val="false"/>
              </w:rPr>
              <w:t xml:space="preserve">15</w:t>
            </w:r>
          </w:p>
        </w:tc>
        <w:tc>
          <w:tcPr>
            <w:tcW w:type="dxa" w:w="1200"/>
          </w:tcPr>
          <w:p>
            <w:r>
              <w:rPr>
                <w:b w:val="false"/>
                <w:bCs w:val="false"/>
              </w:rPr>
              <w:t xml:space="preserve">12</w:t>
            </w:r>
          </w:p>
        </w:tc>
        <w:tc>
          <w:tcPr>
            <w:tcW w:type="dxa" w:w="5000"/>
          </w:tcPr>
          <w:p>
            <w:r>
              <w:rPr>
                <w:b w:val="false"/>
                <w:bCs w:val="false"/>
              </w:rPr>
              <w:t xml:space="preserve">Positionnement assumé et documenté (ADR-151), mais identité de marque interne non alignée (AUD-09-002).</w:t>
            </w:r>
          </w:p>
        </w:tc>
      </w:tr>
      <w:tr>
        <w:tc>
          <w:tcPr>
            <w:tcW w:type="dxa" w:w="2400"/>
          </w:tcPr>
          <w:p>
            <w:r>
              <w:rPr>
                <w:b w:val="false"/>
                <w:bCs w:val="false"/>
              </w:rPr>
              <w:t xml:space="preserve">Cohérence fonctionnelle</w:t>
            </w:r>
          </w:p>
        </w:tc>
        <w:tc>
          <w:tcPr>
            <w:tcW w:type="dxa" w:w="1400"/>
          </w:tcPr>
          <w:p>
            <w:r>
              <w:rPr>
                <w:b w:val="false"/>
                <w:bCs w:val="false"/>
              </w:rPr>
              <w:t xml:space="preserve">20</w:t>
            </w:r>
          </w:p>
        </w:tc>
        <w:tc>
          <w:tcPr>
            <w:tcW w:type="dxa" w:w="1200"/>
          </w:tcPr>
          <w:p>
            <w:r>
              <w:rPr>
                <w:b w:val="false"/>
                <w:bCs w:val="false"/>
              </w:rPr>
              <w:t xml:space="preserve">17</w:t>
            </w:r>
          </w:p>
        </w:tc>
        <w:tc>
          <w:tcPr>
            <w:tcW w:type="dxa" w:w="5000"/>
          </w:tcPr>
          <w:p>
            <w:r>
              <w:rPr>
                <w:b w:val="false"/>
                <w:bCs w:val="false"/>
              </w:rPr>
              <w:t xml:space="preserve">Audit AUD-02 intégralement traité (47 constats).</w:t>
            </w:r>
          </w:p>
        </w:tc>
      </w:tr>
      <w:tr>
        <w:tc>
          <w:tcPr>
            <w:tcW w:type="dxa" w:w="2400"/>
          </w:tcPr>
          <w:p>
            <w:r>
              <w:rPr>
                <w:b w:val="false"/>
                <w:bCs w:val="false"/>
              </w:rPr>
              <w:t xml:space="preserve">UX / Ergonomie</w:t>
            </w:r>
          </w:p>
        </w:tc>
        <w:tc>
          <w:tcPr>
            <w:tcW w:type="dxa" w:w="1400"/>
          </w:tcPr>
          <w:p>
            <w:r>
              <w:rPr>
                <w:b w:val="false"/>
                <w:bCs w:val="false"/>
              </w:rPr>
              <w:t xml:space="preserve">15</w:t>
            </w:r>
          </w:p>
        </w:tc>
        <w:tc>
          <w:tcPr>
            <w:tcW w:type="dxa" w:w="1200"/>
          </w:tcPr>
          <w:p>
            <w:r>
              <w:rPr>
                <w:b w:val="false"/>
                <w:bCs w:val="false"/>
              </w:rPr>
              <w:t xml:space="preserve">6</w:t>
            </w:r>
          </w:p>
        </w:tc>
        <w:tc>
          <w:tcPr>
            <w:tcW w:type="dxa" w:w="5000"/>
          </w:tcPr>
          <w:p>
            <w:r>
              <w:rPr>
                <w:b w:val="false"/>
                <w:bCs w:val="false"/>
              </w:rPr>
              <w:t xml:space="preserve">Audit AUD-03 jamais engagé, dont un P0 ouvert (AUD-03-012).</w:t>
            </w:r>
          </w:p>
        </w:tc>
      </w:tr>
      <w:tr>
        <w:tc>
          <w:tcPr>
            <w:tcW w:type="dxa" w:w="2400"/>
          </w:tcPr>
          <w:p>
            <w:r>
              <w:rPr>
                <w:b w:val="false"/>
                <w:bCs w:val="false"/>
              </w:rPr>
              <w:t xml:space="preserve">Design / Graphisme</w:t>
            </w:r>
          </w:p>
        </w:tc>
        <w:tc>
          <w:tcPr>
            <w:tcW w:type="dxa" w:w="1400"/>
          </w:tcPr>
          <w:p>
            <w:r>
              <w:rPr>
                <w:b w:val="false"/>
                <w:bCs w:val="false"/>
              </w:rPr>
              <w:t xml:space="preserve">15</w:t>
            </w:r>
          </w:p>
        </w:tc>
        <w:tc>
          <w:tcPr>
            <w:tcW w:type="dxa" w:w="1200"/>
          </w:tcPr>
          <w:p>
            <w:r>
              <w:rPr>
                <w:b w:val="false"/>
                <w:bCs w:val="false"/>
              </w:rPr>
              <w:t xml:space="preserve">6</w:t>
            </w:r>
          </w:p>
        </w:tc>
        <w:tc>
          <w:tcPr>
            <w:tcW w:type="dxa" w:w="5000"/>
          </w:tcPr>
          <w:p>
            <w:r>
              <w:rPr>
                <w:b w:val="false"/>
                <w:bCs w:val="false"/>
              </w:rPr>
              <w:t xml:space="preserve">Audit AUD-04 jamais engagé, dont un P1 ouvert (AUD-04-001) ; drift de tokens mesuré (84/232).</w:t>
            </w:r>
          </w:p>
        </w:tc>
      </w:tr>
      <w:tr>
        <w:tc>
          <w:tcPr>
            <w:tcW w:type="dxa" w:w="2400"/>
          </w:tcPr>
          <w:p>
            <w:r>
              <w:rPr>
                <w:b w:val="false"/>
                <w:bCs w:val="false"/>
              </w:rPr>
              <w:t xml:space="preserve">Architecture</w:t>
            </w:r>
          </w:p>
        </w:tc>
        <w:tc>
          <w:tcPr>
            <w:tcW w:type="dxa" w:w="1400"/>
          </w:tcPr>
          <w:p>
            <w:r>
              <w:rPr>
                <w:b w:val="false"/>
                <w:bCs w:val="false"/>
              </w:rPr>
              <w:t xml:space="preserve">10</w:t>
            </w:r>
          </w:p>
        </w:tc>
        <w:tc>
          <w:tcPr>
            <w:tcW w:type="dxa" w:w="1200"/>
          </w:tcPr>
          <w:p>
            <w:r>
              <w:rPr>
                <w:b w:val="false"/>
                <w:bCs w:val="false"/>
              </w:rPr>
              <w:t xml:space="preserve">7</w:t>
            </w:r>
          </w:p>
        </w:tc>
        <w:tc>
          <w:tcPr>
            <w:tcW w:type="dxa" w:w="5000"/>
          </w:tcPr>
          <w:p>
            <w:r>
              <w:rPr>
                <w:b w:val="false"/>
                <w:bCs w:val="false"/>
              </w:rPr>
              <w:t xml:space="preserve">Choix vanilla assumé et cohérent, mais couplage global persistant (AUD-01-025).</w:t>
            </w:r>
          </w:p>
        </w:tc>
      </w:tr>
      <w:tr>
        <w:tc>
          <w:tcPr>
            <w:tcW w:type="dxa" w:w="2400"/>
          </w:tcPr>
          <w:p>
            <w:r>
              <w:rPr>
                <w:b w:val="false"/>
                <w:bCs w:val="false"/>
              </w:rPr>
              <w:t xml:space="preserve">Évolutivité</w:t>
            </w:r>
          </w:p>
        </w:tc>
        <w:tc>
          <w:tcPr>
            <w:tcW w:type="dxa" w:w="1400"/>
          </w:tcPr>
          <w:p>
            <w:r>
              <w:rPr>
                <w:b w:val="false"/>
                <w:bCs w:val="false"/>
              </w:rPr>
              <w:t xml:space="preserve">10</w:t>
            </w:r>
          </w:p>
        </w:tc>
        <w:tc>
          <w:tcPr>
            <w:tcW w:type="dxa" w:w="1200"/>
          </w:tcPr>
          <w:p>
            <w:r>
              <w:rPr>
                <w:b w:val="false"/>
                <w:bCs w:val="false"/>
              </w:rPr>
              <w:t xml:space="preserve">6</w:t>
            </w:r>
          </w:p>
        </w:tc>
        <w:tc>
          <w:tcPr>
            <w:tcW w:type="dxa" w:w="5000"/>
          </w:tcPr>
          <w:p>
            <w:r>
              <w:rPr>
                <w:b w:val="false"/>
                <w:bCs w:val="false"/>
              </w:rPr>
              <w:t xml:space="preserve">Bonne base perf/scalabilité (AUD-07 clos), mais dette non traitée sur 3 audits qui alourdira les refontes futures.</w:t>
            </w:r>
          </w:p>
        </w:tc>
      </w:tr>
      <w:tr>
        <w:tc>
          <w:tcPr>
            <w:tcW w:type="dxa" w:w="2400"/>
          </w:tcPr>
          <w:p>
            <w:r>
              <w:rPr>
                <w:b w:val="false"/>
                <w:bCs w:val="false"/>
              </w:rPr>
              <w:t xml:space="preserve">Stratégie</w:t>
            </w:r>
          </w:p>
        </w:tc>
        <w:tc>
          <w:tcPr>
            <w:tcW w:type="dxa" w:w="1400"/>
          </w:tcPr>
          <w:p>
            <w:r>
              <w:rPr>
                <w:b w:val="false"/>
                <w:bCs w:val="false"/>
              </w:rPr>
              <w:t xml:space="preserve">10</w:t>
            </w:r>
          </w:p>
        </w:tc>
        <w:tc>
          <w:tcPr>
            <w:tcW w:type="dxa" w:w="1200"/>
          </w:tcPr>
          <w:p>
            <w:r>
              <w:rPr>
                <w:b w:val="false"/>
                <w:bCs w:val="false"/>
              </w:rPr>
              <w:t xml:space="preserve">5</w:t>
            </w:r>
          </w:p>
        </w:tc>
        <w:tc>
          <w:tcPr>
            <w:tcW w:type="dxa" w:w="5000"/>
          </w:tcPr>
          <w:p>
            <w:r>
              <w:rPr>
                <w:b w:val="false"/>
                <w:bCs w:val="false"/>
              </w:rPr>
              <w:t xml:space="preserve">Aucun arbitrage documenté justifiant la priorisation inégale des audits (AUD-09-001).</w:t>
            </w:r>
          </w:p>
        </w:tc>
      </w:tr>
      <w:tr>
        <w:tc>
          <w:tcPr>
            <w:tcW w:type="dxa" w:w="2400"/>
          </w:tcPr>
          <w:p>
            <w:r>
              <w:rPr>
                <w:b w:val="false"/>
                <w:bCs w:val="false"/>
              </w:rPr>
              <w:t xml:space="preserve">Homogénéité</w:t>
            </w:r>
          </w:p>
        </w:tc>
        <w:tc>
          <w:tcPr>
            <w:tcW w:type="dxa" w:w="1400"/>
          </w:tcPr>
          <w:p>
            <w:r>
              <w:rPr>
                <w:b w:val="false"/>
                <w:bCs w:val="false"/>
              </w:rPr>
              <w:t xml:space="preserve">5</w:t>
            </w:r>
          </w:p>
        </w:tc>
        <w:tc>
          <w:tcPr>
            <w:tcW w:type="dxa" w:w="1200"/>
          </w:tcPr>
          <w:p>
            <w:r>
              <w:rPr>
                <w:b w:val="false"/>
                <w:bCs w:val="false"/>
              </w:rPr>
              <w:t xml:space="preserve">2</w:t>
            </w:r>
          </w:p>
        </w:tc>
        <w:tc>
          <w:tcPr>
            <w:tcW w:type="dxa" w:w="5000"/>
          </w:tcPr>
          <w:p>
            <w:r>
              <w:rPr>
                <w:b w:val="false"/>
                <w:bCs w:val="false"/>
              </w:rPr>
              <w:t xml:space="preserve">Gradient de qualité perçue marqué entre écrans (AUD-09-006).</w:t>
            </w:r>
          </w:p>
        </w:tc>
      </w:tr>
    </w:tbl>
    <w:p>
      <w:pPr>
        <w:pStyle w:val="Heading2"/>
        <w:spacing w:after="120" w:before="250"/>
      </w:pPr>
      <w:r>
        <w:t xml:space="preserve">10 plus grandes forces structurelles</w:t>
      </w:r>
    </w:p>
    <w:p>
      <w:pPr>
        <w:pStyle w:val="ListParagraph"/>
        <w:numPr>
          <w:ilvl w:val="0"/>
          <w:numId w:val="1"/>
        </w:numPr>
        <w:spacing w:after="60"/>
      </w:pPr>
      <w:r>
        <w:t xml:space="preserve">Architecture vanilla assumée et documentée (ADR-20) : aucune dépendance runtime, portabilité maximale.</w:t>
      </w:r>
    </w:p>
    <w:p>
      <w:pPr>
        <w:pStyle w:val="ListParagraph"/>
        <w:numPr>
          <w:ilvl w:val="0"/>
          <w:numId w:val="1"/>
        </w:numPr>
        <w:spacing w:after="60"/>
      </w:pPr>
      <w:r>
        <w:t xml:space="preserve">Suite de tests exécutée sur le vrai code source dans un sandbox vm, pas sur des mocks du jeu (743 tests verts).</w:t>
      </w:r>
    </w:p>
    <w:p>
      <w:pPr>
        <w:pStyle w:val="ListParagraph"/>
        <w:numPr>
          <w:ilvl w:val="0"/>
          <w:numId w:val="1"/>
        </w:numPr>
        <w:spacing w:after="60"/>
      </w:pPr>
      <w:r>
        <w:t xml:space="preserve">Journal ADR.md append-only, rigoureux, avec contexte/décision/conséquence systématiques sur 163 entrées.</w:t>
      </w:r>
    </w:p>
    <w:p>
      <w:pPr>
        <w:pStyle w:val="ListParagraph"/>
        <w:numPr>
          <w:ilvl w:val="0"/>
          <w:numId w:val="1"/>
        </w:numPr>
        <w:spacing w:after="60"/>
      </w:pPr>
      <w:r>
        <w:t xml:space="preserve">Audit sécurité intégralement traité et vérifié (XSS, RGPD, verrou PIN, re-verrouillage automatique).</w:t>
      </w:r>
    </w:p>
    <w:p>
      <w:pPr>
        <w:pStyle w:val="ListParagraph"/>
        <w:numPr>
          <w:ilvl w:val="0"/>
          <w:numId w:val="1"/>
        </w:numPr>
        <w:spacing w:after="60"/>
      </w:pPr>
      <w:r>
        <w:t xml:space="preserve">Audit fonctionnel intégralement traité (47 constats, logique métier, contrôle parental, économie de figurines).</w:t>
      </w:r>
    </w:p>
    <w:p>
      <w:pPr>
        <w:pStyle w:val="ListParagraph"/>
        <w:numPr>
          <w:ilvl w:val="0"/>
          <w:numId w:val="1"/>
        </w:numPr>
        <w:spacing w:after="60"/>
      </w:pPr>
      <w:r>
        <w:t xml:space="preserve">Audit performances/scalabilité intégralement traité, avec un outil de mesure réel désormais en place (Web Vitals natifs).</w:t>
      </w:r>
    </w:p>
    <w:p>
      <w:pPr>
        <w:pStyle w:val="ListParagraph"/>
        <w:numPr>
          <w:ilvl w:val="0"/>
          <w:numId w:val="1"/>
        </w:numPr>
        <w:spacing w:after="60"/>
      </w:pPr>
      <w:r>
        <w:t xml:space="preserve">Positionnement produit multi-matières assumé explicitement plutôt que subi (ADR-151).</w:t>
      </w:r>
    </w:p>
    <w:p>
      <w:pPr>
        <w:pStyle w:val="ListParagraph"/>
        <w:numPr>
          <w:ilvl w:val="0"/>
          <w:numId w:val="1"/>
        </w:numPr>
        <w:spacing w:after="60"/>
      </w:pPr>
      <w:r>
        <w:t xml:space="preserve">Contrôle parental fonctionnellement complet (PIN, blocage horaire, filtres de contenu, messagerie surveillée).</w:t>
      </w:r>
    </w:p>
    <w:p>
      <w:pPr>
        <w:pStyle w:val="ListParagraph"/>
        <w:numPr>
          <w:ilvl w:val="0"/>
          <w:numId w:val="1"/>
        </w:numPr>
        <w:spacing w:after="60"/>
      </w:pPr>
      <w:r>
        <w:t xml:space="preserve">PWA hors-ligne fonctionnelle avec stratégie de cache versionnée et notification de mise à jour.</w:t>
      </w:r>
    </w:p>
    <w:p>
      <w:pPr>
        <w:pStyle w:val="ListParagraph"/>
        <w:numPr>
          <w:ilvl w:val="0"/>
          <w:numId w:val="1"/>
        </w:numPr>
        <w:spacing w:after="60"/>
      </w:pPr>
      <w:r>
        <w:t xml:space="preserve">Discipline de versionnement systématique (bump conjoint package.json/CACHE_VERSION à chaque livraison fonctionnelle).</w:t>
      </w:r>
    </w:p>
    <w:p>
      <w:pPr>
        <w:pStyle w:val="Heading2"/>
        <w:spacing w:after="120" w:before="250"/>
      </w:pPr>
      <w:r>
        <w:t xml:space="preserve">10 incohérences les plus importantes (dédoublonnées)</w:t>
      </w:r>
    </w:p>
    <w:p>
      <w:pPr>
        <w:spacing w:after="100"/>
      </w:pPr>
      <w:r>
        <w:rPr>
          <w:i/>
          <w:iCs/>
        </w:rPr>
        <w:t xml:space="preserve">Dédoublonnage effectué : les items d'accessibilité liés au parcours PIN (AUD-05-004/006) ont été fusionnés sous l'angle du même parcours critique (AUD-09-007) plutôt que comptés séparément ; les items graphiques d'identité de base (AUD-04-001/005) ont été regroupés sous l'angle du gradient de qualité perçue (AUD-09-006) en plus de leur citation individuelle ci-dessous.</w:t>
      </w:r>
    </w:p>
    <w:p>
      <w:pPr>
        <w:pStyle w:val="ListParagraph"/>
        <w:numPr>
          <w:ilvl w:val="0"/>
          <w:numId w:val="1"/>
        </w:numPr>
        <w:spacing w:after="60"/>
      </w:pPr>
      <w:r>
        <w:t xml:space="preserve">AUD-09-001 — Priorisation de remédiation radicalement inégale entre les 8 audits sectoriels (méta-constat central).</w:t>
      </w:r>
    </w:p>
    <w:p>
      <w:pPr>
        <w:pStyle w:val="ListParagraph"/>
        <w:numPr>
          <w:ilvl w:val="0"/>
          <w:numId w:val="1"/>
        </w:numPr>
        <w:spacing w:after="60"/>
      </w:pPr>
      <w:r>
        <w:t xml:space="preserve">AUD-03-012 — Fenêtre de choix d'objectif du jour sans aucune issue sur tactile (CRITIQUE/P0, jamais traité).</w:t>
      </w:r>
    </w:p>
    <w:p>
      <w:pPr>
        <w:pStyle w:val="ListParagraph"/>
        <w:numPr>
          <w:ilvl w:val="0"/>
          <w:numId w:val="1"/>
        </w:numPr>
        <w:spacing w:after="60"/>
      </w:pPr>
      <w:r>
        <w:t xml:space="preserve">AUD-04-001 — Trois langages visuels concurrents coexistant sans transition ni hiérarchie (CRITIQUE/P1, jamais traité).</w:t>
      </w:r>
    </w:p>
    <w:p>
      <w:pPr>
        <w:pStyle w:val="ListParagraph"/>
        <w:numPr>
          <w:ilvl w:val="0"/>
          <w:numId w:val="1"/>
        </w:numPr>
        <w:spacing w:after="60"/>
      </w:pPr>
      <w:r>
        <w:t xml:space="preserve">AUD-09-002 — Identité de marque interne (package) en contradiction avec le repositionnement multi-matières acté.</w:t>
      </w:r>
    </w:p>
    <w:p>
      <w:pPr>
        <w:pStyle w:val="ListParagraph"/>
        <w:numPr>
          <w:ilvl w:val="0"/>
          <w:numId w:val="1"/>
        </w:numPr>
        <w:spacing w:after="60"/>
      </w:pPr>
      <w:r>
        <w:t xml:space="preserve">AUD-09-007 — Parcours code parent durci côté sécurité mais toujours fragile côté accessibilité (AUD-05-004/006).</w:t>
      </w:r>
    </w:p>
    <w:p>
      <w:pPr>
        <w:pStyle w:val="ListParagraph"/>
        <w:numPr>
          <w:ilvl w:val="0"/>
          <w:numId w:val="1"/>
        </w:numPr>
        <w:spacing w:after="60"/>
      </w:pPr>
      <w:r>
        <w:t xml:space="preserve">AUD-09-003 — Drift mesurable et non contrôlé des tokens du design system (84/232 valeurs hors token).</w:t>
      </w:r>
    </w:p>
    <w:p>
      <w:pPr>
        <w:pStyle w:val="ListParagraph"/>
        <w:numPr>
          <w:ilvl w:val="0"/>
          <w:numId w:val="1"/>
        </w:numPr>
        <w:spacing w:after="60"/>
      </w:pPr>
      <w:r>
        <w:t xml:space="preserve">AUD-09-004 — Lint sans échec réel en CI et couverture de test à 0% sans signal de substitution.</w:t>
      </w:r>
    </w:p>
    <w:p>
      <w:pPr>
        <w:pStyle w:val="ListParagraph"/>
        <w:numPr>
          <w:ilvl w:val="0"/>
          <w:numId w:val="1"/>
        </w:numPr>
        <w:spacing w:after="60"/>
      </w:pPr>
      <w:r>
        <w:t xml:space="preserve">AUD-04-005 — Monstres de combat représentés par un emoji sans rapport avec leur identité (ÉLEVÉE, jamais traité).</w:t>
      </w:r>
    </w:p>
    <w:p>
      <w:pPr>
        <w:pStyle w:val="ListParagraph"/>
        <w:numPr>
          <w:ilvl w:val="0"/>
          <w:numId w:val="1"/>
        </w:numPr>
        <w:spacing w:after="60"/>
      </w:pPr>
      <w:r>
        <w:t xml:space="preserve">AUD-01-014 — Risque juridique lié aux figurines de licences tierces, en régression (461 → 482 figurines).</w:t>
      </w:r>
    </w:p>
    <w:p>
      <w:pPr>
        <w:pStyle w:val="ListParagraph"/>
        <w:numPr>
          <w:ilvl w:val="0"/>
          <w:numId w:val="1"/>
        </w:numPr>
        <w:spacing w:after="60"/>
      </w:pPr>
      <w:r>
        <w:t xml:space="preserve">AUD-09-005 — Correctif d'accessibilité documenté par un commentaire citant l'audit source mais jamais appliqué.</w:t>
      </w:r>
    </w:p>
    <w:p>
      <w:pPr>
        <w:pStyle w:val="Heading2"/>
        <w:spacing w:after="120" w:before="250"/>
      </w:pPr>
      <w:r>
        <w:t xml:space="preserve">Maturité globale</w:t>
      </w:r>
    </w:p>
    <w:p>
      <w:pPr>
        <w:spacing w:after="100"/>
      </w:pPr>
      <w:r>
        <w:t xml:space="preserve">Le logiciel présente une maturité hétérogène par sous-système : niveau 5 (Production robuste/Excellent) pour la sécurité et les performances, niveau 4 (Production/Professionnel) pour le fonctionnel, mais niveau 2-3 (Alpha à Bêta) pour l'ergonomie et le graphisme, faute de traitement des audits correspondants et en présence d'un défaut P0 non résolu.</w:t>
      </w:r>
    </w:p>
    <w:p>
      <w:pPr>
        <w:spacing w:after="100"/>
      </w:pPr>
      <w:r>
        <w:rPr>
          <w:b w:val="false"/>
          <w:bCs w:val="false"/>
        </w:rPr>
        <w:t xml:space="preserve">Évaluation globale retenue : Bêta (niveau 3/6 sur l'échelle commune). Justification : un logiciel ne peut pas être qualifié de « Production » de façon homogène tant qu'un défaut de sévérité CRITIQUE identifié et documenté (AUD-03-012) reste ouvert sans date de traitement, quelle que soit la solidité des sous-systèmes déjà traités. La trajectoire est cependant nettement positive (4 audits sur 8 intégralement clos, avec preuve vérifiée) et rien n'indique une régression structurelle — le principal frein à un niveau 4 homogène est un choix de priorisation (AUD-09-001), pas une difficulté technique.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2026-09-26T13:30:17.011Z</dcterms:created>
  <dcterms:modified xsi:type="dcterms:W3CDTF">2026-09-26T13:30:17.012Z</dcterms:modified>
</cp:coreProperties>
</file>

<file path=docProps/custom.xml><?xml version="1.0" encoding="utf-8"?>
<Properties xmlns="http://schemas.openxmlformats.org/officeDocument/2006/custom-properties" xmlns:vt="http://schemas.openxmlformats.org/officeDocument/2006/docPropsVTypes"/>
</file>