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 Enlaza los siguientes elementos característicos de distintos tipos de redes:</w:t>
        <w:br w:type="textWrapping"/>
      </w:r>
    </w:p>
    <w:tbl>
      <w:tblPr>
        <w:tblStyle w:val="Table1"/>
        <w:bidi w:val="0"/>
        <w:tblW w:w="831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590"/>
        <w:gridCol w:w="2535"/>
        <w:tblGridChange w:id="0">
          <w:tblGrid>
            <w:gridCol w:w="1185"/>
            <w:gridCol w:w="4590"/>
            <w:gridCol w:w="25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00"/>
                <w:sz w:val="24"/>
                <w:szCs w:val="24"/>
                <w:rtl w:val="0"/>
              </w:rPr>
              <w:t xml:space="preserve">a) 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1) Entorno mundial</w:t>
            </w: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rtl w:val="0"/>
              </w:rPr>
              <w:t xml:space="preserve">Entorno público 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b) WAN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980000"/>
                <w:sz w:val="24"/>
                <w:szCs w:val="24"/>
                <w:rtl w:val="0"/>
              </w:rPr>
              <w:t xml:space="preserve"> Red doméstica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Difusión de TV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rtl w:val="0"/>
              </w:rPr>
              <w:t xml:space="preserve">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rtl w:val="0"/>
              </w:rPr>
              <w:t xml:space="preserve">Entorno de una ciudad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00"/>
                <w:sz w:val="24"/>
                <w:szCs w:val="24"/>
                <w:rtl w:val="0"/>
              </w:rPr>
              <w:t xml:space="preserve">iii) Entorno privado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d)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980000"/>
                <w:sz w:val="24"/>
                <w:szCs w:val="24"/>
                <w:rtl w:val="0"/>
              </w:rPr>
              <w:t xml:space="preserve">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980000"/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ff00"/>
                <w:sz w:val="24"/>
                <w:szCs w:val="24"/>
                <w:rtl w:val="0"/>
              </w:rPr>
              <w:t xml:space="preserve">Entorno de un edificio u oficina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iv)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980000"/>
                <w:sz w:val="24"/>
                <w:szCs w:val="24"/>
                <w:rtl w:val="0"/>
              </w:rPr>
              <w:t xml:space="preserve">Bluetooth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topología de una red en estrella requiere: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Un nodo central.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anillo central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bus de comunicaciones común a todas las estaciones.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nodo central y un bus común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Averigua si son verdaderas o falsas las siguientes afirmaciones: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anillo es más rápida que una red en bus. Falsa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en más rápida que una red en anillo. Verdadero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rotura del anillo de una red impide totalmente la comunicación en toda la red. Verdadera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rotura de un segmento de red en una red en estrella impide la comunicación en toda la red. Falso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es muy sensible a la congestión provocada por exceso de tráfico.Falsa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se adapta mejor a la estructura de cableado de un edificio.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anillo se adapta mejor a la estructura de un campus.Verdadera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Tot las redes metropolitanas son anillos. Verdadera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Enlaza los siguientes elementos característicos de distintos tipos de redes:</w:t>
        <w:br w:type="textWrapping"/>
      </w:r>
    </w:p>
    <w:tbl>
      <w:tblPr>
        <w:tblStyle w:val="Table2"/>
        <w:bidi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a)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00"/>
                <w:sz w:val="24"/>
                <w:szCs w:val="24"/>
                <w:rtl w:val="0"/>
              </w:rPr>
              <w:t xml:space="preserve">WLAN</w:t>
            </w: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ff"/>
                <w:sz w:val="24"/>
                <w:szCs w:val="24"/>
                <w:rtl w:val="0"/>
              </w:rPr>
              <w:t xml:space="preserve">Servicios distribuidos y deslocalizados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Acceso universal</w:t>
            </w: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ff"/>
                <w:sz w:val="24"/>
                <w:szCs w:val="24"/>
                <w:rtl w:val="0"/>
              </w:rPr>
              <w:t xml:space="preserve">Nube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00"/>
                <w:sz w:val="24"/>
                <w:szCs w:val="24"/>
                <w:rtl w:val="0"/>
              </w:rPr>
              <w:t xml:space="preserve"> LAN inalámbrica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ff"/>
                <w:sz w:val="24"/>
                <w:szCs w:val="24"/>
                <w:rtl w:val="0"/>
              </w:rPr>
              <w:t xml:space="preserve">Cloud computing</w:t>
            </w: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a86e8"/>
                <w:sz w:val="24"/>
                <w:szCs w:val="24"/>
                <w:rtl w:val="0"/>
              </w:rPr>
              <w:t xml:space="preserve">WAN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iii)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ff00"/>
                <w:sz w:val="24"/>
                <w:szCs w:val="24"/>
                <w:rtl w:val="0"/>
              </w:rPr>
              <w:t xml:space="preserve">Wi-Fi 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Clasifica las redes que intervienen en las circunstancias que se citan a continuación según sean PAN, WAN, LAN, MAN, WLAN o cloud computing. Razona la respuesta.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conexión por módem a Internet.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WLAN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televisor recibe una transmisión televisiva por cable.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receptor de radio recibe por su antena la radio-difusión de un programa musical.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WAN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ordenador se conecta a una red para imprimir por una impresora de red. 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agenda electrónica sincroniza el correo electrónico utilizando Bluetooth.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PAN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Varios usuarios comparten una conexión a Internet sin necesidad de cables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Dos campus universitarios en la misma ciudad, pero distantes, se conectan mediante Libra optics. 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aplicación accede a sus datos en Internet desde cualquier lugar.</w:t>
      </w:r>
      <w:r w:rsidDel="00000000" w:rsidR="00000000" w:rsidRPr="00000000">
        <w:rPr>
          <w:rFonts w:ascii="Titillium Web" w:cs="Titillium Web" w:eastAsia="Titillium Web" w:hAnsi="Titillium Web"/>
          <w:color w:val="00ffff"/>
          <w:sz w:val="24"/>
          <w:szCs w:val="24"/>
          <w:rtl w:val="0"/>
        </w:rPr>
        <w:t xml:space="preserve">Cloud computing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Cuáles de las siguientes afirmaciones son verdaderas?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Los nodos de la red se conectan siempre mediante cables.Verdadero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Los nodos requieren de una interfaz de red para conectarse a la misma.Verdadero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estación se puede conectar inalámbricamente, pero un nodo no.Falso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nodo puede tener más de una tarjeta de red.Verdadero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transmisión puede ser simplex o unidireccional siempre y cuando se puedan transmitir la información en ambos sentidos.Falso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A continuación se va a especificar un conjunto de palabras, siglas y acrónimos. Se trata de que relaciones cada uno de ellos con los distintos tipos de redes. Razona la respuesta.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Wi-Fi. WLAN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Ethernet.LAN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Frame-Relay.MAN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X.25. 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Token Ring.CAN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Ondas de radio.WAN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WiMAX. MAN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Bluetooth.PAN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Las redes entre iguales: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Necesitan un servidor central.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color w:val="ffff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ff00"/>
          <w:sz w:val="24"/>
          <w:szCs w:val="24"/>
          <w:rtl w:val="0"/>
        </w:rPr>
        <w:t xml:space="preserve">Posibilitan los accesos cruzados entre todos los nodos de la red.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Requieren ordenadores con el mismo sistema operativo.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Solo se pueden utilizar en Internet.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spacing w:after="360" w:before="360" w:line="288" w:lineRule="auto"/>
        <w:contextualSpacing w:val="0"/>
        <w:jc w:val="center"/>
      </w:pPr>
      <w:bookmarkStart w:colFirst="0" w:colLast="0" w:name="_s0opfp3x8wfq" w:id="0"/>
      <w:bookmarkEnd w:id="0"/>
      <w:r w:rsidDel="00000000" w:rsidR="00000000" w:rsidRPr="00000000">
        <w:rPr>
          <w:rFonts w:ascii="Lobster" w:cs="Lobster" w:eastAsia="Lobster" w:hAnsi="Lobster"/>
          <w:b w:val="1"/>
          <w:color w:val="351c75"/>
          <w:sz w:val="48"/>
          <w:szCs w:val="48"/>
          <w:rtl w:val="0"/>
        </w:rPr>
        <w:t xml:space="preserve">4 Ejercicios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Conversión Binario a Decimal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Recuerda los pesos 128 64 32 16 8 4 2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10010010 = 146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01110111 = 119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11111111 = 255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11000101 = 197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11110110 = 246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00010011 = 19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10000001 = 129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00110001 = 49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01111000 = 120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11110000 = 240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00000111 = 7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00011011 = 17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10101010 = 170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11000000 = 192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Identificación de la Clase de Red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Dirección Clase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10.250.1.1 = 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150.10.15.0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192.14.2.0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148.17.9.1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193.42.1.1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126.8.156.0 = 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220.200.23.1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230.230.45.58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177.100.18.4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119.18.45.0 = 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249.240.80.78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199.155.77.56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117.89.56.45 = 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215.45.45.0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219.21.56.0 = 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Identificación de Red y Host. Pon en negrita y subrayado la parte de red de cada dirección: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177.100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.18.4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119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.18.45.0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209.240.80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.78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199.155.77.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117.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89.56.45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215.45.45.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192.200.15.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95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.0.21.90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33.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158.98.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217.21.56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10.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250.1.1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150.10.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192.14.2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148.17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.9.1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193.42.1.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126.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8.156.0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220.200.23.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Escriba la máscara de subred correspondiente a cada una de estas direcciones: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177.100.18.4 = 255.255.0.0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119.18.45.0 = 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191.249.234.191 =255.255.0.0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223.23.223.109 =255.255.255.0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10.10.250.1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126.123.23.1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223.69.230.250 =255.255.255.0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192.12.35.105 =255.255.255.0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77.251.200.51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189.210.50.1 =255.255.0.0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88.45.65.35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128.212.250.254 =255.255.0.0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193.100.77.83 =255.255.255.0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125.125.250.1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1.1.10.50 =255.0.0.0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220.90.130.45 =255.255.255.0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134.125.34.9 =255.255.0.0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95.250.91.99 =255.0.0.0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Máscaras de Subred Adaptadas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14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192.10.10.0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255.255.255/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Otro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60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165.100.0.0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255.255.0.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Problema 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148.75.0.0/26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Problema 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30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210.100.56.0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Titillium Web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TitilliumWeb-regular.ttf"/><Relationship Id="rId3" Type="http://schemas.openxmlformats.org/officeDocument/2006/relationships/font" Target="fonts/TitilliumWeb-bold.ttf"/><Relationship Id="rId4" Type="http://schemas.openxmlformats.org/officeDocument/2006/relationships/font" Target="fonts/TitilliumWeb-italic.ttf"/><Relationship Id="rId5" Type="http://schemas.openxmlformats.org/officeDocument/2006/relationships/font" Target="fonts/TitilliumWeb-boldItalic.ttf"/></Relationships>
</file>