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lizar la siguiente transformación XSLT a un XML de coches de la marca opel para convertirlo a una página web responsiva con el siguiente diseñ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mo observamos, en nuestra web aparecen todos los modelos Opel que residen en el XM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ada modelo dispone o no de acabados. En caso de no disponer informamos mediante mensaje en rojo: Modelo único, sin acabados…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os acabados del modelo, residen en un acordeón para expandir y contraer las características del mismo de la siguiente manera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or supuesto que se contraen y expanden de uno en uno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riterios de calificació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der y footer → 1 punto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rd de los modelo con nombre e imagen → 2 punto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 de si tiene o no acabados → 1 punto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ordeón con los acabados del modelo → 2 punto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sta de características de cada modelo → 2 punto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ionamiento correcto del acordeón → 2 punto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