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56"/>
          <w:szCs w:val="56"/>
        </w:rPr>
        <w:t xml:space="preserve">ULPIANO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32"/>
          <w:szCs w:val="32"/>
        </w:rPr>
        <w:t xml:space="preserve">Pricing Strategy — Briefing financiero</w:t>
      </w:r>
    </w:p>
    <w:p>
      <w:pPr>
        <w:pBdr>
          <w:bottom w:val="single" w:color="2D6A4F" w:sz="12" w:space="4"/>
        </w:pBdr>
        <w:spacing w:after="4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4"/>
          <w:szCs w:val="24"/>
        </w:rPr>
        <w:t xml:space="preserve">Documento puente entre estrategia comercial y plan financiero</w:t>
      </w:r>
    </w:p>
    <w:p>
      <w:pPr>
        <w:spacing w:after="16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Para construcción del modelo P&amp;L, unit economics y forecast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Destinatario: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CFO de Ulpiano.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Versión: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v1.0 — abril 2026.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Autor: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Miquel Fàbrega, fundador.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Documentos hermanos: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Ulpiano_Pricing_Packaging_v1.docx (estrategia completa) y Ulpiano_BackOffice_Tarifas_v1.pdf (tarifas mixtas).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Estado: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decisiones de pricing cerradas; asunciones de unit economics y costes pendientes de validar.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1. Resumen ejecutivo y cómo leer este documento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Este briefing traduce la estrategia comercial de Ulpiano en variables que un CFO puede modelar. No sustituye al doc maestro de pricing (Ulpiano_Pricing_Packaging_v1.docx), lo complementa: aquel cuenta el "qué" y el "por qué"; este cuenta el "con qué cifras".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Qué encontrarás en este doc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Las tres líneas de revenue de Ulpiano y cómo se monetiza cada una.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ARPU efectivo por tier, con efecto del descuento anual y por mix.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Mecánica del revenue variable post-cuota (modelos AEAT y bienes declarados).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Economía del servicio Ulpiano Back-Office: pricing two-tier, comisión sobre caudal hereditario, margen objetivo.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Estructura de costes (COGS y OPEX) con rangos defendibles.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Unit economics preliminares — CAC, LTV, churn, payback. Marcados explícitamente como asunciones a validar.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Proyección 12 meses en tres escenarios (replicada del doc maestro).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Variables críticas que el plan financiero debe parametrizar.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Riesgos financieros del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Decisiones concretas que necesitamos del CFO para cerrar el plan.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Qué NO encontrarás (deliberado)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Modelo financiero completo. El CFO debe construirlo con sus propios criterios; este briefing es input, no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Asunciones de CAC, churn y mix dadas como verdades. Son hipótesis informadas con rangos; el CFO las valida o ajusta.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Proyecciones a 3-5 años. Hasta tener cohorte real de 6 meses, alargar más allá de 12 meses es ciencia ficción defendible.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5"/>
      </w:tblGrid>
      <w:tr>
        <w:tc>
          <w:tcPr>
            <w:tcW w:type="dxa" w:w="9745"/>
            <w:tcBorders>
              <w:top w:val="single" w:color="CBD5E1" w:sz="4"/>
              <w:left w:val="single" w:color="2D6A4F" w:sz="24"/>
              <w:bottom w:val="single" w:color="CBD5E1" w:sz="4"/>
              <w:right w:val="single" w:color="CBD5E1" w:sz="4"/>
            </w:tcBorders>
            <w:shd w:fill="D8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Lectura recomendada en 30 minutos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Sec. 2-4 (modelo revenue y ARPU) y sec. 9 (variables críticas a modelar). El resto es referencia. Si solo tienes 10 minutos, salta directamente a sec. 9.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2. Las tres líneas de revenue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Ulpiano monetiza con tres flujos combinables. Conviene tenerlos separados en el modelo financiero porque cada uno tiene su propia gross margin, cadencia y comportamiento de retención.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300"/>
        <w:gridCol w:w="2245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Línea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Naturaleza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Cadencia</w:t>
            </w:r>
          </w:p>
        </w:tc>
        <w:tc>
          <w:tcPr>
            <w:tcW w:type="dxa" w:w="2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Gross margin objetivo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1. SaaS Suscripción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Flat mensual o anual por tier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Recurrente — predecible</w:t>
            </w:r>
          </w:p>
        </w:tc>
        <w:tc>
          <w:tcPr>
            <w:tcW w:type="dxa" w:w="2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85-92%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2. Plataforma transaccional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Variable post-cuota (modelos AEAT + bienes)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Recurrente — variable mes a mes</w:t>
            </w:r>
          </w:p>
        </w:tc>
        <w:tc>
          <w:tcPr>
            <w:tcW w:type="dxa" w:w="2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88-95%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3. Ulpiano Back-Office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Mayorista por paquete + comisión sobre caudal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Transaccional por expediente</w:t>
            </w:r>
          </w:p>
        </w:tc>
        <w:tc>
          <w:tcPr>
            <w:tcW w:type="dxa" w:w="2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50-60%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Por qué importan las tres líneas separadas en 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línea 1 (SaaS) es lo que un inversor valora a múltiplos 5-7× ARR.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línea 2 (variable) amplifica ARPU sin tocar headcount; multiplica margen unitario sin marginal cost relevante.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línea 3 (Back-Office) tiene gross margin más bajo pero es palanca de crecimiento de revenue absoluto y diferenciador competitivo. Para un inversor estate-tech con benchmarks Finch Legal / Trust &amp; Will, valoración blend 8-12× ARR.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Mezcladas en una única partida "revenue total" se pierde la lectura. Tracking explícito ARPU expandido por componente desde el día 1.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Métrica norte: ARPU expandido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Definición operativa: ARPU expandido = (suscripción + variable + add-ons + comisión Back-Office) por cliente. Descomponer mensualmente en HubSpot (o panel propio) por componente para detectar concentración de revenue en una sola línea o churn de uno solo.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3. ARPU efectivo por tier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Pricing nominal vs. pricing efectivo (con descuento anual –15%) por tier. "Anual –15%" es la opción por defecto en checkout, así que asumir mix elevado de anual desde el día 1.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900"/>
        <w:gridCol w:w="1900"/>
        <w:gridCol w:w="2345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 /mes equiv.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 € total / año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Lead gen + pay-per-use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Esencial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199 €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169 €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2.029,80 €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Pago por uso modelos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Avanzado ⭐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449 €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382 €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4.579,80 €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20 modelos/mes incl.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999 €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849 €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10.189,80 €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50 modelos/mes incl.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 medida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A medida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Estimado 30K€/año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medio asumido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Mix asumido (a validar por CFO)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Esta es la asunción de partida del doc maestro. El CFO debe contrastarla contra benchmarks SaaS B2B vertical y ajustar: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272"/>
        <w:gridCol w:w="2273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% paying customers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ARPU efectivo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Aportación a ARPU blended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Esencial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169 €/mes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101,40 €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Entry tier, mayor adopción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382 €/mes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114,60 €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Sweet spot ICP boutique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849 €/mes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67,92 €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Despachos mayor volumen y asesorías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2.500 €/mes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50,00 €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Ticket medio asumido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ARPU blended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—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2"/>
                <w:szCs w:val="22"/>
              </w:rPr>
              <w:t xml:space="preserve">≈ 334 €/mes</w:t>
            </w:r>
          </w:p>
        </w:tc>
        <w:tc>
          <w:tcPr>
            <w:tcW w:type="dxa" w:w="227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D6A4F"/>
                <w:sz w:val="20"/>
                <w:szCs w:val="20"/>
              </w:rPr>
              <w:t xml:space="preserve">Solo SaaS, sin variable ni Back-Office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5"/>
      </w:tblGrid>
      <w:tr>
        <w:tc>
          <w:tcPr>
            <w:tcW w:type="dxa" w:w="9745"/>
            <w:tcBorders>
              <w:top w:val="single" w:color="CBD5E1" w:sz="4"/>
              <w:left w:val="single" w:color="B45309" w:sz="24"/>
              <w:bottom w:val="single" w:color="CBD5E1" w:sz="4"/>
              <w:right w:val="single" w:color="CBD5E1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Atención: ARPU efectivo asume 100% anual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Si el mix annual/mensual es 40% anual / 60% mensual (asunción doc maestro), el ARPU blended ponderado real es ≈ 354 €/mes. El modelo financiero debe parametrizar el % de annual contracts como variable independiente.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4. Revenue variable post-cuota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Estructura tipo Twilio/AWS: cuota incluye N modelos AEAT/mes; a partir de la cuota, tarifa por modelo + tarifa por bien declarado extra. En Free y Esencial es 100% pago por uso (cuota = 0).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900"/>
        <w:gridCol w:w="1900"/>
        <w:gridCol w:w="2045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Modelos incl./mes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Modelo extra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Bienes incl./modelo</w:t>
            </w:r>
          </w:p>
        </w:tc>
        <w:tc>
          <w:tcPr>
            <w:tcW w:type="dxa" w:w="2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Bien extra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15 €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2 €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Esencial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15 €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2 €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Avanzado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1 €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5 €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0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0,50 €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ARPU expandido — escenario por perfil de uso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Cómo se compone el ticket total mensual del despacho según volumen de tramitación: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00"/>
        <w:gridCol w:w="2300"/>
        <w:gridCol w:w="2345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Esencial 199 €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Avanzado 449 €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 999 €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Bajo uso (5 modelos/mes, 6 bienes)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274 €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449 €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999 €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Uso medio (25 modelos/mes, 8 bienes)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574 €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494 €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999 €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Alto uso (60 modelos/mes, 15 bienes)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1.099 €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1.109 €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1.049 €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Muy alto (120 modelos/mes, 20 bienes)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2.299 €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1.829 €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1.349 €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Implicaciones para el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Variable revenue convierte un cliente Avanzado de 449€ flat en 500-1.500€ efectivo según uso. Es la palanca de crecimiento orgánico sin upsell de tier.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Funciona como auto-upsell de tier: cuando un Esencial gasta &gt;300€/mes en extras, in-app banner sugiere Avanzado. Conversión esperada &gt;20% si bien implementado.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Gross margin del variable es altísima (90-95%): el coste marginal de generar un modelo más son cents en infra + 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Volatilidad mensual: el variable no es predecible mes a mes; conviene proyectar anualizado y dejar margen para volatilidad intra-año.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5. Ulpiano Back-Office — economía unitaria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Servicio de outsourcing operativo de tramitación sucesoria. El despacho contrata a Ulpiano un paquete y lo revende al cliente final con su propia marca y honorarios. Two-tier pricing: mayorista que Ulpiano cobra al despacho, PVP sugerido que el despacho cobra al cliente.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50"/>
        <w:gridCol w:w="2250"/>
        <w:gridCol w:w="2345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Completo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Complejo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PVP Despacho→Cliente (sugerido)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850 €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1.150 €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1.750 €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Mayorista Ulpiano→Despacho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350 €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595 €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950 €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Margen del despacho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59%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48%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46%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Comisión Ulpiano sobre caudal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1,75%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1,225%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Comisión Despacho→Cliente (sugerida)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5%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3,5%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5.1 Coste interno por paquete (asunción)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Asumido: tarifa interna 30€/h (digitalizado, mucho automatizado, trabajo cualificado bajo). Tiempo medio objetivo por paquete: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50"/>
        <w:gridCol w:w="2250"/>
        <w:gridCol w:w="2345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Básico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Completo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Complejo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Horas objetivo internas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6 h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 h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14 h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Coste interno (30 €/h)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180 €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270 €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420 €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Mayorista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350 €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595 €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950 €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Gross margin paquete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0"/>
                <w:szCs w:val="20"/>
              </w:rPr>
              <w:t xml:space="preserve">48,6%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0"/>
                <w:szCs w:val="20"/>
              </w:rPr>
              <w:t xml:space="preserve">54,6%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0"/>
                <w:szCs w:val="20"/>
              </w:rPr>
              <w:t xml:space="preserve">55,8%</w:t>
            </w:r>
          </w:p>
        </w:tc>
      </w:tr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Gross margin objetivo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50%</w:t>
            </w:r>
          </w:p>
        </w:tc>
        <w:tc>
          <w:tcPr>
            <w:tcW w:type="dxa" w:w="2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55%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55%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5"/>
      </w:tblGrid>
      <w:tr>
        <w:tc>
          <w:tcPr>
            <w:tcW w:type="dxa" w:w="9745"/>
            <w:tcBorders>
              <w:top w:val="single" w:color="CBD5E1" w:sz="4"/>
              <w:left w:val="single" w:color="B45309" w:sz="24"/>
              <w:bottom w:val="single" w:color="CBD5E1" w:sz="4"/>
              <w:right w:val="single" w:color="CBD5E1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Hipótesis crítica a validar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Las horas objetivo (6/9/14) son hipótesis informada, no medidas. Si Complejo lleva 22-25 h reales, el gross margin baja a 25-30% y el paquete deja de ser rentable. Workstream pendiente #9: registrar horas reales en los próximos 5 expedientes de cada paquete y recalibrar.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5.2 Comisión sobre caudal hereditario (Opción B)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Modelo cerrado: Ulpiano factura al despacho un % fijo sobre el caudal hereditario neto declarado en Modelo 660 (cláusula contractual = caudal en plataforma). Sin caps. El despacho decide libremente qué cobrar al cliente final como su comisión de gestión.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Casos representativos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000"/>
        <w:gridCol w:w="1945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Caudal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Comisión Ulpiano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Ulpiano factura despacho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 despacho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180.000 €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2.205 €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2.800 €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4.650 € (62%)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500.000 €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Básico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8.750 €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9.100 €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16.750 € (65%)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1.000.000 €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Completo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12.250 €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12.845 €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23.305 € (64%)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2.000.000 €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Complejo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14.000 €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14.950 €</w:t>
            </w:r>
          </w:p>
        </w:tc>
        <w:tc>
          <w:tcPr>
            <w:tcW w:type="dxa" w:w="19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26.800 € (64%)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Implicaciones financieras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La comisión sobre caudal puede ser 5-10× el mayorista del paquete. Es la pieza de upside del Back-Office.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Distribución de caudales hereditarios es muy asimétrica (Pareto): pocos casos de patrimonio alto generan la mayoría de revenue. El modelo debe asumir mediana ≠ media.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Caudal medio español en herencia profesionalizada: estimar 350-500K€ para asunciones de plan; validar con datos reales tras 20 expedientes.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Cobro: comisión se factura al cierre del expediente Back-Office, no al inicio. Cash flow timing: 2-4 meses lag entre captación y cobro de comisión.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5.3 Add-ons separados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Aplazamiento de deuda tributaria: mayorista 120€ (simple) / 350€ + 1% sobre cuantía (con garantía) + 0,5% éxito. Sucesivo, no recurrente.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Pensiones (viudedad/orfandad): mayorista 200€ (simple) / 280€ (compleja). Pendiente de validación con casos reales (workstream #10).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6. Estructura de costes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6.1 COGS (Cost of Goods Sold)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COGS SaaS (línea 1 + 2)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Costes que escalan con número de clientes y uso: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Cloud y storage por cliente: 5-15 €/mes según tier (Esencial bajo, Pro alto).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API de IA (OpenAI/Anthropic/etc.): variable según uso. Hoy ~150 €/mes total, escala con clientes.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SaaS dependencies (Stripe, pasarelas, herramientas operativas): ~2-5 €/cliente/mes.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Soporte cliente humano: marginal en Esencial (email), creciente en Pro (chat dedicado).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Total estimado COGS por cliente medio: ~25-40 €/mes.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Gross margin SaaS objetivo: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85-92%. Esto es estándar SaaS B2B vertical bien construido.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COGS Back-Office (línea 3)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Trabajo cualificado interno o subcontratado para tramitación de expedientes: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Tarifa interna asumida: 30 €/h coste empresa (con SS, herramientas, supervisión).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Horas por paquete: 6 / 9 / 14 (asunción a validar).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Coste medio por expediente: 290 €.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Mayorista medio: 632 €.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Gross margin Back-Office objetivo: 50-60%.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se subcontrata parte (paralegal externo), tarifa real puede subir a 40-50€/h y el GM bajar a 35-45%. Decisión crítica del CFO.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6.2 OPEX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Personal (founders en V1)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Asumido en doc maestro: carga total empresa de los dos founders 16.500 €/mes.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Esto incluye salario, Seguridad Social, beneficios y reservas.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Marcar como variable explícita en el plan: "Founder compensation" debe modelarse, no presumirse a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Tras 50 paying customers, hay decisión: contratar primer empleado o no. CFO debe modelar trigger.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OPEX recurrente no-personal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Costes mensuales operativos: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745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Partida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Rango mensual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Anual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Infraestructura cloud + IA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350-500 €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4.200-6.000 €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Crece con clientes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Herramientas SaaS (HubSpot, Ahrefs, etc.)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300-500 €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3.600-6.000 €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Quasi-fijo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Marketing y adquisición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1.000-3.000 €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12.000-36.000 €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Variable según canal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Legal y contable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300-600 €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3.600-7.200 €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Amortizado año 1 alto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Pasarelas de pago (% tx)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0,5-2% revenue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Variable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Stripe ~1,5% sobre cobros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Otros (banco, ofim., etc.)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200-400 €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2.400-4.800 €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Quasi-fijo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Total OPEX no-personal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2"/>
                <w:szCs w:val="22"/>
              </w:rPr>
              <w:t xml:space="preserve">2.450-5.500 €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2"/>
                <w:szCs w:val="22"/>
              </w:rPr>
              <w:t xml:space="preserve">29.400-66.000 €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Total OPEX en V1 (con founders)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Personal (founders):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16.500 €/mes.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No-personal: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2.450-5.500 €/mes.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TOTAL OPEX: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6A4F"/>
          <w:sz w:val="22"/>
          <w:szCs w:val="22"/>
        </w:rPr>
        <w:t xml:space="preserve">≈ 18.950-22.000 €/mes (227K-264K €/año)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5"/>
      </w:tblGrid>
      <w:tr>
        <w:tc>
          <w:tcPr>
            <w:tcW w:type="dxa" w:w="9745"/>
            <w:tcBorders>
              <w:top w:val="single" w:color="CBD5E1" w:sz="4"/>
              <w:left w:val="single" w:color="2D6A4F" w:sz="24"/>
              <w:bottom w:val="single" w:color="CBD5E1" w:sz="4"/>
              <w:right w:val="single" w:color="CBD5E1" w:sz="4"/>
            </w:tcBorders>
            <w:shd w:fill="D8F3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D6A4F"/>
                <w:sz w:val="22"/>
                <w:szCs w:val="22"/>
              </w:rPr>
              <w:t xml:space="preserve">Implicación para break-even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Para cubrir OPEX completo (con founders), Ulpiano necesita ARR contribución bruta de ~250K€. A ARPU blended 334 €/mes y gross margin SaaS 88%, eso significa ~75 paying customers (sin Back-Office) o ~40 si añadimos Back-Office en 25% de la base.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7. Unit economics (preliminar — validar)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5"/>
      </w:tblGrid>
      <w:tr>
        <w:tc>
          <w:tcPr>
            <w:tcW w:type="dxa" w:w="9745"/>
            <w:tcBorders>
              <w:top w:val="single" w:color="CBD5E1" w:sz="4"/>
              <w:left w:val="single" w:color="B45309" w:sz="24"/>
              <w:bottom w:val="single" w:color="CBD5E1" w:sz="4"/>
              <w:right w:val="single" w:color="CBD5E1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Importante: estas asunciones son hipótesis informadas, no datos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Hasta tener 6 meses de cohorte real, las cifras de CAC, churn y LTV son rangos defendibles con benchmark, no realidad. El CFO debe construir el modelo con estos rangos y hacer análisis de sensibilidad — NO asumirlas como verdad.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7.1 CAC (Cost of Customer Acquisition)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Estimaciones por canal asumiendo eficiencia razonable de un founder-led GTM en pre-revenue: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745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CAC esperado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Volumen año 1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Outbound founder-led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200-400 €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 (60-70%)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Tiempo founder valorado a 50 €/h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Inbound SEO/content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50-150 €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Bajo año 1 (10%)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Crece con SEO maduro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Paid (Google Ads)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300-600 €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Medio (15-20%)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Para términos comerciales ISD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Partnerships colegio profesional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100-200 €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Bajo año 1 (5%)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Coste sponsorship asumido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Referrals (Early Adopters)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0-50 €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Crece año 2 (10%)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Programa formal pendiente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CAC blended objetivo año 1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D6A4F"/>
                <w:sz w:val="22"/>
                <w:szCs w:val="22"/>
              </w:rPr>
              <w:t xml:space="preserve">250-350 €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2"/>
                <w:szCs w:val="22"/>
              </w:rPr>
              <w:t xml:space="preserve">100% paying</w:t>
            </w:r>
          </w:p>
        </w:tc>
        <w:tc>
          <w:tcPr>
            <w:tcW w:type="dxa" w:w="27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D6A4F"/>
                <w:sz w:val="20"/>
                <w:szCs w:val="20"/>
              </w:rPr>
              <w:t xml:space="preserve">Si supera 500 €, replantear canal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7.2 Churn y retention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Benchmarks SaaS B2B vertical similar: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Monthly logo churn esperado: 2-3% (Esencial 3-4%, Avanzado 1-2%, Pro &lt;1%).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Net revenue retention objetivo año 1: 100-110% (con upsell tier + variable expansion).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Annual contracts (40% del mix) reducen churn observable; el revisión de renovación captura riesgo real.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Churn voluntario vs involuntario: separar en el modelo. Involuntario (impago, cierre despacho) puede ser 30-40% del total churn.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7.3 LTV (Lifetime Value)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Cálculo preliminar por tier asumiendo retention 24 meses (defendible para SaaS B2B vertical no commodity):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845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ARPU efectivo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 asumida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total</w:t>
            </w:r>
          </w:p>
        </w:tc>
        <w:tc>
          <w:tcPr>
            <w:tcW w:type="dxa" w:w="18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LTV @ GM 88%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Esencial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169 €/mes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24 meses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4.056 €</w:t>
            </w:r>
          </w:p>
        </w:tc>
        <w:tc>
          <w:tcPr>
            <w:tcW w:type="dxa" w:w="18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3.569 €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Avanzado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382 €/mes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30 meses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11.460 €</w:t>
            </w:r>
          </w:p>
        </w:tc>
        <w:tc>
          <w:tcPr>
            <w:tcW w:type="dxa" w:w="18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10.085 €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Pro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849 €/mes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36 meses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30.564 €</w:t>
            </w:r>
          </w:p>
        </w:tc>
        <w:tc>
          <w:tcPr>
            <w:tcW w:type="dxa" w:w="18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26.896 €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LTV blended (mix 60/30/8/2):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6A4F"/>
          <w:sz w:val="22"/>
          <w:szCs w:val="22"/>
        </w:rPr>
        <w:t xml:space="preserve">≈ 7.700 €. Solo SaaS, sin variable ni Back-Office add-ons.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26"/>
          <w:szCs w:val="26"/>
        </w:rPr>
        <w:t xml:space="preserve">7.4 LTV/CAC y Payback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LTV/CAC objetivo: ≥3:1. Con LTV blended 7.700€ y CAC blended 300€ → 25:1. Aparentemente excelente, pero ojo a la retention asumida.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Payback objetivo: ≤12 meses. Con CAC 300€ y ARPU 334€ × GM 88% = 294€ contribución/mes → payback ≈ 1 mes. Idem caveat.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retention real es 12 meses en lugar de 24-30, LTV blended cae a ~3.500€ y LTV/CAC a ~11:1. Sigue sano, pero más vulnerable.</w:t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5"/>
      </w:tblGrid>
      <w:tr>
        <w:tc>
          <w:tcPr>
            <w:tcW w:type="dxa" w:w="9745"/>
            <w:tcBorders>
              <w:top w:val="single" w:color="CBD5E1" w:sz="4"/>
              <w:left w:val="single" w:color="B45309" w:sz="24"/>
              <w:bottom w:val="single" w:color="CBD5E1" w:sz="4"/>
              <w:right w:val="single" w:color="CBD5E1" w:sz="4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Sensibilidad clave: retention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>Una caída de retention de 24 → 12 meses reduce LTV blended a la mitad. El modelo financiero debe testear este escenario y ajustar inversión en customer success si retention real &lt;18 meses tras los primeros 6 meses.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8. Proyección 12 meses — tres escenarios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Replicada del doc maestro de pricing. Asunciones comunes en sec. 8 del doc maestro. Base útil para arrancar el modelo financiero; el CFO debe ajustar a su criterio.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00"/>
        <w:gridCol w:w="2100"/>
        <w:gridCol w:w="2345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Moderado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Agresivo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Paying customers EOY 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35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80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ARR SaaS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199K 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460K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1,04M 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Add-on Back-Office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10K 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23K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20"/>
                <w:szCs w:val="20"/>
              </w:rPr>
              <w:t xml:space="preserve">52K 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ARR total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209K 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483K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1,09M 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MRR mes 12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17.500 €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40.000 €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E293B"/>
                <w:sz w:val="20"/>
                <w:szCs w:val="20"/>
              </w:rPr>
              <w:t xml:space="preserve">91.000 €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¿Cubre OPEX founders?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NO (–100K €)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3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SÍ (+575K €)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Lectura financiera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Conservador: shortfall 100K€/año sobre OPEX founders. Implica reducir compensación founders, conseguir financiación externa, o aceptar runway negativo.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Moderado: break-even financiero al mes 12. Sano para bootstrap, pero margen estrecho.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Agresivo: rentabilidad 575K€ que permite re-inversión en producto, contratación o reservas.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Curva de adquisición no es lineal: probablemente &lt;10 customers en Q1, crecimiento exponencial en Q3-Q4. Modelar mensualmente con shape de S-curve.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9. Variables críticas que el plan financiero debe parametrizar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Lista priorizada de inputs del modelo. Cada uno debe ser una celda editable y entrar en análisis de sensibilidad.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74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200"/>
        <w:gridCol w:w="3145"/>
      </w:tblGrid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Rango sensibilidad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1F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en plan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Paying customers EOY 1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80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35-180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Determina ARR; única variable de crecimiento que importa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Mix por tier (Esencial/Avanzado/Pro/Ent.)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60/30/8/2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Variar ±20%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Cambia ARPU blended y gross margin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Annual vs mensual %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40% annual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20-70%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Cash flow timing; reduce DSO si sube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Variable revenue por cliente/mes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+25% sobre flat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0-100%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Upside sin marginal cost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Adopción Back-Office (% paying)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25%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10-50%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Multiplica revenue 1,5-3×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Caudal hereditario medio Back-Office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400.000 €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200-700K €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Multiplica revenue por comisión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Churn mensual logo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2,5%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1-5%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Define retention y LTV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CAC blended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300 €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150-600 €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Define payback y eficiencia GTM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Coste interno Back-Office (€/h)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30 €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25-50 €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Define gross margin Back-Office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Horas/paquete Back-Office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6/9/14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+30% upside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Si sube, GM cae proporcional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Founder compensation (€/mes)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16.500 €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10K-25K €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Define break-even threshold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OPEX no-personal mensual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3.500 €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8"/>
                <w:szCs w:val="18"/>
              </w:rPr>
              <w:t xml:space="preserve">2.500-6.000 €</w:t>
            </w:r>
          </w:p>
        </w:tc>
        <w:tc>
          <w:tcPr>
            <w:tcW w:type="dxa" w:w="31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Crece con marketing y herramientas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Variables de segundo orden (a parametrizar pero menor sensibilidad)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Free → Esencial conversion rate (8% asumido). Solo impacta si Free tiene volumen alto.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Multi-licencia adoption (% paying con &gt;2 usuarios). Margen variable por usuario extra 15€.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Distribución de add-ons (Aplazamiento, Pensiones). Marginal en revenue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Discount applied (Early Adopter, Colegios, multi-año). Variable de descuento medio aplicado.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10. Riesgos financieros del modelo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 que más puede sorprender al plan financiero — ranking por probabilidad × impacto.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Alto · concentración de mix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Esencial captura &gt;75% del paying base (en lugar de 60% asumido), ARPU blended baja a ~250€ y ARR cae 25%.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Mitigación: monitorizar mix mensual; si Esencial &gt;70% a partir del mes 3, replantear comunicación de valor de Avanzado.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Alto · churn más alto del asumido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churn mensual real es 4-5% (Esencial vulnerable), retention 12 meses, LTV cae a la mitad.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Mitigación: activar customer success básico desde mes 3 si churn &gt;3% mensual.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Medio · validación coste Back-Office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horas reales Complejo son 22-25 (no 14), GM baja a 25-30%. Paquete deja de ser rentable.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Mitigación: workstream #9 pendiente, registrar horas reales y recalibrar mayoristas si necesario.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Medio · cash flow del Back-Office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Comisión sobre caudal se cobra al cierre del expediente (lag 2-4 meses). Trabajo del expediente se paga 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Mitigación: política de anticipo o segmentar facturación por hitos.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Medio · concentración de revenue en pocos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los 5 primeros paying customers son 50% del ARR (probable en mes 6-12), la pérdida de uno tiene impacto desproporcionado.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Mitigación: rebajar dependencia comercial de cuentas top mediante mix más amplio y annual contracts.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Bajo · regulatorio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Cambio en deontología abogacía que restrinja servicios técnicos a no-letrados podría requerir reestructurar.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Cambio normativo ISD podría obligar a refactor del motor fiscal (CAPEX no recurrente).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Mitigación: ya cubierto en marco legal v1 (workstream #12).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Bajo · IVA y cobros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Régimen IVA general 21% sobre toda la facturación. Sin retenciones aplicables al despacho.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Pasarela de pago (Stripe/Redsys) cobra ~1,5% sobre transacciones; impacto neto pequeño.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11. Decisiones que necesito del CFO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Para cerrar la versión definitiva del plan financiero, necesito que el CFO se posicione en los siguientes puntos.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Personal y estructura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Compensación founders: ¿asumimos 16.500 €/mes carga empresa o ajustamos? Esto define break-even.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Primer empleado: ¿en qué trigger se activa la contratación? (e.g. 30 paying customers, 50K€ MRR,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Reservas: ¿qué % del revenue se aparta como reserva operativa?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Financiación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Bootstrap total o raise (FFF, business angel, fondo)? Cambia objetivos y aceptación de margen negativo año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 raise: ticket esperado, dilution máxima aceptable, milestones de salida (next round).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Política de precios y descuentos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¿Aceptas el descuento Early Adopter –25% lifetime para los primeros 20? Impacto: ~50K€ revenue forgone año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¿Tope de descuento total acumulado en una propuesta antes de requerir cierre conjunto de socios?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¿Política de actualización anual de precios para clientes existentes (excluyendo Early Adopter)?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Reporting y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Cadencia de cierre: mensual o trimestral. Recomendación mensual desde mes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KPIs norte que reportarás al consejo: MRR, ARR, ARPU expandido, churn, CAC, LTV, runway.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Definición operativa de cada uno (importante por consistencia: ¿usamos ARR snapshot o ARR booked?).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Operativa contable y fiscal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Régimen de la sociedad: SL estándar.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Periodificación de annual contracts: ingreso por reconocimiento mensual (deferred revenue).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Revenue recognition de comisión Back-Office: al cierre del expediente o al cobro efectivo.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Política de gastos deducibles: founders, herramientas, marketing.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Cash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Política de DSO objetivo: 30 días estándar B2B.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Reservas de tesorería mínimas: ¿3, 6, 12 meses de OPEX?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Cuenta operativa, cuenta de reservas, IVA aparte: estructura bancaria recomendada.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F1F3D"/>
          <w:sz w:val="32"/>
          <w:szCs w:val="32"/>
        </w:rPr>
        <w:t xml:space="preserve">12. Roadmap financiero — primeros 12 meses</w:t>
      </w:r>
    </w:p>
    <w:p>
      <w:pPr>
        <w:pBdr>
          <w:bottom w:val="single" w:color="2D6A4F" w:sz="6" w:space="4"/>
        </w:pBd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0-30 días · Setup contable y financiero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Constitución/saneamiento de la SL si pendiente (workstream #12).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Plan contable: cuentas analíticas por línea de revenue (SaaS / variable / Back-Office).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HubSpot configurado con deal stages y custom properties para tracking ARPU expandido.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Plan financiero v1 (este briefing → modelo Excel + dashboard).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30-90 días · Operación y primer cierre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Primer cierre mensual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Reconciliación HubSpot ↔ contabilidad ↔ Stripe.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Validación o ajuste de asunciones críticas (CAC, churn, mix) con datos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Decisión bootstrap vs raise basada en runway calculado.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3-6 meses · Cohort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Primeras cohortes con datos de retention reales.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Ajuste de LTV y unit economics.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Recalibración de mayoristas Back-Office con horas reales (workstream #9).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Revisión de mix y replanteamiento si necesario.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6-12 meses · Plan financiero 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Modelo financiero a 24-36 meses con datos reales de retention.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Plan de contratación detallado.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Preparación de data room si raise planeado.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KPIs de board reporting consolidados.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Ulpiano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64748B"/>
        <w:sz w:val="14"/>
        <w:szCs w:val="14"/>
      </w:rPr>
      <w:t xml:space="preserve">Página </w:t>
    </w:r>
    <w:r>
      <w:rPr>
        <w:rFonts w:ascii="Calibri" w:cs="Calibri" w:eastAsia="Calibri" w:hAnsi="Calibri"/>
        <w:b/>
        <w:bCs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4"/>
        <w:szCs w:val="14"/>
      </w:rPr>
      <w:t xml:space="preserve"> de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F1F3D"/>
        <w:sz w:val="16"/>
        <w:szCs w:val="16"/>
      </w:rPr>
      <w:t xml:space="preserve">ULPIANO</w:t>
    </w:r>
    <w:r>
      <w:rPr>
        <w:rFonts w:ascii="Calibri" w:cs="Calibri" w:eastAsia="Calibri" w:hAnsi="Calibri"/>
        <w:color w:val="64748B"/>
        <w:sz w:val="16"/>
        <w:szCs w:val="16"/>
      </w:rPr>
      <w:t xml:space="preserve">  ·  Pricing Strategy — Briefing financiero</w:t>
    </w:r>
    <w:r>
      <w:rPr>
        <w:rFonts w:ascii="Calibri" w:cs="Calibri" w:eastAsia="Calibri" w:hAnsi="Calibri"/>
        <w:color w:val="64748B"/>
        <w:sz w:val="16"/>
        <w:szCs w:val="16"/>
      </w:rPr>
      <w:t xml:space="preserve">	v1.0 —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0F1F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1F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2D6A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Ulpiano — Pricing Strategy Briefing para CFO</dc:title>
  <dc:creator>Miquel Fàbrega</dc:creator>
  <cp:lastModifiedBy>Un-named</cp:lastModifiedBy>
  <cp:revision>1</cp:revision>
  <dcterms:created xsi:type="dcterms:W3CDTF">2026-05-17T10:38:29.947Z</dcterms:created>
  <dcterms:modified xsi:type="dcterms:W3CDTF">2026-05-17T10:38:29.966Z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