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Documentación de referencia sobre la naturaleza, funcionalidades y arquitectura de Ulpiano.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qwvxm2dhr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es Ulpiano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Ulpiano es una </w:t>
      </w:r>
      <w:r w:rsidDel="00000000" w:rsidR="00000000" w:rsidRPr="00000000">
        <w:rPr>
          <w:b w:val="1"/>
          <w:bCs w:val="1"/>
          <w:rtl w:val="0"/>
        </w:rPr>
        <w:t xml:space="preserve">infraestructura digital de planificación y gestión sucesoria integral</w:t>
      </w:r>
      <w:r w:rsidDel="00000000" w:rsidR="00000000" w:rsidRPr="00000000">
        <w:rPr>
          <w:rtl w:val="0"/>
        </w:rPr>
        <w:t xml:space="preserve">, diseñada para despachos de abogados, asesorías fiscales y notarías.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 software de testamentos. Es el sistema que rodea al testamento: modela el patrimonio, construye el escenario hereditario, calcula automáticamente las legítimas y cuotas, y liquida el ISD según la normativa autonómica aplicable.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nombre evoca a Domicio Ulpiano, jurista del Derecho romano clásico. Transmite autoridad jurídica, rigor y permanencia — valores deliberados para un producto que se vende a profesionales del derecho.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atylj8q04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Propuesta de valor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sucesorio tradicional está fragmentado: abogado, asesor fiscal y notaría operan en silos. Los cálculos se hacen en Excel. El cliente no entiende qué está pagando ni por qué.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Ulpiano resuelve esto en tres ejes: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3.0757014293276"/>
        <w:gridCol w:w="8046.924298570673"/>
        <w:tblGridChange w:id="0">
          <w:tblGrid>
            <w:gridCol w:w="1313.0757014293276"/>
            <w:gridCol w:w="8046.9242985706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 que hace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Jurídica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Calcula legítimas, cuotas hereditarias, prelegados y grupos de parentesco según el CCCat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Liquida el ISD con reducciones, bonificaciones y cuota a ingresar según normativa autonómica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Gestiona el expediente completo — del inventario patrimonial a la presentación fiscal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argumento de fidelización es clave: Ulpiano convierte una gestión puntual en una relación continua. El cliente vuelve cada vez que cambia su patrimonio, su familia o la ley.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1nfkh3k66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Módulos funcionales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000e921d9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Modelización del patrimonio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clasificar y valorar cualquier tipo de bien: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Inmuebles (con cargas, titularidades y coeficientes de participación)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bancarias y productos financieros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Participaciones sociales y empresas familiares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Bienes afectos a actividad económica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Criptoactivos y activos digitales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Derechos de crédito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bien incorpora tratamiento fiscal específico, cargas deducibles y afectaciones económicas.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iwbd7dny4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Escenario sucesorio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Designación de herederos y legatarios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de legados y prelegados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automático de legítimas (Art. 451-5 CCCat y ss.)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por prelegados — con regla de cómputo como atribución a cuenta de legítima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Simulación por grupos de parentesco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 reducciones autonómicas (ej. 95% empresa familiar en Cataluña)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ei3liorzm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Motor fiscal ISD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Cálculo automático completo para el ISD según comunidad autónoma: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imponible inicial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Reducciones (parentesco, discapacidad, persona mayor, vivienda habitual, empresa familiar)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liquidable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Cuota íntegra (tarifa)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Coeficiente multiplicador (patrimonio preexistente)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Cuota tributaria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Bonificació (Grupos I y II — tablas progresivas; cónyuge/pareja de hecho — 99% plano)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Cuota a ingresar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implementado para </w:t>
      </w:r>
      <w:r w:rsidDel="00000000" w:rsidR="00000000" w:rsidRPr="00000000">
        <w:rPr>
          <w:b w:val="1"/>
          <w:bCs w:val="1"/>
          <w:rtl w:val="0"/>
        </w:rPr>
        <w:t xml:space="preserve">normativa catalana (Llei 19/2010 i modificacions)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tc4h6my6p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 expediente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Tramitación de herencias testadas e intestadas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documental por expediente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Modelo 650 (individual) y Modelo 660 (inventario compartido)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plazos fiscales (período voluntario ISD: 6 meses desde el fallecimiento)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02o8hufb9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Activos digitales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Criptomonedas con valoración a fecha de devengo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Cuentas y servicios online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de acceso, gestión o eliminación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potencial con mecanismos criptográficos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op8rb46m9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Modelo de negocio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1.3884555382215"/>
        <w:gridCol w:w="2633.260530421217"/>
        <w:gridCol w:w="4575.351014040562"/>
        <w:tblGridChange w:id="0">
          <w:tblGrid>
            <w:gridCol w:w="2151.3884555382215"/>
            <w:gridCol w:w="2633.260530421217"/>
            <w:gridCol w:w="4575.3510140405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B2B</w:t>
            </w:r>
            <w:r w:rsidDel="00000000" w:rsidR="00000000" w:rsidRPr="00000000">
              <w:rPr>
                <w:rtl w:val="0"/>
              </w:rPr>
              <w:t xml:space="preserve"> (principal)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Despachos medianos, asesorías fiscales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Automatización técnica, fidelización de clientes, diferenciación competitiva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B2C</w:t>
            </w:r>
            <w:r w:rsidDel="00000000" w:rsidR="00000000" w:rsidRPr="00000000">
              <w:rPr>
                <w:rtl w:val="0"/>
              </w:rPr>
              <w:t xml:space="preserve"> (complementario)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Particulares con patrimonio relevante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sucesoria digital propia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buyer persona principal</w:t>
      </w:r>
      <w:r w:rsidDel="00000000" w:rsidR="00000000" w:rsidRPr="00000000">
        <w:rPr>
          <w:rtl w:val="0"/>
        </w:rPr>
        <w:t xml:space="preserve"> es el abogado-gestor de despacho mediano: 5-15 años de ejercicio, gestiona herencias regularmente, usa Excel o herramientas genéricas, y toma la decisión de compra él mismo sin proceso de procurement.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shvvrmkfn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Buyer Persona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Abogado-gestor, despacho mediano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5–15 años de ejercicio profesional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 herencias de forma recurrente (no ocasional)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2–10 personas en el despacho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 actual: Excel, Word, o software genérico de gestión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Principal dolor: cálculos ISD y coordinación con asesor fiscal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 early adopter — necesita ver que funciona antes de comprarlo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la compra él mismo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Secundario: Asesor fiscal con cartera hereditaria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Recibe casos de herencias desde su base de clientes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Necesita calcular ISD rápido y con trazabilidad auditabe ante la ATC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es buyer persona:</w:t>
      </w:r>
      <w:r w:rsidDel="00000000" w:rsidR="00000000" w:rsidRPr="00000000">
        <w:rPr>
          <w:rtl w:val="0"/>
        </w:rPr>
        <w:t xml:space="preserve"> notarías (autorizan, no gestionan), grandes despachos (tienen sistemas propios), particulares sin asesoramiento profesional.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fakarki5o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Gestor patrimonial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gestor patrimonial es el punto de entrada de cualquier expediente. Antes de construir un escenario sucesorio o calcular ninguna cuota, el profesional debe tener un inventario completo, valorado y estructurado del patrimonio del causante.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081gp0egx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bien soportados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7.238689547582"/>
        <w:gridCol w:w="3056.7238689547585"/>
        <w:gridCol w:w="3816.03744149766"/>
        <w:tblGridChange w:id="0">
          <w:tblGrid>
            <w:gridCol w:w="2487.238689547582"/>
            <w:gridCol w:w="3056.7238689547585"/>
            <w:gridCol w:w="3816.037441497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Particularidades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Inmuebles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Vivienda habitual, segunda residencia, locales, suelo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Coeficiente de participación, cargas hipotecarias, valor catastral vs. valor real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Productos financieros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Cuentas corrientes, depósitos, fondos, acciones cotizadas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Saldo a fecha de devengo, titularidad compartida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 familiar / participaciones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SL, SA, participaciones en sociedades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Reducción 95% si cumple requisitos (art. 21 Llei 19/2010)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Bienes afectos a actividad económica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Negocios individuales, activos productivos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Tratamiento fiscal específico e incompatibilidad con bonificació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Activos digitales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Criptomonedas, NFTs, wallets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Valoración a fecha de devengo, instrucciones de acceso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Derechos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Préstamos a favor del causante, devoluciones pendientes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Incluibles en base imponible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Otros bienes muebles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Vehículos, joyas, arte, colecciones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Valoración por referencia o tasación</w:t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w25x23sym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Cargas y deudas deducibles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bien puede llevar asociadas cargas que reducen el valor neto del activo: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Hipotecas pendientes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Gastos de sepelio y última enfermedad (deducibles de la masa hereditaria)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Deudas del causante reconocidas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calcula automáticamente el </w:t>
      </w:r>
      <w:r w:rsidDel="00000000" w:rsidR="00000000" w:rsidRPr="00000000">
        <w:rPr>
          <w:b w:val="1"/>
          <w:bCs w:val="1"/>
          <w:rtl w:val="0"/>
        </w:rPr>
        <w:t xml:space="preserve">caudal relicto neto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activos − pasivos deducibles.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bro158w5i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Titularidades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bien puede tener titularidad total, pro indiviso, o en régimen de comunidad de bienes. El sistema gestiona el porcentaje imputable al causante de forma independiente al resto de co-titulares.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94ugw4smb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Escenarios sucesorios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escenario sucesorio es la representación modelizada de cómo se distribuye el patrimonio del causante entre los beneficiarios, aplicando las reglas civiles y fiscales correspondientes.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yyxtv4nhw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de escenario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Planificación sucesoria (pre-mortem)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causante está vivo. El objetivo es modelizar cómo quedaría repartido su patrimonio según distintas hipótesis — testamento actual, donaciones en vida, pactos sucesorios — y optimizar el impacto fiscal antes de que se produzca el hecho imponible.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Tramitación hereditaria (post-mortem)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causante ha fallecido. El expediente gestiona la apertura, liquidación y presentación fiscal de la herencia real. Puede ser testada (con testamento) o intestada (sin testamento, por orden legal de llamamientos).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olz4hx2zo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del escenario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Causante</w:t>
      </w:r>
      <w:r w:rsidDel="00000000" w:rsidR="00000000" w:rsidRPr="00000000">
        <w:rPr>
          <w:rtl w:val="0"/>
        </w:rPr>
        <w:t xml:space="preserve"> — datos personales, fecha de fallecimiento, domicilio fiscal (determina normativa autonómica aplicable)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Beneficiarios</w:t>
      </w:r>
      <w:r w:rsidDel="00000000" w:rsidR="00000000" w:rsidRPr="00000000">
        <w:rPr>
          <w:rtl w:val="0"/>
        </w:rPr>
        <w:t xml:space="preserve"> — herederos y legatarios, con grupo de parentesco, edad y patrimonio preexistente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Masa hereditaria</w:t>
      </w:r>
      <w:r w:rsidDel="00000000" w:rsidR="00000000" w:rsidRPr="00000000">
        <w:rPr>
          <w:rtl w:val="0"/>
        </w:rPr>
        <w:t xml:space="preserve"> — activos del gestor patrimonial, ajustados por cargas y deudas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Distribución</w:t>
      </w:r>
      <w:r w:rsidDel="00000000" w:rsidR="00000000" w:rsidRPr="00000000">
        <w:rPr>
          <w:rtl w:val="0"/>
        </w:rPr>
        <w:t xml:space="preserve"> — cuotas hereditarias, legados específicos, prelegados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Legítimas</w:t>
      </w:r>
      <w:r w:rsidDel="00000000" w:rsidR="00000000" w:rsidRPr="00000000">
        <w:rPr>
          <w:rtl w:val="0"/>
        </w:rPr>
        <w:t xml:space="preserve"> — cálculo automático de la legítima global y la legítima individual (CCCat: 1/4 del caudal computable)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Prelegados</w:t>
      </w:r>
      <w:r w:rsidDel="00000000" w:rsidR="00000000" w:rsidRPr="00000000">
        <w:rPr>
          <w:rtl w:val="0"/>
        </w:rPr>
        <w:t xml:space="preserve"> — atribución a cuenta de legítima o con cargo a la parte libre, sin duplicar a la persona en el reparto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bk1wr1ku1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Simulación comparativa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permite construir varios escenarios alternativos sobre el mismo patrimonio para comparar el resultado fiscal de cada uno. Por ejemplo: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Escenario A: Herencia sin donaciones previas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Escenario B: Con donación de la empresa familiar en vida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Escenario C: Con usufructo vitalicio para el cónyuge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escenario genera su propio bloque fiscal independiente, permitiendo al profesional recomendar la opción más eficiente.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9uh2jia1r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Comparación fiscal entre escenarios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comparación fiscal es una funcionalidad de planificación sucesoria que permite al profesional visualizar en paralelo el impacto tributario de diferentes escenarios sobre los mismos beneficiarios.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abp9d6w57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se compara</w:t>
      </w:r>
    </w:p>
    <w:tbl>
      <w:tblPr>
        <w:tblStyle w:val="Table4"/>
        <w:tblW w:w="9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5"/>
        <w:gridCol w:w="5705"/>
        <w:tblGridChange w:id="0">
          <w:tblGrid>
            <w:gridCol w:w="3425"/>
            <w:gridCol w:w="5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Magnitud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imponible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Valor neto del patrimonio heredado por cada beneficiario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Reducciones aplicadas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Tipo y cuantía de cada reducción autonómica aplicada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liquidable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Base tras reducciones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Cuota íntegra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Resultado de aplicar la tarifa del ISD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Bonificació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Reducción sobre la cuota tributaria (Grupos I y II)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Cuota a ingresar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Coste fiscal real para el beneficiario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Ahorro fiscal vs. escenario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Diferencia absoluta y porcentual entre escenarios</w:t>
            </w:r>
          </w:p>
        </w:tc>
      </w:tr>
    </w:tbl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xoaxrunrr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Casos de uso habituales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Comparar herencia directa vs. donación en vida para empresa familiar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el impacto de incluir o excluir el usufructo del cónyuge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Simular el efecto de distintas distribuciones de bienes entre hijos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si conviene fraccionar atribuciones para optimizar el tramo de tarifa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j63mew1d5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Liquidación fiscal (Motor ISD)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fiscal de Ulpiano calcula el ISD de forma automática para cada beneficiario, siguiendo el embudo de liquidación establecido por la normativa autonómica. La implementación actual es para </w:t>
      </w:r>
      <w:r w:rsidDel="00000000" w:rsidR="00000000" w:rsidRPr="00000000">
        <w:rPr>
          <w:b w:val="1"/>
          <w:bCs w:val="1"/>
          <w:rtl w:val="0"/>
        </w:rPr>
        <w:t xml:space="preserve">normativa catalana (Llei 19/2010 i modificacions)</w:t>
      </w:r>
      <w:r w:rsidDel="00000000" w:rsidR="00000000" w:rsidRPr="00000000">
        <w:rPr>
          <w:rtl w:val="0"/>
        </w:rPr>
        <w:t xml:space="preserve">, con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ley_aplicable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CC-CAT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7mt86bnmq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Embudo de liquidación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Masa hereditaria bruta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− Cargas y deudas deducibles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Caudal relicto neto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÷ Distribución entre beneficiarios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Base imponible individual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+ Ajustes (legítima complement, prelegados adicionales)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Base imponible ajustada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− Reducciones autonómicas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Base liquidable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× Tarifa ISD (escala progresiva)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Cuota íntegra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× Coeficiente multiplicador (patrimonio preexistente + grupo parentesco)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Cuota tributaria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− Bonificació (si aplica Grupo I o II)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 Cuota a ingresar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2fbva4drdq" w:id="23"/>
      <w:bookmarkEnd w:id="2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Reducciones implementadas (Cataluña)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1.3084112149536"/>
        <w:gridCol w:w="1754.392523364486"/>
        <w:gridCol w:w="5224.2990654205605"/>
        <w:tblGridChange w:id="0">
          <w:tblGrid>
            <w:gridCol w:w="2381.3084112149536"/>
            <w:gridCol w:w="1754.392523364486"/>
            <w:gridCol w:w="5224.2990654205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Cuantía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parentesco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Art. 20 Llei 19/2010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Variable según grupo (I: 100.000€+; II: 100.000€; III: 50.000€; IV: 0€)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discapacidad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Art. 20 Llei 19/2010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Adicional a parentesco, según grado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 mayor de 75 años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Art. 20 Llei 19/2010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275.000€ (Grupo II)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Vivienda habitual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Art. 21 Llei 19/2010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95% del valor, máximo 500.000€, con requisito de mantenimiento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 familiar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Art. 21 Llei 19/2010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95% del valor, con requisitos de actividad y parentesco</w:t>
            </w:r>
          </w:p>
        </w:tc>
      </w:tr>
    </w:tbl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6jydrnysp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Bonificació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bonificació se aplica sobre la </w:t>
      </w:r>
      <w:r w:rsidDel="00000000" w:rsidR="00000000" w:rsidRPr="00000000">
        <w:rPr>
          <w:b w:val="1"/>
          <w:bCs w:val="1"/>
          <w:rtl w:val="0"/>
        </w:rPr>
        <w:t xml:space="preserve">cuota tributaria</w:t>
      </w:r>
      <w:r w:rsidDel="00000000" w:rsidR="00000000" w:rsidRPr="00000000">
        <w:rPr>
          <w:rtl w:val="0"/>
        </w:rPr>
        <w:t xml:space="preserve"> (no sobre la base):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Grupos I y II (general):</w:t>
      </w:r>
      <w:r w:rsidDel="00000000" w:rsidR="00000000" w:rsidRPr="00000000">
        <w:rPr>
          <w:rtl w:val="0"/>
        </w:rPr>
        <w:t xml:space="preserve"> tablas progresivas según base liquidable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Cónyuge y pareja de hecho:</w:t>
      </w:r>
      <w:r w:rsidDel="00000000" w:rsidR="00000000" w:rsidRPr="00000000">
        <w:rPr>
          <w:rtl w:val="0"/>
        </w:rPr>
        <w:t xml:space="preserve"> 99% plano sobre la cuota tributaria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Incompatibilidad:</w:t>
      </w:r>
      <w:r w:rsidDel="00000000" w:rsidR="00000000" w:rsidRPr="00000000">
        <w:rPr>
          <w:rtl w:val="0"/>
        </w:rPr>
        <w:t xml:space="preserve"> la bonificació es incompatible con la reducción por empresa familiar para herencias post-mayo 2020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kjvuhgxek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Recargo por extemporaneidad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liquidación se presenta fuera del período voluntario (6 meses desde el fallecimiento), el sistema calcula el recargo aplicable según el Art. 27 LGT: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meses: +5%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meses: +10%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 meses: +15%</w:t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de 12 meses: +20% + intereses de demora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euxt1jkti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Modelos de presentación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660</w:t>
      </w:r>
      <w:r w:rsidDel="00000000" w:rsidR="00000000" w:rsidRPr="00000000">
        <w:rPr>
          <w:rtl w:val="0"/>
        </w:rPr>
        <w:t xml:space="preserve"> — Inventario compartido de la masa hereditaria (un único documento por herencia)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650</w:t>
      </w:r>
      <w:r w:rsidDel="00000000" w:rsidR="00000000" w:rsidRPr="00000000">
        <w:rPr>
          <w:rtl w:val="0"/>
        </w:rPr>
        <w:t xml:space="preserve"> — Autoliquidación individual de cada beneficiario (uno por heredero/legatario)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Arquitectura relacional: el 660 es el registro padre; los 650 son registros hijo vinculados.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sbmh16m1a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Tramitación del expediente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expediente es la unidad de trabajo principal en Ulpiano. Agrupa toda la información de una herencia concreta: el causante, el patrimonio, los beneficiarios, los documentos y el estado fiscal.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b1u0uorov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Estados del expediente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Apertura</w:t>
      </w:r>
      <w:r w:rsidDel="00000000" w:rsidR="00000000" w:rsidRPr="00000000">
        <w:rPr>
          <w:rtl w:val="0"/>
        </w:rPr>
        <w:t xml:space="preserve"> — Alta del causante y datos básicos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Inventario</w:t>
      </w:r>
      <w:r w:rsidDel="00000000" w:rsidR="00000000" w:rsidRPr="00000000">
        <w:rPr>
          <w:rtl w:val="0"/>
        </w:rPr>
        <w:t xml:space="preserve"> — Carga y valoración del patrimonio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Distribución</w:t>
      </w:r>
      <w:r w:rsidDel="00000000" w:rsidR="00000000" w:rsidRPr="00000000">
        <w:rPr>
          <w:rtl w:val="0"/>
        </w:rPr>
        <w:t xml:space="preserve"> — Asignación de cuotas, legados y prelegados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fiscal</w:t>
      </w:r>
      <w:r w:rsidDel="00000000" w:rsidR="00000000" w:rsidRPr="00000000">
        <w:rPr>
          <w:rtl w:val="0"/>
        </w:rPr>
        <w:t xml:space="preserve"> — Motor ISD por beneficiario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</w:t>
      </w:r>
      <w:r w:rsidDel="00000000" w:rsidR="00000000" w:rsidRPr="00000000">
        <w:rPr>
          <w:rtl w:val="0"/>
        </w:rPr>
        <w:t xml:space="preserve"> — Carga de escrituras, certificados, DNIs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Presentación</w:t>
      </w:r>
      <w:r w:rsidDel="00000000" w:rsidR="00000000" w:rsidRPr="00000000">
        <w:rPr>
          <w:rtl w:val="0"/>
        </w:rPr>
        <w:t xml:space="preserve"> — Generación de modelos y seguimiento de plazos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zefqxgegx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Alertas y plazos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 automática al aproximarse el vencimiento del período voluntario (6 meses)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 al despacho cuando el cliente sube documentación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de presentación por vía telemática ante la ATC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n2aez4tkw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Activos digitales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Ulpiano incorpora la gestión del patrimonio digital como categoría de primer nivel, no como un añadido.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hc33r77ij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incluye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Criptomonedas</w:t>
      </w:r>
      <w:r w:rsidDel="00000000" w:rsidR="00000000" w:rsidRPr="00000000">
        <w:rPr>
          <w:rtl w:val="0"/>
        </w:rPr>
        <w:t xml:space="preserve"> — con valoración a fecha de devengo (precio de mercado en el momento del fallecimiento), identificación de wallets y exchanges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Cuentas y servicios online</w:t>
      </w:r>
      <w:r w:rsidDel="00000000" w:rsidR="00000000" w:rsidRPr="00000000">
        <w:rPr>
          <w:rtl w:val="0"/>
        </w:rPr>
        <w:t xml:space="preserve"> — plataformas de inversión, cuentas de broker, servicios de suscripción con saldo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Huella digital</w:t>
      </w:r>
      <w:r w:rsidDel="00000000" w:rsidR="00000000" w:rsidRPr="00000000">
        <w:rPr>
          <w:rtl w:val="0"/>
        </w:rPr>
        <w:t xml:space="preserve"> — redes sociales, cuentas de correo, servicios en la nube con instrucciones de gestión o eliminación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Potencial integración</w:t>
      </w:r>
      <w:r w:rsidDel="00000000" w:rsidR="00000000" w:rsidRPr="00000000">
        <w:rPr>
          <w:rtl w:val="0"/>
        </w:rPr>
        <w:t xml:space="preserve"> con smart contracts para liberación de accesos post-mortem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oag1a8wv9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qué importa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activos digitales son ya una parte relevante del patrimonio de muchos causantes, especialmente en perfiles menores de 60 años. No gestionarlos genera conflictos entre herederos y pérdida de valor. Ninguna herramienta generalista del mercado los trata como categoría fiscal estructurada.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r7i66vjym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y seguridad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Encriptación AES-256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accesos por rol (backoffice profesional / app cliente)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lógica entre datos patrimoniales y motor fiscal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completa de escenarios y versiones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 aplicaciones diferenciadas: </w:t>
      </w:r>
      <w:r w:rsidDel="00000000" w:rsidR="00000000" w:rsidRPr="00000000">
        <w:rPr>
          <w:b w:val="1"/>
          <w:bCs w:val="1"/>
          <w:rtl w:val="0"/>
        </w:rPr>
        <w:t xml:space="preserve">backoffice</w:t>
      </w:r>
      <w:r w:rsidDel="00000000" w:rsidR="00000000" w:rsidRPr="00000000">
        <w:rPr>
          <w:rtl w:val="0"/>
        </w:rPr>
        <w:t xml:space="preserve"> (despacho) y </w:t>
      </w:r>
      <w:r w:rsidDel="00000000" w:rsidR="00000000" w:rsidRPr="00000000">
        <w:rPr>
          <w:b w:val="1"/>
          <w:bCs w:val="1"/>
          <w:rtl w:val="0"/>
        </w:rPr>
        <w:t xml:space="preserve">app cliente</w:t>
      </w:r>
      <w:r w:rsidDel="00000000" w:rsidR="00000000" w:rsidRPr="00000000">
        <w:rPr>
          <w:rtl w:val="0"/>
        </w:rPr>
        <w:t xml:space="preserve"> (particular)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9xelkcqz1y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Filosofía del proyecto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 sucesión no debe gestionarse cuando ocurre la muerte. Debe planificarse con antelación.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Ulpiano convierte el testamento en un proceso dinámico, un documento vivo y un sistema modelizable. El objetivo no es digitalizar el papeleo — es transformar la relación entre el profesional jurídico y su cliente en el eje patrimonial más sensible de su vida.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