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64"/>
          <w:szCs w:val="64"/>
        </w:rPr>
        <w:t xml:space="preserve">ULPIANO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32"/>
          <w:szCs w:val="32"/>
        </w:rPr>
        <w:t xml:space="preserve">BACK-OFFICE</w:t>
      </w:r>
    </w:p>
    <w:p>
      <w:pPr>
        <w:pBdr>
          <w:bottom w:val="single" w:color="2D6A4F" w:sz="12" w:space="4"/>
        </w:pBdr>
        <w:spacing w:after="4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30"/>
          <w:szCs w:val="30"/>
        </w:rPr>
        <w:t xml:space="preserve">Tarifas internas y PVP sugerido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Tramitación sucesoria outsourceada para despachos profesionales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Documento interno mixto: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mayoristas Ulpiano→Despacho y PVP sugerido Despacho→Cliente final.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Uso: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alineación interna y soporte de presentación a despachos.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v1.1 — abril 2026.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Estado: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tarifas vigentes; mayoristas sujetos a recalibración con horas reales (workstream pendiente #9).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6"/>
          <w:szCs w:val="36"/>
        </w:rPr>
        <w:t xml:space="preserve">01 · El modelo en una página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4"/>
          <w:szCs w:val="24"/>
        </w:rPr>
        <w:t xml:space="preserve">Ulpiano Back-Office es el servicio de outsourcing operativo de tramitación sucesoria que el despacho revende al cliente final. El despacho mantiene la relación con el cliente y los honorarios principales; Ulpiano ejecuta toda la documentación tramitable digitalizable.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2"/>
          <w:szCs w:val="22"/>
        </w:rPr>
        <w:t xml:space="preserve">Pitch al despacho: </w:t>
      </w:r>
      <w:r>
        <w:rPr>
          <w:rFonts w:ascii="Calibri" w:cs="Calibri" w:eastAsia="Calibri" w:hAnsi="Calibri"/>
          <w:b w:val="false"/>
          <w:bCs w:val="false"/>
          <w:i/>
          <w:iCs/>
          <w:color w:val="2D6A4F"/>
          <w:sz w:val="22"/>
          <w:szCs w:val="22"/>
        </w:rPr>
        <w:t xml:space="preserve">"Tu back-office digitalizado de herencias. Tú captas y firmas; nosotros tramitamos."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Cómo fluye el dinero</w:t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3300"/>
        <w:gridCol w:w="1200"/>
        <w:gridCol w:w="745"/>
      </w:tblGrid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CLIENTE FINAL
(heredero)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6"/>
                <w:szCs w:val="26"/>
              </w:rPr>
              <w:t xml:space="preserve">→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DESPACHO
(abogado)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6"/>
                <w:szCs w:val="26"/>
              </w:rPr>
              <w:t xml:space="preserve">→</w:t>
            </w:r>
          </w:p>
        </w:tc>
        <w:tc>
          <w:tcPr>
            <w:tcW w:type="dxa" w:w="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ULPIANO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Paga PVP del paquete + comisión sobre caudal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Captura margen 46-59% sobre paquete y 65% sobre comisión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Cobra mayorista + comisión fija sobre caudal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Qué hace Ulpiano · Qué NO hace</w:t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5"/>
      </w:tblGrid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✓ SÍ HACE Ulpiano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✗ NO HACE Ulpiano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Generación automática de borradores documentales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Asesoramiento jurídico al cliente final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Obtención de certificados (defunción, voluntades, seguros)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Defensa procesal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Borradores de inscripción registral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Trámite presencial notarial — declaración de herederos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Trámite efectivo de inscripciones registrales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Trámite presencial notarial — aceptación de herencia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Presentación de Modelo 660 en sede AEAT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 del cuaderno particional en nombre del cliente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Presentación de Modelos 650 (por beneficiario)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Decisión sobre criterio jurídico del expediente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Tramitación Modelo S05 (prórroga)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Relación contractual directa con el heredero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Aplazamientos de deuda tributaria (add-on)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Cobro al cliente final (lo hace el despacho)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Pensiones de viudedad/orfandad (add-on)</w:t>
            </w:r>
          </w:p>
        </w:tc>
        <w:tc>
          <w:tcPr>
            <w:tcW w:type="dxa" w:w="48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Mantener póliza de RC profesional del despacho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6"/>
          <w:szCs w:val="36"/>
        </w:rPr>
        <w:t xml:space="preserve">02 · Resumen económico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Vista mixta: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mayorista que Ulpiano cobra al despacho + PVP que el despacho aplica al cliente final + comisiones.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5"/>
        <w:gridCol w:w="2200"/>
        <w:gridCol w:w="2200"/>
        <w:gridCol w:w="2200"/>
      </w:tblGrid>
      <w:tr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BÁSICO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COMPLETO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COMPLEJO</w:t>
            </w:r>
          </w:p>
        </w:tc>
      </w:tr>
      <w:tr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PVP Despacho → Cliente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8"/>
                <w:szCs w:val="28"/>
              </w:rPr>
              <w:t xml:space="preserve">850 €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8"/>
                <w:szCs w:val="28"/>
              </w:rPr>
              <w:t xml:space="preserve">1.150 €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8"/>
                <w:szCs w:val="28"/>
              </w:rPr>
              <w:t xml:space="preserve">1.750 €</w:t>
            </w:r>
          </w:p>
        </w:tc>
      </w:tr>
      <w:tr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Mayorista Ulpiano → Despacho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8"/>
                <w:szCs w:val="28"/>
              </w:rPr>
              <w:t xml:space="preserve">350 €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8"/>
                <w:szCs w:val="28"/>
              </w:rPr>
              <w:t xml:space="preserve">595 €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8"/>
                <w:szCs w:val="28"/>
              </w:rPr>
              <w:t xml:space="preserve">950 €</w:t>
            </w:r>
          </w:p>
        </w:tc>
      </w:tr>
      <w:tr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Margen del despacho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500 € / 59 %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555 € / 48 %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800 € / 46 %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Comisión sobre caudal hereditario (Opción B)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Ulpiano factura al despacho un porcentaje fijo sobre el caudal hereditario neto registrado en plataforma. Sin caps. El despacho decide libremente qué cobrar al cliente final (PVP sugerido 5% / 3,5% / 2%).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5"/>
        <w:gridCol w:w="2200"/>
        <w:gridCol w:w="2200"/>
        <w:gridCol w:w="2200"/>
      </w:tblGrid>
      <w:tr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BÁSICO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COMPLETO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COMPLEJO</w:t>
            </w:r>
          </w:p>
        </w:tc>
      </w:tr>
      <w:tr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Comisión Despacho → Cliente (sugerida)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6"/>
                <w:szCs w:val="26"/>
              </w:rPr>
              <w:t xml:space="preserve">5,0 %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6"/>
                <w:szCs w:val="26"/>
              </w:rPr>
              <w:t xml:space="preserve">3,5 %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6"/>
                <w:szCs w:val="26"/>
              </w:rPr>
              <w:t xml:space="preserve">2,0 %</w:t>
            </w:r>
          </w:p>
        </w:tc>
      </w:tr>
      <w:tr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Comisión Ulpiano → Despacho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6"/>
                <w:szCs w:val="26"/>
              </w:rPr>
              <w:t xml:space="preserve">1,75 %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6"/>
                <w:szCs w:val="26"/>
              </w:rPr>
              <w:t xml:space="preserve">1,225 %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6"/>
                <w:szCs w:val="26"/>
              </w:rPr>
              <w:t xml:space="preserve">0,7 %</w:t>
            </w:r>
          </w:p>
        </w:tc>
      </w:tr>
      <w:tr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Margen despacho sobre comisión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65 %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65 %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65 %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2"/>
          <w:szCs w:val="22"/>
        </w:rPr>
        <w:t xml:space="preserve">Cláusula clave: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2"/>
          <w:szCs w:val="22"/>
        </w:rPr>
        <w:t xml:space="preserve">el caudal hereditario neto a efectos de comisión es el caudal declarado a Hacienda en Modelo 660. En caso de discrepancia con la cifra en plataforma, prevalece la del Modelo 660 (cláusula contractual obligatoria).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6"/>
          <w:szCs w:val="36"/>
        </w:rPr>
        <w:t xml:space="preserve">03 · Ejemplos numéricos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Casos prácticos para visualizar la mecánica completa de facturación.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Ejemplo 1 · Herencia de 500.000 € · Paquete BÁSICO</w:t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2440"/>
        <w:gridCol w:w="2435"/>
      </w:tblGrid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Ulpiano → Despacho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Despacho → Cliente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Paquete Básico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350,00 €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850,00 €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Comisión sobre caudal (1,75% / 5%)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8.750,00 €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25.000,00 €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4"/>
                <w:szCs w:val="24"/>
              </w:rPr>
              <w:t xml:space="preserve">TOTAL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4"/>
                <w:szCs w:val="24"/>
              </w:rPr>
              <w:t xml:space="preserve">9.100,00 €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4"/>
                <w:szCs w:val="24"/>
              </w:rPr>
              <w:t xml:space="preserve">25.850,00 €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2"/>
          <w:szCs w:val="22"/>
        </w:rPr>
        <w:t xml:space="preserve">Margen del despacho: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25.850 € − 9.100 € = </w:t>
      </w: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16.750 € (64,8 %)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Ejemplo 2 · Herencia de 2.000.000 € · Paquete COMPLEJO</w:t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2440"/>
        <w:gridCol w:w="2435"/>
      </w:tblGrid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Ulpiano → Despacho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Despacho → Cliente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Paquete Complejo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950,00 €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1.750,00 €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Comisión sobre caudal (0,7% / 2%)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14.000,00 €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40.000,00 €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4"/>
                <w:szCs w:val="24"/>
              </w:rPr>
              <w:t xml:space="preserve">TOTAL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4"/>
                <w:szCs w:val="24"/>
              </w:rPr>
              <w:t xml:space="preserve">14.950,00 €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4"/>
                <w:szCs w:val="24"/>
              </w:rPr>
              <w:t xml:space="preserve">41.750,00 €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2"/>
          <w:szCs w:val="22"/>
        </w:rPr>
        <w:t xml:space="preserve">Margen del despacho: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41.750 € − 14.950 € = </w:t>
      </w: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26.800 € (64,2 %)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Ejemplo 3 · Herencia de 180.000 € · Paquete COMPLETO</w:t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2440"/>
        <w:gridCol w:w="2435"/>
      </w:tblGrid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Ulpiano → Despacho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Despacho → Cliente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Paquete Completo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595,00 €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1.150,00 €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Comisión sobre caudal (1,225% / 3,5%)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2.205,00 €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2"/>
                <w:szCs w:val="22"/>
              </w:rPr>
              <w:t xml:space="preserve">6.300,00 €</w:t>
            </w:r>
          </w:p>
        </w:tc>
      </w:tr>
      <w:tr>
        <w:tc>
          <w:tcPr>
            <w:tcW w:type="dxa" w:w="48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4"/>
                <w:szCs w:val="24"/>
              </w:rPr>
              <w:t xml:space="preserve">TOTAL</w:t>
            </w:r>
          </w:p>
        </w:tc>
        <w:tc>
          <w:tcPr>
            <w:tcW w:type="dxa" w:w="2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4"/>
                <w:szCs w:val="24"/>
              </w:rPr>
              <w:t xml:space="preserve">2.800,00 €</w:t>
            </w:r>
          </w:p>
        </w:tc>
        <w:tc>
          <w:tcPr>
            <w:tcW w:type="dxa" w:w="24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4"/>
                <w:szCs w:val="24"/>
              </w:rPr>
              <w:t xml:space="preserve">7.450,00 €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2"/>
          <w:szCs w:val="22"/>
        </w:rPr>
        <w:t xml:space="preserve">Margen del despacho: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7.450 € − 2.800 € = </w:t>
      </w: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4.650 € (62,4 %)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6"/>
          <w:szCs w:val="36"/>
        </w:rPr>
        <w:t xml:space="preserve">04 · Servicios incluidos por paquete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Tabla completa de servicios, límites incluidos y tarifas extras. Las dos últimas columnas son las tarifas para servicios fuera del paquete o que superan el límite incluido.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5"/>
        <w:gridCol w:w="800"/>
        <w:gridCol w:w="900"/>
        <w:gridCol w:w="900"/>
        <w:gridCol w:w="2300"/>
        <w:gridCol w:w="2100"/>
      </w:tblGrid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Básico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Completo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Complejo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D6A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PVP extra Despacho→Cliente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Mayorista extra Ulpiano→Desp.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Creación inventario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Sin límite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Sin límite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Sin límite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Árbol familiar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Sin límite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Sin límite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Sin límite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Certificados (def./voluntades/seguros)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3 incl.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3 incl.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5 incl.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50 €/cert.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12 €/cert.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Borrador declaración herederos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0 € (auto)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Borrador documento aceptación herencia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0 € (auto)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Borrador inscripción registral por bien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75 €/bien extra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18 €/bien extra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Trámite presencial decl. herederos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NO Ulpiano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NO Ulpiano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NO Ulpiano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Trámite presencial aceptación herencia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NO Ulpiano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NO Ulpiano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NO Ulpiano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Trámite inscripción registral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150 €/extra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35 €/extra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Presentación Modelo 660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Presentación Modelo 650 (por beneficiario)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150 €/extra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30 €/extra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Presentación Modelo S05 (prórroga)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Incluido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200 € (si Básico)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60 € (si Básico)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Nº máx. herederos / legatarios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75 €/extra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18 €/extra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Nº máx. inmuebles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150 €/extra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35 €/extra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Nº máx. bienes muebles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75 €/extra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18 €/extra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Nº máx. plusvalías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150 €/extra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35 €/extra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Nº máx. seguros de vida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100 €/extra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25 €/extra</w:t>
            </w:r>
          </w:p>
        </w:tc>
      </w:tr>
      <w:tr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Nº máx. escenarios fiscales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6"/>
                <w:szCs w:val="16"/>
              </w:rPr>
              <w:t xml:space="preserve">Ilim.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75 €/extra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6"/>
                <w:szCs w:val="16"/>
              </w:rPr>
              <w:t xml:space="preserve">18 €/extra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6"/>
          <w:szCs w:val="36"/>
        </w:rPr>
        <w:t xml:space="preserve">05 · Add-ons separados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Servicios opt-in disponibles para cualquier paquete Back-Office. Se contratan en momento de necesidad y se facturan al despacho con su propia línea.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Aplazamiento de deuda tributaria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Sacado del paquete porque los aplazamientos &gt; 50.000 € requieren garantía (aval o hipoteca) y procedimiento largo. Trabajo no comparable con la tramitación sucesoria estándar.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5"/>
        <w:gridCol w:w="3250"/>
        <w:gridCol w:w="3250"/>
      </w:tblGrid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APLAZAMIENTO SIMPLE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APLAZAMIENTO CON GARANTÍA</w:t>
            </w:r>
          </w:p>
        </w:tc>
      </w:tr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Cuándo aplica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Deuda &lt; 50.000 €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Deuda &gt; 50.000 €</w:t>
            </w:r>
          </w:p>
        </w:tc>
      </w:tr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PVP sugerido Despacho → Cliente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350-500 €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800-1.500 €</w:t>
            </w:r>
          </w:p>
        </w:tc>
      </w:tr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Mayorista Ulpiano → Despacho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120 €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350 € + 1 % sobre cuantía</w:t>
            </w:r>
          </w:p>
        </w:tc>
      </w:tr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Comisión éxito Ulpiano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0,5 % sobre cuantía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Pensiones de viudedad / orfandad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Trámite outsourceado a precio fijo por pensión. Servicio orientado a gestorías y abogados-gestores con derecho de pensión asociado a la herencia (Seguridad Social: TGSS / INSS).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5"/>
        <w:gridCol w:w="3250"/>
        <w:gridCol w:w="3250"/>
      </w:tblGrid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PENSIÓN SIMPLE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PENSIÓN COMPLEJA</w:t>
            </w:r>
          </w:p>
        </w:tc>
      </w:tr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Tipo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Viudedad / orfandad estándar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Incompatibilidades, cobros indebidos, recursos</w:t>
            </w:r>
          </w:p>
        </w:tc>
      </w:tr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PVP sugerido Despacho → Cliente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500 €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700 €</w:t>
            </w:r>
          </w:p>
        </w:tc>
      </w:tr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Mayorista Ulpiano → Despacho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200 €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280 €</w:t>
            </w:r>
          </w:p>
        </w:tc>
      </w:tr>
      <w:tr>
        <w:tc>
          <w:tcPr>
            <w:tcW w:type="dxa" w:w="3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Tiempo medio operativo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~3-4 h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~5-6 h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2"/>
          <w:szCs w:val="22"/>
        </w:rPr>
        <w:t xml:space="preserve">Nota: 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el mayorista de Pensiones está pendiente de validación con dos casos reales (workstream #10).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6"/>
          <w:szCs w:val="36"/>
        </w:rPr>
        <w:t xml:space="preserve">06 · Notas de uso interno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Variable SaaS vs servicio outsourceado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Cuando el despacho genera y presenta él mismo el modelo desde la plataforma SaaS (autoservicio), paga el variable SaaS post-cuota: 15 € / 9 € / 5 € por modelo según tier.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Cuando Ulpiano presenta efectivamente el modelo en sede AEAT (servicio outsourceado), cobra 30 € mayorista al despacho y el despacho cobra 150 € al cliente final. El 2× del precio reside en el trabajo humano de presentación efectiva (carga, validación de NRC, follow-up). Ambas tarifas conviven sin solapamiento.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Productización para el despacho — Kit de venta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 despacho que contrate Ulpiano Back-Office recibe: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Plantilla de presupuesto personalizable con logo y firma del despacho.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Hoja explicativa del paquete para el cliente final (qué incluye, en qué se diferencia).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Calculadora de honorarios: input expediente → output presupuesto recomendado.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Acceso a kit completo de marca en el portal del despacho (Avanzado y Pro).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Aprobación de descuentos sobre mayorista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Hasta –15 %: aplicable directamente por fundador en negociación con despacho.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&gt;15 %: requiere conversación con socio, documentado en deal stage de HubSpot.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Early Adopter (–25 % lifetime, lock): solo primeros 20 paying customers hasta 31 dic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Colegio profesional (–15 %): por acuerdo institucional con ICAB, ICAGI, ICAM, Notariat Català.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Hipótesis pendientes de validar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Coste operativo Back-Office: asumido 6h / 9h / 14h a 30 €/h interno. Acción: registrar horas reales en los próximos 5 expedientes por paquete (workstream #9).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Pensiones — precio mayorista: validar con dos casos reales antes de pricing público (workstream #10).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Margen del despacho sobre paquete: 46-59% objetivo. Si en validación queda por debajo del 40%, recalibrar mayorista.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8"/>
          <w:szCs w:val="28"/>
        </w:rPr>
        <w:t xml:space="preserve">Workstreams legales bloqueantes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Contrato marco Despacho-Ulpiano: brief redactado, pendiente clausulado firmable con abogado mercantil.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Cláusula RGPD tipo para que el despacho la incorpore en su propio contrato de honorarios con el cliente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Adenda Early Adopter para los primeros 20 paying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Sociedad mercantil firmante constituida y poderes vigentes (bloqueante crítico).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Ulpiano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Página </w:t>
    </w:r>
    <w:r>
      <w:rPr>
        <w:rFonts w:ascii="Calibri" w:cs="Calibri" w:eastAsia="Calibri" w:hAnsi="Calibri"/>
        <w:b/>
        <w:bCs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4"/>
        <w:szCs w:val="14"/>
      </w:rPr>
      <w:t xml:space="preserve"> de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F1F3D"/>
        <w:sz w:val="16"/>
        <w:szCs w:val="16"/>
      </w:rPr>
      <w:t xml:space="preserve">ULPIANO BACK-OFFICE</w:t>
    </w:r>
    <w:r>
      <w:rPr>
        <w:rFonts w:ascii="Calibri" w:cs="Calibri" w:eastAsia="Calibri" w:hAnsi="Calibri"/>
        <w:color w:val="64748B"/>
        <w:sz w:val="16"/>
        <w:szCs w:val="16"/>
      </w:rPr>
      <w:t xml:space="preserve">  ·  Tarifas internas y PVP sugerido</w:t>
    </w:r>
    <w:r>
      <w:rPr>
        <w:rFonts w:ascii="Calibri" w:cs="Calibri" w:eastAsia="Calibri" w:hAnsi="Calibri"/>
        <w:color w:val="64748B"/>
        <w:sz w:val="16"/>
        <w:szCs w:val="16"/>
      </w:rPr>
      <w:t xml:space="preserve">	v1.1 —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1F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Ulpiano Back-Office — Tarifas mixtas</dc:title>
  <dc:creator>Ulpiano</dc:creator>
  <cp:lastModifiedBy>Un-named</cp:lastModifiedBy>
  <cp:revision>1</cp:revision>
  <dcterms:created xsi:type="dcterms:W3CDTF">2026-05-17T09:14:45.044Z</dcterms:created>
  <dcterms:modified xsi:type="dcterms:W3CDTF">2026-05-17T09:14:45.045Z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