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1B3A6B"/>
          <w:sz w:val="52"/>
          <w:szCs w:val="52"/>
        </w:rPr>
        <w:t xml:space="preserve">ULPIANO</w:t>
      </w:r>
    </w:p>
    <w:p>
      <w:pPr>
        <w:spacing w:before="120"/>
        <w:jc w:val="center"/>
      </w:pPr>
      <w:r>
        <w:rPr>
          <w:rFonts w:ascii="Arial" w:cs="Arial" w:eastAsia="Arial" w:hAnsi="Arial"/>
          <w:color w:val="0E7C7B"/>
          <w:sz w:val="32"/>
          <w:szCs w:val="32"/>
        </w:rPr>
        <w:t xml:space="preserve">Análisis Estratégico de Buyer Personas</w:t>
      </w:r>
    </w:p>
    <w:p>
      <w:pPr>
        <w:spacing w:before="120" w:after="800"/>
        <w:jc w:val="center"/>
      </w:pPr>
      <w:r>
        <w:rPr>
          <w:rFonts w:ascii="Arial" w:cs="Arial" w:eastAsia="Arial" w:hAnsi="Arial"/>
          <w:i/>
          <w:iCs/>
          <w:color w:val="6B7280"/>
          <w:sz w:val="22"/>
          <w:szCs w:val="22"/>
        </w:rPr>
        <w:t xml:space="preserve">Segmentos: Notarías · Despachos · Asesorías · Family Office · Funerarias · Aseguradoras</w:t>
      </w:r>
    </w:p>
    <w:p>
      <w:pPr>
        <w:pBdr>
          <w:bottom w:val="single" w:color="0E7C7B" w:sz="4" w:space="2"/>
        </w:pBdr>
        <w:spacing w:before="0" w:after="400"/>
        <w:jc w:val="center"/>
      </w:pPr>
      <w:r>
        <w:t xml:space="preserve"/>
      </w:r>
    </w:p>
    <w:p>
      <w:pPr>
        <w:jc w:val="center"/>
      </w:pPr>
      <w:r>
        <w:rPr>
          <w:rFonts w:ascii="Arial" w:cs="Arial" w:eastAsia="Arial" w:hAnsi="Arial"/>
          <w:color w:val="6B7280"/>
          <w:sz w:val="18"/>
          <w:szCs w:val="18"/>
        </w:rPr>
        <w:t xml:space="preserve">Versión 1.0  ·  Marzo 2026  ·  Confidencial</w:t>
      </w:r>
    </w:p>
    <w:p>
      <w:r>
        <w:br w:type="page"/>
      </w:r>
    </w:p>
    <w:p>
      <w:pPr>
        <w:pStyle w:val="Heading1"/>
        <w:pBdr>
          <w:bottom w:val="single" w:color="0E7C7B" w:sz="8" w:space="4"/>
        </w:pBdr>
        <w:spacing w:before="320" w:after="160"/>
      </w:pPr>
      <w:r>
        <w:rPr>
          <w:rFonts w:ascii="Arial" w:cs="Arial" w:eastAsia="Arial" w:hAnsi="Arial"/>
          <w:b/>
          <w:bCs/>
          <w:color w:val="1B3A6B"/>
          <w:sz w:val="32"/>
          <w:szCs w:val="32"/>
        </w:rPr>
        <w:t xml:space="preserve">Introducción y Marco Metodológico</w:t>
      </w:r>
    </w:p>
    <w:p>
      <w:pPr>
        <w:spacing w:before="60" w:after="60"/>
      </w:pPr>
      <w:r>
        <w:rPr>
          <w:rFonts w:ascii="Arial" w:cs="Arial" w:eastAsia="Arial" w:hAnsi="Arial"/>
          <w:b w:val="false"/>
          <w:bCs w:val="false"/>
          <w:color w:val="1F2937"/>
          <w:sz w:val="20"/>
          <w:szCs w:val="20"/>
        </w:rPr>
        <w:t xml:space="preserve">Este documento define los perfiles de buyer persona para cada uno de los seis segmentos objetivo de Ulpiano. El objetivo es proporcionar perfiles accionables para marketing, ventas y desarrollo de producto, yendo más allá de las descripciones genéricas hacia una caracterización conductual y motivacional de cada perfil.</w:t>
      </w:r>
    </w:p>
    <w:p>
      <w:pPr>
        <w:spacing w:before="120" w:after="0"/>
      </w:pPr>
      <w:r>
        <w:t xml:space="preserve"/>
      </w:r>
    </w:p>
    <w:p>
      <w:pPr>
        <w:spacing w:before="60" w:after="60"/>
      </w:pPr>
      <w:r>
        <w:rPr>
          <w:rFonts w:ascii="Arial" w:cs="Arial" w:eastAsia="Arial" w:hAnsi="Arial"/>
          <w:b w:val="false"/>
          <w:bCs w:val="false"/>
          <w:color w:val="1F2937"/>
          <w:sz w:val="20"/>
          <w:szCs w:val="20"/>
        </w:rPr>
        <w:t xml:space="preserve">Para cada segmento se identifican entre 2 y 4 personas relevantes, estructuradas según: perfil profesional, objetivos, pain points, motivaciones de compra, objeciones, nivel de digitalización y proceso de decisión. Al final del documento se incluye una tabla comparativa inter-segmental.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r>
              <w:rPr>
                <w:rFonts w:ascii="Arial" w:cs="Arial" w:eastAsia="Arial" w:hAnsi="Arial"/>
                <w:b/>
                <w:bCs/>
                <w:color w:val="C8D8F0"/>
                <w:sz w:val="18"/>
                <w:szCs w:val="18"/>
              </w:rPr>
              <w:t xml:space="preserve">SEGMENTO 01</w:t>
            </w:r>
          </w:p>
          <w:p>
            <w:pPr>
              <w:spacing w:before="60"/>
            </w:pPr>
            <w:r>
              <w:rPr>
                <w:rFonts w:ascii="Arial" w:cs="Arial" w:eastAsia="Arial" w:hAnsi="Arial"/>
                <w:b/>
                <w:bCs/>
                <w:color w:val="FFFFFF"/>
                <w:sz w:val="36"/>
                <w:szCs w:val="36"/>
              </w:rPr>
              <w:t xml:space="preserve">Notarías</w:t>
            </w:r>
          </w:p>
          <w:p>
            <w:pPr>
              <w:spacing w:before="60"/>
            </w:pPr>
            <w:r>
              <w:rPr>
                <w:rFonts w:ascii="Arial" w:cs="Arial" w:eastAsia="Arial" w:hAnsi="Arial"/>
                <w:i/>
                <w:iCs/>
                <w:color w:val="CBD5E1"/>
                <w:sz w:val="20"/>
                <w:szCs w:val="20"/>
              </w:rPr>
              <w:t xml:space="preserve">~467 notarías en Cataluña · ~2.749 en España · Enfoque operativo-documental</w:t>
            </w:r>
          </w:p>
        </w:tc>
      </w:tr>
    </w:tbl>
    <w:p>
      <w:pPr>
        <w:spacing w:before="200" w:after="0"/>
      </w:pPr>
      <w:r>
        <w:t xml:space="preserve"/>
      </w:r>
    </w:p>
    <w:p>
      <w:pPr>
        <w:spacing w:before="60" w:after="60"/>
      </w:pPr>
      <w:r>
        <w:rPr>
          <w:rFonts w:ascii="Arial" w:cs="Arial" w:eastAsia="Arial" w:hAnsi="Arial"/>
          <w:b w:val="false"/>
          <w:bCs w:val="false"/>
          <w:color w:val="1F2937"/>
          <w:sz w:val="20"/>
          <w:szCs w:val="20"/>
        </w:rPr>
        <w:t xml:space="preserve">Las notarías constituyen el nodo obligatorio del proceso sucesorio: ninguna herencia se formaliza sin escritura notarial. Esto las posiciona como un segmento con altísimo volumen de contacto con expedientes sucesorios, aunque su rol es diferente al del despacho de abogados: son ejecutores protocolares, no asesores de planificación. La propuesta de valor de Ulpiano debe articularse en torno a la reducción del trabajo administrativo previo a la firma y la fidelización del cliente entre testamento y apertura de la sucesión.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B3A6B" w:sz="1"/>
              <w:left w:val="single" w:color="1B3A6B" w:sz="1"/>
              <w:bottom w:val="single" w:color="1B3A6B" w:sz="1"/>
              <w:right w:val="single" w:color="1B3A6B" w:sz="1"/>
            </w:tcBorders>
            <w:shd w:fill="1B3A6B" w:val="clear"/>
            <w:tcMar>
              <w:top w:type="dxa" w:w="120"/>
              <w:left w:type="dxa" w:w="200"/>
              <w:bottom w:type="dxa" w:w="120"/>
              <w:right w:type="dxa" w:w="200"/>
            </w:tcMar>
          </w:tcPr>
          <w:p>
            <w:r>
              <w:rPr>
                <w:rFonts w:ascii="Arial" w:cs="Arial" w:eastAsia="Arial" w:hAnsi="Arial"/>
                <w:b/>
                <w:bCs/>
                <w:color w:val="FFFFFF"/>
                <w:sz w:val="26"/>
                <w:szCs w:val="26"/>
              </w:rPr>
              <w:t xml:space="preserve">N1 — El Notario Titular Eficientista</w:t>
            </w:r>
          </w:p>
          <w:p>
            <w:pPr>
              <w:spacing w:before="40"/>
            </w:pPr>
            <w:r>
              <w:rPr>
                <w:rFonts w:ascii="Arial" w:cs="Arial" w:eastAsia="Arial" w:hAnsi="Arial"/>
                <w:color w:val="E2E8F0"/>
                <w:sz w:val="20"/>
                <w:szCs w:val="20"/>
              </w:rPr>
              <w:t xml:space="preserve">Notario titular / Responsable de despacho  ·  Notaría unipersonal o de 2-3 notarios, zona urbana media o provincial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Notario con 15-25 años de ejercicio. Lleva personalmente la cartera de clientes y supervisa al equipo administrativo (2-4 personas). Gestiona 80-150 expedientes sucesorios anuales. Tiene autonomía total de decisión sobre herramientas y proveedores.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Reducir el cuello de botella administrativo previo a la firma de escrituras</w:t>
            </w:r>
          </w:p>
          <w:p>
            <w:pPr>
              <w:pStyle w:val="ListParagraph"/>
              <w:numPr>
                <w:ilvl w:val="0"/>
                <w:numId w:val="2"/>
              </w:numPr>
              <w:spacing w:before="30" w:after="30"/>
            </w:pPr>
            <w:r>
              <w:rPr>
                <w:rFonts w:ascii="Arial" w:cs="Arial" w:eastAsia="Arial" w:hAnsi="Arial"/>
                <w:sz w:val="19"/>
                <w:szCs w:val="19"/>
              </w:rPr>
              <w:t xml:space="preserve">Mantener una relación activa con el testador entre el otorgamiento y el fallecimiento</w:t>
            </w:r>
          </w:p>
          <w:p>
            <w:pPr>
              <w:pStyle w:val="ListParagraph"/>
              <w:numPr>
                <w:ilvl w:val="0"/>
                <w:numId w:val="2"/>
              </w:numPr>
              <w:spacing w:before="30" w:after="30"/>
            </w:pPr>
            <w:r>
              <w:rPr>
                <w:rFonts w:ascii="Arial" w:cs="Arial" w:eastAsia="Arial" w:hAnsi="Arial"/>
                <w:sz w:val="19"/>
                <w:szCs w:val="19"/>
              </w:rPr>
              <w:t xml:space="preserve">Aumentar la rentabilidad por expediente sin incrementar plantilla</w:t>
            </w:r>
          </w:p>
          <w:p>
            <w:pPr>
              <w:pStyle w:val="ListParagraph"/>
              <w:numPr>
                <w:ilvl w:val="0"/>
                <w:numId w:val="2"/>
              </w:numPr>
              <w:spacing w:before="30" w:after="30"/>
            </w:pPr>
            <w:r>
              <w:rPr>
                <w:rFonts w:ascii="Arial" w:cs="Arial" w:eastAsia="Arial" w:hAnsi="Arial"/>
                <w:sz w:val="19"/>
                <w:szCs w:val="19"/>
              </w:rPr>
              <w:t xml:space="preserve">Posicionarse como notaría de referencia en planificación sucesoria en su zona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El intervalo entre testamento y apertura de sucesión puede durar décadas: el cliente 'desaparece' hasta que mueren y vuelven los herederos</w:t>
            </w:r>
          </w:p>
          <w:p>
            <w:pPr>
              <w:pStyle w:val="ListParagraph"/>
              <w:numPr>
                <w:ilvl w:val="0"/>
                <w:numId w:val="2"/>
              </w:numPr>
              <w:spacing w:before="30" w:after="30"/>
            </w:pPr>
            <w:r>
              <w:rPr>
                <w:rFonts w:ascii="Arial" w:cs="Arial" w:eastAsia="Arial" w:hAnsi="Arial"/>
                <w:sz w:val="19"/>
                <w:szCs w:val="19"/>
              </w:rPr>
              <w:t xml:space="preserve">Recibe expedientes incompletos desde despachos de abogados o familias, lo que retrasa la firma y genera fricción</w:t>
            </w:r>
          </w:p>
          <w:p>
            <w:pPr>
              <w:pStyle w:val="ListParagraph"/>
              <w:numPr>
                <w:ilvl w:val="0"/>
                <w:numId w:val="2"/>
              </w:numPr>
              <w:spacing w:before="30" w:after="30"/>
            </w:pPr>
            <w:r>
              <w:rPr>
                <w:rFonts w:ascii="Arial" w:cs="Arial" w:eastAsia="Arial" w:hAnsi="Arial"/>
                <w:sz w:val="19"/>
                <w:szCs w:val="19"/>
              </w:rPr>
              <w:t xml:space="preserve">Alto volumen de consultas repetitivas de herederos sobre documentación necesaria</w:t>
            </w:r>
          </w:p>
          <w:p>
            <w:pPr>
              <w:pStyle w:val="ListParagraph"/>
              <w:numPr>
                <w:ilvl w:val="0"/>
                <w:numId w:val="2"/>
              </w:numPr>
              <w:spacing w:before="30" w:after="30"/>
            </w:pPr>
            <w:r>
              <w:rPr>
                <w:rFonts w:ascii="Arial" w:cs="Arial" w:eastAsia="Arial" w:hAnsi="Arial"/>
                <w:sz w:val="19"/>
                <w:szCs w:val="19"/>
              </w:rPr>
              <w:t xml:space="preserve">Carga administrativa de recopilación de inventario de bienes, deudas y documentación fiscal antes del protocolo</w:t>
            </w:r>
          </w:p>
          <w:p>
            <w:pPr>
              <w:pStyle w:val="ListParagraph"/>
              <w:numPr>
                <w:ilvl w:val="0"/>
                <w:numId w:val="2"/>
              </w:numPr>
              <w:spacing w:before="30" w:after="30"/>
            </w:pPr>
            <w:r>
              <w:rPr>
                <w:rFonts w:ascii="Arial" w:cs="Arial" w:eastAsia="Arial" w:hAnsi="Arial"/>
                <w:sz w:val="19"/>
                <w:szCs w:val="19"/>
              </w:rPr>
              <w:t xml:space="preserve">En zonas con residentes extranjeros (p.ej. Costa Brava): dificultad para aplicar el Reglamento 650/2012 sin herramientas de apoyo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Herramienta que le permita ofrecer un servicio de 'mantenimiento del testamento' y mantener la relación activa con el cliente-testador</w:t>
            </w:r>
          </w:p>
          <w:p>
            <w:pPr>
              <w:pStyle w:val="ListParagraph"/>
              <w:numPr>
                <w:ilvl w:val="0"/>
                <w:numId w:val="2"/>
              </w:numPr>
              <w:spacing w:before="30" w:after="30"/>
            </w:pPr>
            <w:r>
              <w:rPr>
                <w:rFonts w:ascii="Arial" w:cs="Arial" w:eastAsia="Arial" w:hAnsi="Arial"/>
                <w:sz w:val="19"/>
                <w:szCs w:val="19"/>
              </w:rPr>
              <w:t xml:space="preserve">Reducción del tiempo de preparación del expediente antes de la firma</w:t>
            </w:r>
          </w:p>
          <w:p>
            <w:pPr>
              <w:pStyle w:val="ListParagraph"/>
              <w:numPr>
                <w:ilvl w:val="0"/>
                <w:numId w:val="2"/>
              </w:numPr>
              <w:spacing w:before="30" w:after="30"/>
            </w:pPr>
            <w:r>
              <w:rPr>
                <w:rFonts w:ascii="Arial" w:cs="Arial" w:eastAsia="Arial" w:hAnsi="Arial"/>
                <w:sz w:val="19"/>
                <w:szCs w:val="19"/>
              </w:rPr>
              <w:t xml:space="preserve">Diferenciación frente a notarías competidoras del distrito mediante servicios digitales</w:t>
            </w:r>
          </w:p>
          <w:p>
            <w:pPr>
              <w:pStyle w:val="ListParagraph"/>
              <w:numPr>
                <w:ilvl w:val="0"/>
                <w:numId w:val="2"/>
              </w:numPr>
              <w:spacing w:before="30" w:after="30"/>
            </w:pPr>
            <w:r>
              <w:rPr>
                <w:rFonts w:ascii="Arial" w:cs="Arial" w:eastAsia="Arial" w:hAnsi="Arial"/>
                <w:sz w:val="19"/>
                <w:szCs w:val="19"/>
              </w:rPr>
              <w:t xml:space="preserve">Posibilidad de automatizar comunicaciones con herederos tras fallecimiento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'La notaría no puede asesorar en planificación patrimonial: eso es terreno del abogado' → objeción de rol</w:t>
            </w:r>
          </w:p>
          <w:p>
            <w:pPr>
              <w:pStyle w:val="ListParagraph"/>
              <w:numPr>
                <w:ilvl w:val="0"/>
                <w:numId w:val="2"/>
              </w:numPr>
              <w:spacing w:before="30" w:after="30"/>
            </w:pPr>
            <w:r>
              <w:rPr>
                <w:rFonts w:ascii="Arial" w:cs="Arial" w:eastAsia="Arial" w:hAnsi="Arial"/>
                <w:sz w:val="19"/>
                <w:szCs w:val="19"/>
              </w:rPr>
              <w:t xml:space="preserve">'No quiero que mis clientes crean que les estoy vendiendo algo adicional' → sensibilidad deontológica</w:t>
            </w:r>
          </w:p>
          <w:p>
            <w:pPr>
              <w:pStyle w:val="ListParagraph"/>
              <w:numPr>
                <w:ilvl w:val="0"/>
                <w:numId w:val="2"/>
              </w:numPr>
              <w:spacing w:before="30" w:after="30"/>
            </w:pPr>
            <w:r>
              <w:rPr>
                <w:rFonts w:ascii="Arial" w:cs="Arial" w:eastAsia="Arial" w:hAnsi="Arial"/>
                <w:sz w:val="19"/>
                <w:szCs w:val="19"/>
              </w:rPr>
              <w:t xml:space="preserve">'¿Esto es compatible con la normativa del Consejo Notarial?' → objeción regulatoria</w:t>
            </w:r>
          </w:p>
          <w:p>
            <w:pPr>
              <w:pStyle w:val="ListParagraph"/>
              <w:numPr>
                <w:ilvl w:val="0"/>
                <w:numId w:val="2"/>
              </w:numPr>
              <w:spacing w:before="30" w:after="30"/>
            </w:pPr>
            <w:r>
              <w:rPr>
                <w:rFonts w:ascii="Arial" w:cs="Arial" w:eastAsia="Arial" w:hAnsi="Arial"/>
                <w:sz w:val="19"/>
                <w:szCs w:val="19"/>
              </w:rPr>
              <w:t xml:space="preserve">'No tengo tiempo para implementar una herramienta nueva' → objeción operativa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Nivel medio. Usa software de gestión notarial (Signo, Gestión Notarial) pero raramente herramientas de planificación o CRM. La adopción tecnológica está condicionada por las directrices del Colegio Notarial.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unilateral del titular. No hay proceso formal de evaluación. La venta se produce por recomendación de otro notario o tras una demo en un evento colegial. Ciclo corto (2-4 semanas) si hay fit inmediato. El precio no es la variable principal: lo es la seguridad jurídica de la herramienta.</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2D5A8E" w:sz="1"/>
              <w:left w:val="single" w:color="2D5A8E" w:sz="1"/>
              <w:bottom w:val="single" w:color="2D5A8E" w:sz="1"/>
              <w:right w:val="single" w:color="2D5A8E" w:sz="1"/>
            </w:tcBorders>
            <w:shd w:fill="2D5A8E" w:val="clear"/>
            <w:tcMar>
              <w:top w:type="dxa" w:w="120"/>
              <w:left w:type="dxa" w:w="200"/>
              <w:bottom w:type="dxa" w:w="120"/>
              <w:right w:type="dxa" w:w="200"/>
            </w:tcMar>
          </w:tcPr>
          <w:p>
            <w:r>
              <w:rPr>
                <w:rFonts w:ascii="Arial" w:cs="Arial" w:eastAsia="Arial" w:hAnsi="Arial"/>
                <w:b/>
                <w:bCs/>
                <w:color w:val="FFFFFF"/>
                <w:sz w:val="26"/>
                <w:szCs w:val="26"/>
              </w:rPr>
              <w:t xml:space="preserve">N2 — La Oficial Mayor de Notaría</w:t>
            </w:r>
          </w:p>
          <w:p>
            <w:pPr>
              <w:spacing w:before="40"/>
            </w:pPr>
            <w:r>
              <w:rPr>
                <w:rFonts w:ascii="Arial" w:cs="Arial" w:eastAsia="Arial" w:hAnsi="Arial"/>
                <w:color w:val="E2E8F0"/>
                <w:sz w:val="20"/>
                <w:szCs w:val="20"/>
              </w:rPr>
              <w:t xml:space="preserve">Oficial Mayor / Jefa de Administración  ·  Notaría con 5-10 empleados, zona urbana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Empleada con 10-20 años en la notaría, gestiona la tramitación operativa de todos los expedientes. En notarías más grandes es quien realmente decide qué herramientas se usan en el día a día. No tiene poder de firma pero sí tiene poder de veto informal sobre las herramientas.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Reducir el tiempo de preparación de expedientes sucesorios (recopilación de inventario, documentos, cálculos de legítimas)</w:t>
            </w:r>
          </w:p>
          <w:p>
            <w:pPr>
              <w:pStyle w:val="ListParagraph"/>
              <w:numPr>
                <w:ilvl w:val="0"/>
                <w:numId w:val="2"/>
              </w:numPr>
              <w:spacing w:before="30" w:after="30"/>
            </w:pPr>
            <w:r>
              <w:rPr>
                <w:rFonts w:ascii="Arial" w:cs="Arial" w:eastAsia="Arial" w:hAnsi="Arial"/>
                <w:sz w:val="19"/>
                <w:szCs w:val="19"/>
              </w:rPr>
              <w:t xml:space="preserve">Tener un sistema centralizado donde el cliente pueda aportar documentación sin llamadas ni desplazamientos</w:t>
            </w:r>
          </w:p>
          <w:p>
            <w:pPr>
              <w:pStyle w:val="ListParagraph"/>
              <w:numPr>
                <w:ilvl w:val="0"/>
                <w:numId w:val="2"/>
              </w:numPr>
              <w:spacing w:before="30" w:after="30"/>
            </w:pPr>
            <w:r>
              <w:rPr>
                <w:rFonts w:ascii="Arial" w:cs="Arial" w:eastAsia="Arial" w:hAnsi="Arial"/>
                <w:sz w:val="19"/>
                <w:szCs w:val="19"/>
              </w:rPr>
              <w:t xml:space="preserve">Reducir errores en la liquidación del ISD antes del protocolo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Pérdida de tiempo en llamadas a herederos pidiendo documentos repetidamente</w:t>
            </w:r>
          </w:p>
          <w:p>
            <w:pPr>
              <w:pStyle w:val="ListParagraph"/>
              <w:numPr>
                <w:ilvl w:val="0"/>
                <w:numId w:val="2"/>
              </w:numPr>
              <w:spacing w:before="30" w:after="30"/>
            </w:pPr>
            <w:r>
              <w:rPr>
                <w:rFonts w:ascii="Arial" w:cs="Arial" w:eastAsia="Arial" w:hAnsi="Arial"/>
                <w:sz w:val="19"/>
                <w:szCs w:val="19"/>
              </w:rPr>
              <w:t xml:space="preserve">Expedientes que llegan sin inventario de bienes completo o con valoraciones desactualizadas</w:t>
            </w:r>
          </w:p>
          <w:p>
            <w:pPr>
              <w:pStyle w:val="ListParagraph"/>
              <w:numPr>
                <w:ilvl w:val="0"/>
                <w:numId w:val="2"/>
              </w:numPr>
              <w:spacing w:before="30" w:after="30"/>
            </w:pPr>
            <w:r>
              <w:rPr>
                <w:rFonts w:ascii="Arial" w:cs="Arial" w:eastAsia="Arial" w:hAnsi="Arial"/>
                <w:sz w:val="19"/>
                <w:szCs w:val="19"/>
              </w:rPr>
              <w:t xml:space="preserve">Dificultad para seguir expedientes simultáneos en múltiples estados</w:t>
            </w:r>
          </w:p>
          <w:p>
            <w:pPr>
              <w:pStyle w:val="ListParagraph"/>
              <w:numPr>
                <w:ilvl w:val="0"/>
                <w:numId w:val="2"/>
              </w:numPr>
              <w:spacing w:before="30" w:after="30"/>
            </w:pPr>
            <w:r>
              <w:rPr>
                <w:rFonts w:ascii="Arial" w:cs="Arial" w:eastAsia="Arial" w:hAnsi="Arial"/>
                <w:sz w:val="19"/>
                <w:szCs w:val="19"/>
              </w:rPr>
              <w:t xml:space="preserve">Ausencia de herramientas para verificar si el testamento vigente es el último otorgado (RGAUV)</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Una herramienta que automatice la recepción de documentación del heredero/cliente</w:t>
            </w:r>
          </w:p>
          <w:p>
            <w:pPr>
              <w:pStyle w:val="ListParagraph"/>
              <w:numPr>
                <w:ilvl w:val="0"/>
                <w:numId w:val="2"/>
              </w:numPr>
              <w:spacing w:before="30" w:after="30"/>
            </w:pPr>
            <w:r>
              <w:rPr>
                <w:rFonts w:ascii="Arial" w:cs="Arial" w:eastAsia="Arial" w:hAnsi="Arial"/>
                <w:sz w:val="19"/>
                <w:szCs w:val="19"/>
              </w:rPr>
              <w:t xml:space="preserve">Panel de seguimiento de expedientes en curso</w:t>
            </w:r>
          </w:p>
          <w:p>
            <w:pPr>
              <w:pStyle w:val="ListParagraph"/>
              <w:numPr>
                <w:ilvl w:val="0"/>
                <w:numId w:val="2"/>
              </w:numPr>
              <w:spacing w:before="30" w:after="30"/>
            </w:pPr>
            <w:r>
              <w:rPr>
                <w:rFonts w:ascii="Arial" w:cs="Arial" w:eastAsia="Arial" w:hAnsi="Arial"/>
                <w:sz w:val="19"/>
                <w:szCs w:val="19"/>
              </w:rPr>
              <w:t xml:space="preserve">Integración o exportación compatible con el software notarial existente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'No sé si el notario querrá pagar por esto' → depende del titular para la aprobación</w:t>
            </w:r>
          </w:p>
          <w:p>
            <w:pPr>
              <w:pStyle w:val="ListParagraph"/>
              <w:numPr>
                <w:ilvl w:val="0"/>
                <w:numId w:val="2"/>
              </w:numPr>
              <w:spacing w:before="30" w:after="30"/>
            </w:pPr>
            <w:r>
              <w:rPr>
                <w:rFonts w:ascii="Arial" w:cs="Arial" w:eastAsia="Arial" w:hAnsi="Arial"/>
                <w:sz w:val="19"/>
                <w:szCs w:val="19"/>
              </w:rPr>
              <w:t xml:space="preserve">'Ya tenemos un sistema, aunque no funciona bien' → inercia del status quo</w:t>
            </w:r>
          </w:p>
          <w:p>
            <w:pPr>
              <w:pStyle w:val="ListParagraph"/>
              <w:numPr>
                <w:ilvl w:val="0"/>
                <w:numId w:val="2"/>
              </w:numPr>
              <w:spacing w:before="30" w:after="30"/>
            </w:pPr>
            <w:r>
              <w:rPr>
                <w:rFonts w:ascii="Arial" w:cs="Arial" w:eastAsia="Arial" w:hAnsi="Arial"/>
                <w:sz w:val="19"/>
                <w:szCs w:val="19"/>
              </w:rPr>
              <w:t xml:space="preserve">'¿Cuánto tiempo lleva la formación?' → preocupación por el onboarding</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Nivel medio-alto en operativa interna. Alta disposición a adoptar herramientas si resuelven problemas concretos. Es la 'champion' ideal dentro de la notaría.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Influenciadora crítica. Rara vez decide sola pero puede bloquear o acelerar la decisión del titular. Venta efectiva: demo práctica centrada en la reducción de trabajo administrativo repetitivo. Si ella valida, el notario suele aprobar.</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0E7C7B" w:sz="1"/>
              <w:left w:val="single" w:color="0E7C7B" w:sz="1"/>
              <w:bottom w:val="single" w:color="0E7C7B" w:sz="1"/>
              <w:right w:val="single" w:color="0E7C7B" w:sz="1"/>
            </w:tcBorders>
            <w:shd w:fill="0E7C7B" w:val="clear"/>
            <w:tcMar>
              <w:top w:type="dxa" w:w="120"/>
              <w:left w:type="dxa" w:w="200"/>
              <w:bottom w:type="dxa" w:w="120"/>
              <w:right w:type="dxa" w:w="200"/>
            </w:tcMar>
          </w:tcPr>
          <w:p>
            <w:r>
              <w:rPr>
                <w:rFonts w:ascii="Arial" w:cs="Arial" w:eastAsia="Arial" w:hAnsi="Arial"/>
                <w:b/>
                <w:bCs/>
                <w:color w:val="FFFFFF"/>
                <w:sz w:val="26"/>
                <w:szCs w:val="26"/>
              </w:rPr>
              <w:t xml:space="preserve">N3 — El Notario de Zona Turística (Perfil Girona / Costa Brava)</w:t>
            </w:r>
          </w:p>
          <w:p>
            <w:pPr>
              <w:spacing w:before="40"/>
            </w:pPr>
            <w:r>
              <w:rPr>
                <w:rFonts w:ascii="Arial" w:cs="Arial" w:eastAsia="Arial" w:hAnsi="Arial"/>
                <w:color w:val="E2E8F0"/>
                <w:sz w:val="20"/>
                <w:szCs w:val="20"/>
              </w:rPr>
              <w:t xml:space="preserve">Notario titular  ·  Notaría en municipio con alta proporción de residentes extranjeros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Notario ubicado en zona de alta concentración de residentes extranjeros (UE y no UE). Tramita regularmente herencias transfronterizas bajo el Reglamento 650/2012. Puede tener conocimiento de idiomas (inglés, francés, alemán) o contar con empleados traductores.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Gestionar eficientemente la complejidad añadida del derecho sucesorio internacional</w:t>
            </w:r>
          </w:p>
          <w:p>
            <w:pPr>
              <w:pStyle w:val="ListParagraph"/>
              <w:numPr>
                <w:ilvl w:val="0"/>
                <w:numId w:val="2"/>
              </w:numPr>
              <w:spacing w:before="30" w:after="30"/>
            </w:pPr>
            <w:r>
              <w:rPr>
                <w:rFonts w:ascii="Arial" w:cs="Arial" w:eastAsia="Arial" w:hAnsi="Arial"/>
                <w:sz w:val="19"/>
                <w:szCs w:val="19"/>
              </w:rPr>
              <w:t xml:space="preserve">Emitir Certificados Sucesorios Europeos correctamente documentados</w:t>
            </w:r>
          </w:p>
          <w:p>
            <w:pPr>
              <w:pStyle w:val="ListParagraph"/>
              <w:numPr>
                <w:ilvl w:val="0"/>
                <w:numId w:val="2"/>
              </w:numPr>
              <w:spacing w:before="30" w:after="30"/>
            </w:pPr>
            <w:r>
              <w:rPr>
                <w:rFonts w:ascii="Arial" w:cs="Arial" w:eastAsia="Arial" w:hAnsi="Arial"/>
                <w:sz w:val="19"/>
                <w:szCs w:val="19"/>
              </w:rPr>
              <w:t xml:space="preserve">Ser la notaría de referencia para extranjeros de la zona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Dificultad para determinar la ley aplicable cuando el causante tenía vínculos con varios países</w:t>
            </w:r>
          </w:p>
          <w:p>
            <w:pPr>
              <w:pStyle w:val="ListParagraph"/>
              <w:numPr>
                <w:ilvl w:val="0"/>
                <w:numId w:val="2"/>
              </w:numPr>
              <w:spacing w:before="30" w:after="30"/>
            </w:pPr>
            <w:r>
              <w:rPr>
                <w:rFonts w:ascii="Arial" w:cs="Arial" w:eastAsia="Arial" w:hAnsi="Arial"/>
                <w:sz w:val="19"/>
                <w:szCs w:val="19"/>
              </w:rPr>
              <w:t xml:space="preserve">Recopilación de documentación extranjera (certificados de defunción, apostillas, etc.) muy lenta</w:t>
            </w:r>
          </w:p>
          <w:p>
            <w:pPr>
              <w:pStyle w:val="ListParagraph"/>
              <w:numPr>
                <w:ilvl w:val="0"/>
                <w:numId w:val="2"/>
              </w:numPr>
              <w:spacing w:before="30" w:after="30"/>
            </w:pPr>
            <w:r>
              <w:rPr>
                <w:rFonts w:ascii="Arial" w:cs="Arial" w:eastAsia="Arial" w:hAnsi="Arial"/>
                <w:sz w:val="19"/>
                <w:szCs w:val="19"/>
              </w:rPr>
              <w:t xml:space="preserve">Ausencia de herramientas que modelen automáticamente si aplica ley española o extranjera según el Reglamento 650/2012</w:t>
            </w:r>
          </w:p>
          <w:p>
            <w:pPr>
              <w:pStyle w:val="ListParagraph"/>
              <w:numPr>
                <w:ilvl w:val="0"/>
                <w:numId w:val="2"/>
              </w:numPr>
              <w:spacing w:before="30" w:after="30"/>
            </w:pPr>
            <w:r>
              <w:rPr>
                <w:rFonts w:ascii="Arial" w:cs="Arial" w:eastAsia="Arial" w:hAnsi="Arial"/>
                <w:sz w:val="19"/>
                <w:szCs w:val="19"/>
              </w:rPr>
              <w:t xml:space="preserve">Clientes herederos no residentes que no pueden desplazarse fácilmente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Motor normativo que contemple el Reglamento 650/2012 y el derecho foral catalán simultáneamente</w:t>
            </w:r>
          </w:p>
          <w:p>
            <w:pPr>
              <w:pStyle w:val="ListParagraph"/>
              <w:numPr>
                <w:ilvl w:val="0"/>
                <w:numId w:val="2"/>
              </w:numPr>
              <w:spacing w:before="30" w:after="30"/>
            </w:pPr>
            <w:r>
              <w:rPr>
                <w:rFonts w:ascii="Arial" w:cs="Arial" w:eastAsia="Arial" w:hAnsi="Arial"/>
                <w:sz w:val="19"/>
                <w:szCs w:val="19"/>
              </w:rPr>
              <w:t xml:space="preserve">Portal de cliente que permita aportación remota de documentación internacional</w:t>
            </w:r>
          </w:p>
          <w:p>
            <w:pPr>
              <w:pStyle w:val="ListParagraph"/>
              <w:numPr>
                <w:ilvl w:val="0"/>
                <w:numId w:val="2"/>
              </w:numPr>
              <w:spacing w:before="30" w:after="30"/>
            </w:pPr>
            <w:r>
              <w:rPr>
                <w:rFonts w:ascii="Arial" w:cs="Arial" w:eastAsia="Arial" w:hAnsi="Arial"/>
                <w:sz w:val="19"/>
                <w:szCs w:val="19"/>
              </w:rPr>
              <w:t xml:space="preserve">Diferenciación como notaría especializada en herencias transfronterizas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'No sé si una herramienta española puede cubrir la complejidad internacional' → objeción técnica</w:t>
            </w:r>
          </w:p>
          <w:p>
            <w:pPr>
              <w:pStyle w:val="ListParagraph"/>
              <w:numPr>
                <w:ilvl w:val="0"/>
                <w:numId w:val="2"/>
              </w:numPr>
              <w:spacing w:before="30" w:after="30"/>
            </w:pPr>
            <w:r>
              <w:rPr>
                <w:rFonts w:ascii="Arial" w:cs="Arial" w:eastAsia="Arial" w:hAnsi="Arial"/>
                <w:sz w:val="19"/>
                <w:szCs w:val="19"/>
              </w:rPr>
              <w:t xml:space="preserve">'Mis clientes son extranjeros y no hablan español, ¿la plataforma es multilingüe?' → barrera idiomática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Nivel medio-alto. La complejidad de los expedientes le ha obligado a buscar herramientas más sofisticadas que la media del sector.</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propia del titular. Sensible al diferencial técnico. Se puede llegar a él a través de eventos del Colegio Notarial de Cataluña o publicaciones especializadas en derecho sucesorio internacional.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E7C7B" w:val="clear"/>
            <w:tcMar>
              <w:top w:type="dxa" w:w="200"/>
              <w:left w:type="dxa" w:w="280"/>
              <w:bottom w:type="dxa" w:w="200"/>
              <w:right w:type="dxa" w:w="280"/>
            </w:tcMar>
          </w:tcPr>
          <w:p>
            <w:r>
              <w:rPr>
                <w:rFonts w:ascii="Arial" w:cs="Arial" w:eastAsia="Arial" w:hAnsi="Arial"/>
                <w:b/>
                <w:bCs/>
                <w:color w:val="C8D8F0"/>
                <w:sz w:val="18"/>
                <w:szCs w:val="18"/>
              </w:rPr>
              <w:t xml:space="preserve">SEGMENTO 02</w:t>
            </w:r>
          </w:p>
          <w:p>
            <w:pPr>
              <w:spacing w:before="60"/>
            </w:pPr>
            <w:r>
              <w:rPr>
                <w:rFonts w:ascii="Arial" w:cs="Arial" w:eastAsia="Arial" w:hAnsi="Arial"/>
                <w:b/>
                <w:bCs/>
                <w:color w:val="FFFFFF"/>
                <w:sz w:val="36"/>
                <w:szCs w:val="36"/>
              </w:rPr>
              <w:t xml:space="preserve">Despachos de Abogados</w:t>
            </w:r>
          </w:p>
          <w:p>
            <w:pPr>
              <w:spacing w:before="60"/>
            </w:pPr>
            <w:r>
              <w:rPr>
                <w:rFonts w:ascii="Arial" w:cs="Arial" w:eastAsia="Arial" w:hAnsi="Arial"/>
                <w:i/>
                <w:iCs/>
                <w:color w:val="CBD5E1"/>
                <w:sz w:val="20"/>
                <w:szCs w:val="20"/>
              </w:rPr>
              <w:t xml:space="preserve">~4.562 despachos con práctica sucesoria en Cataluña · Enfoque legal-fiscal</w:t>
            </w:r>
          </w:p>
        </w:tc>
      </w:tr>
    </w:tbl>
    <w:p>
      <w:pPr>
        <w:spacing w:before="200" w:after="0"/>
      </w:pPr>
      <w:r>
        <w:t xml:space="preserve"/>
      </w:r>
    </w:p>
    <w:p>
      <w:pPr>
        <w:spacing w:before="60" w:after="60"/>
      </w:pPr>
      <w:r>
        <w:rPr>
          <w:rFonts w:ascii="Arial" w:cs="Arial" w:eastAsia="Arial" w:hAnsi="Arial"/>
          <w:b w:val="false"/>
          <w:bCs w:val="false"/>
          <w:color w:val="1F2937"/>
          <w:sz w:val="20"/>
          <w:szCs w:val="20"/>
        </w:rPr>
        <w:t xml:space="preserve">Los despachos de abogados son el segmento de mayor volumen y prioridad estratégica para Ulpiano. Su rol es dual: son asesores de planificación (antes del fallecimiento) y tramitadores de la herencia (después). La propuesta de valor debe articularse en torno a la eficiencia operativa, la reducción del riesgo jurídico y la fidelización del cliente. Dentro de este segmento existen subsegmentos con dinámicas de compra muy distintas.</w:t>
      </w:r>
    </w:p>
    <w:p>
      <w:pPr>
        <w:spacing w:before="120" w:after="0"/>
      </w:pPr>
      <w:r>
        <w:t xml:space="preserve"/>
      </w:r>
    </w:p>
    <w:p>
      <w:pPr>
        <w:pStyle w:val="Heading3"/>
        <w:spacing w:before="200" w:after="80"/>
      </w:pPr>
      <w:r>
        <w:rPr>
          <w:rFonts w:ascii="Arial" w:cs="Arial" w:eastAsia="Arial" w:hAnsi="Arial"/>
          <w:b/>
          <w:bCs/>
          <w:color w:val="0E7C7B"/>
          <w:sz w:val="22"/>
          <w:szCs w:val="22"/>
        </w:rPr>
        <w:t xml:space="preserve">Subsegmentos identificados</w:t>
      </w:r>
    </w:p>
    <w:p>
      <w:pPr>
        <w:pStyle w:val="ListParagraph"/>
        <w:numPr>
          <w:ilvl w:val="0"/>
          <w:numId w:val="2"/>
        </w:numPr>
        <w:spacing w:before="40" w:after="40"/>
      </w:pPr>
      <w:r>
        <w:rPr>
          <w:rFonts w:ascii="Arial" w:cs="Arial" w:eastAsia="Arial" w:hAnsi="Arial"/>
          <w:b/>
          <w:bCs/>
          <w:sz w:val="20"/>
          <w:szCs w:val="20"/>
        </w:rPr>
        <w:t xml:space="preserve">Despacho boutique especializado en sucesiones (1-5 abogados, alta especialización)</w:t>
      </w:r>
    </w:p>
    <w:p>
      <w:pPr>
        <w:pStyle w:val="ListParagraph"/>
        <w:numPr>
          <w:ilvl w:val="0"/>
          <w:numId w:val="2"/>
        </w:numPr>
        <w:spacing w:before="40" w:after="40"/>
      </w:pPr>
      <w:r>
        <w:rPr>
          <w:rFonts w:ascii="Arial" w:cs="Arial" w:eastAsia="Arial" w:hAnsi="Arial"/>
          <w:b/>
          <w:bCs/>
          <w:sz w:val="20"/>
          <w:szCs w:val="20"/>
        </w:rPr>
        <w:t xml:space="preserve">Despacho generalista con práctica civil activa (5-20 abogados)</w:t>
      </w:r>
    </w:p>
    <w:p>
      <w:pPr>
        <w:pStyle w:val="ListParagraph"/>
        <w:numPr>
          <w:ilvl w:val="0"/>
          <w:numId w:val="2"/>
        </w:numPr>
        <w:spacing w:before="40" w:after="40"/>
      </w:pPr>
      <w:r>
        <w:rPr>
          <w:rFonts w:ascii="Arial" w:cs="Arial" w:eastAsia="Arial" w:hAnsi="Arial"/>
          <w:b/>
          <w:bCs/>
          <w:sz w:val="20"/>
          <w:szCs w:val="20"/>
        </w:rPr>
        <w:t xml:space="preserve">Área sucesoria de gran firma o firma multidisciplinar (20+ abogados)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0E7C7B" w:sz="1"/>
              <w:left w:val="single" w:color="0E7C7B" w:sz="1"/>
              <w:bottom w:val="single" w:color="0E7C7B" w:sz="1"/>
              <w:right w:val="single" w:color="0E7C7B" w:sz="1"/>
            </w:tcBorders>
            <w:shd w:fill="0E7C7B" w:val="clear"/>
            <w:tcMar>
              <w:top w:type="dxa" w:w="120"/>
              <w:left w:type="dxa" w:w="200"/>
              <w:bottom w:type="dxa" w:w="120"/>
              <w:right w:type="dxa" w:w="200"/>
            </w:tcMar>
          </w:tcPr>
          <w:p>
            <w:r>
              <w:rPr>
                <w:rFonts w:ascii="Arial" w:cs="Arial" w:eastAsia="Arial" w:hAnsi="Arial"/>
                <w:b/>
                <w:bCs/>
                <w:color w:val="FFFFFF"/>
                <w:sz w:val="26"/>
                <w:szCs w:val="26"/>
              </w:rPr>
              <w:t xml:space="preserve">D1 — El Abogado Especialista en Sucesiones (Boutique)</w:t>
            </w:r>
          </w:p>
          <w:p>
            <w:pPr>
              <w:spacing w:before="40"/>
            </w:pPr>
            <w:r>
              <w:rPr>
                <w:rFonts w:ascii="Arial" w:cs="Arial" w:eastAsia="Arial" w:hAnsi="Arial"/>
                <w:color w:val="E2E8F0"/>
                <w:sz w:val="20"/>
                <w:szCs w:val="20"/>
              </w:rPr>
              <w:t xml:space="preserve">Socio fundador / Abogado principal  ·  Despacho boutique de 1-4 abogados, especialización exclusiva en derecho sucesorio y familia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Abogado con 10-20 años de experiencia, especializado en herencias, testamentos, legítimas y fiscalidad sucesoria. Su reputación es su principal activo. Gestiona 50-120 expedientes anuales. Alta facturación por expediente (patrimonio medio-alto de los causantes). Conoce el derecho foral catalán en profundidad.</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Aumentar el número de expedientes gestionados sin incrementar equipo</w:t>
            </w:r>
          </w:p>
          <w:p>
            <w:pPr>
              <w:pStyle w:val="ListParagraph"/>
              <w:numPr>
                <w:ilvl w:val="0"/>
                <w:numId w:val="2"/>
              </w:numPr>
              <w:spacing w:before="30" w:after="30"/>
            </w:pPr>
            <w:r>
              <w:rPr>
                <w:rFonts w:ascii="Arial" w:cs="Arial" w:eastAsia="Arial" w:hAnsi="Arial"/>
                <w:sz w:val="19"/>
                <w:szCs w:val="19"/>
              </w:rPr>
              <w:t xml:space="preserve">Reducir el tiempo de generación de documentación jurídica (cuadernos particionales, testamentos, escrituras de aceptación)</w:t>
            </w:r>
          </w:p>
          <w:p>
            <w:pPr>
              <w:pStyle w:val="ListParagraph"/>
              <w:numPr>
                <w:ilvl w:val="0"/>
                <w:numId w:val="2"/>
              </w:numPr>
              <w:spacing w:before="30" w:after="30"/>
            </w:pPr>
            <w:r>
              <w:rPr>
                <w:rFonts w:ascii="Arial" w:cs="Arial" w:eastAsia="Arial" w:hAnsi="Arial"/>
                <w:sz w:val="19"/>
                <w:szCs w:val="19"/>
              </w:rPr>
              <w:t xml:space="preserve">Garantizar el cumplimiento normativo en cada expediente sin errores</w:t>
            </w:r>
          </w:p>
          <w:p>
            <w:pPr>
              <w:pStyle w:val="ListParagraph"/>
              <w:numPr>
                <w:ilvl w:val="0"/>
                <w:numId w:val="2"/>
              </w:numPr>
              <w:spacing w:before="30" w:after="30"/>
            </w:pPr>
            <w:r>
              <w:rPr>
                <w:rFonts w:ascii="Arial" w:cs="Arial" w:eastAsia="Arial" w:hAnsi="Arial"/>
                <w:sz w:val="19"/>
                <w:szCs w:val="19"/>
              </w:rPr>
              <w:t xml:space="preserve">Ofrecer al cliente una experiencia diferencial que justifique honorarios premium</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Preparación manual de cuadernos particionales: proceso extremadamente laborioso y propenso a errores matemáticos y normativos</w:t>
            </w:r>
          </w:p>
          <w:p>
            <w:pPr>
              <w:pStyle w:val="ListParagraph"/>
              <w:numPr>
                <w:ilvl w:val="0"/>
                <w:numId w:val="2"/>
              </w:numPr>
              <w:spacing w:before="30" w:after="30"/>
            </w:pPr>
            <w:r>
              <w:rPr>
                <w:rFonts w:ascii="Arial" w:cs="Arial" w:eastAsia="Arial" w:hAnsi="Arial"/>
                <w:sz w:val="19"/>
                <w:szCs w:val="19"/>
              </w:rPr>
              <w:t xml:space="preserve">Cálculo manual de legítimas bajo derecho catalán (quarta falcídia, llegítima, etc.): riesgo jurídico alto</w:t>
            </w:r>
          </w:p>
          <w:p>
            <w:pPr>
              <w:pStyle w:val="ListParagraph"/>
              <w:numPr>
                <w:ilvl w:val="0"/>
                <w:numId w:val="2"/>
              </w:numPr>
              <w:spacing w:before="30" w:after="30"/>
            </w:pPr>
            <w:r>
              <w:rPr>
                <w:rFonts w:ascii="Arial" w:cs="Arial" w:eastAsia="Arial" w:hAnsi="Arial"/>
                <w:sz w:val="19"/>
                <w:szCs w:val="19"/>
              </w:rPr>
              <w:t xml:space="preserve">Gestión desorganizada del inventario de bienes en hojas de cálculo o documentos Word</w:t>
            </w:r>
          </w:p>
          <w:p>
            <w:pPr>
              <w:pStyle w:val="ListParagraph"/>
              <w:numPr>
                <w:ilvl w:val="0"/>
                <w:numId w:val="2"/>
              </w:numPr>
              <w:spacing w:before="30" w:after="30"/>
            </w:pPr>
            <w:r>
              <w:rPr>
                <w:rFonts w:ascii="Arial" w:cs="Arial" w:eastAsia="Arial" w:hAnsi="Arial"/>
                <w:sz w:val="19"/>
                <w:szCs w:val="19"/>
              </w:rPr>
              <w:t xml:space="preserve">Dificultad para mantener actualizados los cambios normativos (ISD, IRPF, plusvalías municipales)</w:t>
            </w:r>
          </w:p>
          <w:p>
            <w:pPr>
              <w:pStyle w:val="ListParagraph"/>
              <w:numPr>
                <w:ilvl w:val="0"/>
                <w:numId w:val="2"/>
              </w:numPr>
              <w:spacing w:before="30" w:after="30"/>
            </w:pPr>
            <w:r>
              <w:rPr>
                <w:rFonts w:ascii="Arial" w:cs="Arial" w:eastAsia="Arial" w:hAnsi="Arial"/>
                <w:sz w:val="19"/>
                <w:szCs w:val="19"/>
              </w:rPr>
              <w:t xml:space="preserve">Clientes que exigen visibilidad del proceso pero la comunicación se gestiona por email o teléfono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Motor normativo que calcule automáticamente legítimas, cuotas y tributación según derecho foral catalán</w:t>
            </w:r>
          </w:p>
          <w:p>
            <w:pPr>
              <w:pStyle w:val="ListParagraph"/>
              <w:numPr>
                <w:ilvl w:val="0"/>
                <w:numId w:val="2"/>
              </w:numPr>
              <w:spacing w:before="30" w:after="30"/>
            </w:pPr>
            <w:r>
              <w:rPr>
                <w:rFonts w:ascii="Arial" w:cs="Arial" w:eastAsia="Arial" w:hAnsi="Arial"/>
                <w:sz w:val="19"/>
                <w:szCs w:val="19"/>
              </w:rPr>
              <w:t xml:space="preserve">Generación automatizada de cuadernos particionales y documentos jurídicos</w:t>
            </w:r>
          </w:p>
          <w:p>
            <w:pPr>
              <w:pStyle w:val="ListParagraph"/>
              <w:numPr>
                <w:ilvl w:val="0"/>
                <w:numId w:val="2"/>
              </w:numPr>
              <w:spacing w:before="30" w:after="30"/>
            </w:pPr>
            <w:r>
              <w:rPr>
                <w:rFonts w:ascii="Arial" w:cs="Arial" w:eastAsia="Arial" w:hAnsi="Arial"/>
                <w:sz w:val="19"/>
                <w:szCs w:val="19"/>
              </w:rPr>
              <w:t xml:space="preserve">Reducción del tiempo por expediente en un 30-40%: puede facturar más expedientes o cobrar más por cada uno</w:t>
            </w:r>
          </w:p>
          <w:p>
            <w:pPr>
              <w:pStyle w:val="ListParagraph"/>
              <w:numPr>
                <w:ilvl w:val="0"/>
                <w:numId w:val="2"/>
              </w:numPr>
              <w:spacing w:before="30" w:after="30"/>
            </w:pPr>
            <w:r>
              <w:rPr>
                <w:rFonts w:ascii="Arial" w:cs="Arial" w:eastAsia="Arial" w:hAnsi="Arial"/>
                <w:sz w:val="19"/>
                <w:szCs w:val="19"/>
              </w:rPr>
              <w:t xml:space="preserve">Panel de cliente que profesionalice la comunicación y refuerce la percepción de calidad del servicio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'Soy especialista: ya tengo mis propias plantillas y procesos. ¿Qué me aporta que no tenga ya?' → objeción de suficiencia</w:t>
            </w:r>
          </w:p>
          <w:p>
            <w:pPr>
              <w:pStyle w:val="ListParagraph"/>
              <w:numPr>
                <w:ilvl w:val="0"/>
                <w:numId w:val="2"/>
              </w:numPr>
              <w:spacing w:before="30" w:after="30"/>
            </w:pPr>
            <w:r>
              <w:rPr>
                <w:rFonts w:ascii="Arial" w:cs="Arial" w:eastAsia="Arial" w:hAnsi="Arial"/>
                <w:sz w:val="19"/>
                <w:szCs w:val="19"/>
              </w:rPr>
              <w:t xml:space="preserve">'¿Cómo sé que el motor normativo está actualizado con los últimos cambios del TRLSC catalán?' → objeción de fiabilidad</w:t>
            </w:r>
          </w:p>
          <w:p>
            <w:pPr>
              <w:pStyle w:val="ListParagraph"/>
              <w:numPr>
                <w:ilvl w:val="0"/>
                <w:numId w:val="2"/>
              </w:numPr>
              <w:spacing w:before="30" w:after="30"/>
            </w:pPr>
            <w:r>
              <w:rPr>
                <w:rFonts w:ascii="Arial" w:cs="Arial" w:eastAsia="Arial" w:hAnsi="Arial"/>
                <w:sz w:val="19"/>
                <w:szCs w:val="19"/>
              </w:rPr>
              <w:t xml:space="preserve">'Mis expedientes son muy complejos y no encajan en un software estándar' → objeción de complejidad</w:t>
            </w:r>
          </w:p>
          <w:p>
            <w:pPr>
              <w:pStyle w:val="ListParagraph"/>
              <w:numPr>
                <w:ilvl w:val="0"/>
                <w:numId w:val="2"/>
              </w:numPr>
              <w:spacing w:before="30" w:after="30"/>
            </w:pPr>
            <w:r>
              <w:rPr>
                <w:rFonts w:ascii="Arial" w:cs="Arial" w:eastAsia="Arial" w:hAnsi="Arial"/>
                <w:sz w:val="19"/>
                <w:szCs w:val="19"/>
              </w:rPr>
              <w:t xml:space="preserve">'¿Qué pasa si hay un error en el cálculo y hay responsabilidad profesional?' → objeción de riesgo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Alto interés pero bajo punto de partida. Usa Word, Excel y email para gestionar expedientes. No ha encontrado una herramienta que cubra la especificidad del derecho foral catalán. Alta disposición a adoptar si la precisión normativa está garantizada.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individual y rápida si el producto demuestra precisión técnica. La venta se produce mediante demo técnica profunda centrada en el motor normativo. Referencia de otro abogado especialista es el canal más poderoso. Precio no es la barrera principal; la confianza en la precisión jurídica sí.</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47A6E" w:sz="1"/>
              <w:left w:val="single" w:color="147A6E" w:sz="1"/>
              <w:bottom w:val="single" w:color="147A6E" w:sz="1"/>
              <w:right w:val="single" w:color="147A6E" w:sz="1"/>
            </w:tcBorders>
            <w:shd w:fill="147A6E" w:val="clear"/>
            <w:tcMar>
              <w:top w:type="dxa" w:w="120"/>
              <w:left w:type="dxa" w:w="200"/>
              <w:bottom w:type="dxa" w:w="120"/>
              <w:right w:type="dxa" w:w="200"/>
            </w:tcMar>
          </w:tcPr>
          <w:p>
            <w:r>
              <w:rPr>
                <w:rFonts w:ascii="Arial" w:cs="Arial" w:eastAsia="Arial" w:hAnsi="Arial"/>
                <w:b/>
                <w:bCs/>
                <w:color w:val="FFFFFF"/>
                <w:sz w:val="26"/>
                <w:szCs w:val="26"/>
              </w:rPr>
              <w:t xml:space="preserve">D2 — El Abogado Civil de Despacho Generalista</w:t>
            </w:r>
          </w:p>
          <w:p>
            <w:pPr>
              <w:spacing w:before="40"/>
            </w:pPr>
            <w:r>
              <w:rPr>
                <w:rFonts w:ascii="Arial" w:cs="Arial" w:eastAsia="Arial" w:hAnsi="Arial"/>
                <w:color w:val="E2E8F0"/>
                <w:sz w:val="20"/>
                <w:szCs w:val="20"/>
              </w:rPr>
              <w:t xml:space="preserve">Abogado senior / Responsable del área civil  ·  Despacho generalista de 5-20 abogados con práctica en civil, mercantil, laboral y fiscal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Abogado con 8-15 años de experiencia. Las sucesiones representan el 20-35% de su práctica total. Gestiona 30-70 expedientes sucesorios al año. Comparte recursos administrativos con el resto del despacho. No es un especialista puro en sucesiones pero tiene sólidos conocimientos prácticos.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Gestionar los expedientes sucesorios de forma más eficiente sin que consuman tiempo desproporcionado</w:t>
            </w:r>
          </w:p>
          <w:p>
            <w:pPr>
              <w:pStyle w:val="ListParagraph"/>
              <w:numPr>
                <w:ilvl w:val="0"/>
                <w:numId w:val="2"/>
              </w:numPr>
              <w:spacing w:before="30" w:after="30"/>
            </w:pPr>
            <w:r>
              <w:rPr>
                <w:rFonts w:ascii="Arial" w:cs="Arial" w:eastAsia="Arial" w:hAnsi="Arial"/>
                <w:sz w:val="19"/>
                <w:szCs w:val="19"/>
              </w:rPr>
              <w:t xml:space="preserve">No cometer errores en la aplicación de la normativa fiscal (Modelo 650/651, plusvalía municipal, IRPF)</w:t>
            </w:r>
          </w:p>
          <w:p>
            <w:pPr>
              <w:pStyle w:val="ListParagraph"/>
              <w:numPr>
                <w:ilvl w:val="0"/>
                <w:numId w:val="2"/>
              </w:numPr>
              <w:spacing w:before="30" w:after="30"/>
            </w:pPr>
            <w:r>
              <w:rPr>
                <w:rFonts w:ascii="Arial" w:cs="Arial" w:eastAsia="Arial" w:hAnsi="Arial"/>
                <w:sz w:val="19"/>
                <w:szCs w:val="19"/>
              </w:rPr>
              <w:t xml:space="preserve">Fidelizar al cliente de herencias para que vuelva con otros asuntos jurídicos del despacho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Las sucesiones consumen más tiempo del que deberían por la fragmentación documental y los cálculos manuales</w:t>
            </w:r>
          </w:p>
          <w:p>
            <w:pPr>
              <w:pStyle w:val="ListParagraph"/>
              <w:numPr>
                <w:ilvl w:val="0"/>
                <w:numId w:val="2"/>
              </w:numPr>
              <w:spacing w:before="30" w:after="30"/>
            </w:pPr>
            <w:r>
              <w:rPr>
                <w:rFonts w:ascii="Arial" w:cs="Arial" w:eastAsia="Arial" w:hAnsi="Arial"/>
                <w:sz w:val="19"/>
                <w:szCs w:val="19"/>
              </w:rPr>
              <w:t xml:space="preserve">Riesgo de error fiscal en expedientes complejos: el abogado no siempre es el más fuerte en fiscalidad sucesoria</w:t>
            </w:r>
          </w:p>
          <w:p>
            <w:pPr>
              <w:pStyle w:val="ListParagraph"/>
              <w:numPr>
                <w:ilvl w:val="0"/>
                <w:numId w:val="2"/>
              </w:numPr>
              <w:spacing w:before="30" w:after="30"/>
            </w:pPr>
            <w:r>
              <w:rPr>
                <w:rFonts w:ascii="Arial" w:cs="Arial" w:eastAsia="Arial" w:hAnsi="Arial"/>
                <w:sz w:val="19"/>
                <w:szCs w:val="19"/>
              </w:rPr>
              <w:t xml:space="preserve">Coordinar con el asesor fiscal del cliente genera fricción y dobles comunicaciones</w:t>
            </w:r>
          </w:p>
          <w:p>
            <w:pPr>
              <w:pStyle w:val="ListParagraph"/>
              <w:numPr>
                <w:ilvl w:val="0"/>
                <w:numId w:val="2"/>
              </w:numPr>
              <w:spacing w:before="30" w:after="30"/>
            </w:pPr>
            <w:r>
              <w:rPr>
                <w:rFonts w:ascii="Arial" w:cs="Arial" w:eastAsia="Arial" w:hAnsi="Arial"/>
                <w:sz w:val="19"/>
                <w:szCs w:val="19"/>
              </w:rPr>
              <w:t xml:space="preserve">Difícil hacer seguimiento de varios expedientes simultáneamente en distintos estados de tramitación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Herramienta que centralice la tramitación y el cálculo fiscal en un solo lugar</w:t>
            </w:r>
          </w:p>
          <w:p>
            <w:pPr>
              <w:pStyle w:val="ListParagraph"/>
              <w:numPr>
                <w:ilvl w:val="0"/>
                <w:numId w:val="2"/>
              </w:numPr>
              <w:spacing w:before="30" w:after="30"/>
            </w:pPr>
            <w:r>
              <w:rPr>
                <w:rFonts w:ascii="Arial" w:cs="Arial" w:eastAsia="Arial" w:hAnsi="Arial"/>
                <w:sz w:val="19"/>
                <w:szCs w:val="19"/>
              </w:rPr>
              <w:t xml:space="preserve">Plantillas de documentos que aceleren la redacción</w:t>
            </w:r>
          </w:p>
          <w:p>
            <w:pPr>
              <w:pStyle w:val="ListParagraph"/>
              <w:numPr>
                <w:ilvl w:val="0"/>
                <w:numId w:val="2"/>
              </w:numPr>
              <w:spacing w:before="30" w:after="30"/>
            </w:pPr>
            <w:r>
              <w:rPr>
                <w:rFonts w:ascii="Arial" w:cs="Arial" w:eastAsia="Arial" w:hAnsi="Arial"/>
                <w:sz w:val="19"/>
                <w:szCs w:val="19"/>
              </w:rPr>
              <w:t xml:space="preserve">Integración con el flujo de trabajo existente del despacho (mínimo cambio operativo)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'Tendremos que convencer al socio director de que vale la pena el gasto' → decisión no unilateral</w:t>
            </w:r>
          </w:p>
          <w:p>
            <w:pPr>
              <w:pStyle w:val="ListParagraph"/>
              <w:numPr>
                <w:ilvl w:val="0"/>
                <w:numId w:val="2"/>
              </w:numPr>
              <w:spacing w:before="30" w:after="30"/>
            </w:pPr>
            <w:r>
              <w:rPr>
                <w:rFonts w:ascii="Arial" w:cs="Arial" w:eastAsia="Arial" w:hAnsi="Arial"/>
                <w:sz w:val="19"/>
                <w:szCs w:val="19"/>
              </w:rPr>
              <w:t xml:space="preserve">'¿Se puede usar para todos los tipos de herencia, no solo las catalanas?' → preocupación por cobertura normativa</w:t>
            </w:r>
          </w:p>
          <w:p>
            <w:pPr>
              <w:pStyle w:val="ListParagraph"/>
              <w:numPr>
                <w:ilvl w:val="0"/>
                <w:numId w:val="2"/>
              </w:numPr>
              <w:spacing w:before="30" w:after="30"/>
            </w:pPr>
            <w:r>
              <w:rPr>
                <w:rFonts w:ascii="Arial" w:cs="Arial" w:eastAsia="Arial" w:hAnsi="Arial"/>
                <w:sz w:val="19"/>
                <w:szCs w:val="19"/>
              </w:rPr>
              <w:t xml:space="preserve">'No queremos cambiar todo nuestro proceso por una herramienta nueva' → resistencia al cambio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Nivel medio. Usa software de gestión del despacho (Lexnet, ProDespacho o similar) pero los expedientes sucesorios se gestionan de forma manual.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compartida entre el abogado responsable y el socio director o gerente del despacho. Ciclo medio (4-8 semanas). El precio tiene más peso que en el boutique. Se beneficia de prueba gratuita o periodo piloto.</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A6B5A" w:sz="1"/>
              <w:left w:val="single" w:color="1A6B5A" w:sz="1"/>
              <w:bottom w:val="single" w:color="1A6B5A" w:sz="1"/>
              <w:right w:val="single" w:color="1A6B5A" w:sz="1"/>
            </w:tcBorders>
            <w:shd w:fill="1A6B5A" w:val="clear"/>
            <w:tcMar>
              <w:top w:type="dxa" w:w="120"/>
              <w:left w:type="dxa" w:w="200"/>
              <w:bottom w:type="dxa" w:w="120"/>
              <w:right w:type="dxa" w:w="200"/>
            </w:tcMar>
          </w:tcPr>
          <w:p>
            <w:r>
              <w:rPr>
                <w:rFonts w:ascii="Arial" w:cs="Arial" w:eastAsia="Arial" w:hAnsi="Arial"/>
                <w:b/>
                <w:bCs/>
                <w:color w:val="FFFFFF"/>
                <w:sz w:val="26"/>
                <w:szCs w:val="26"/>
              </w:rPr>
              <w:t xml:space="preserve">D3 — El Responsable del Área Sucesoria en Gran Firma</w:t>
            </w:r>
          </w:p>
          <w:p>
            <w:pPr>
              <w:spacing w:before="40"/>
            </w:pPr>
            <w:r>
              <w:rPr>
                <w:rFonts w:ascii="Arial" w:cs="Arial" w:eastAsia="Arial" w:hAnsi="Arial"/>
                <w:color w:val="E2E8F0"/>
                <w:sz w:val="20"/>
                <w:szCs w:val="20"/>
              </w:rPr>
              <w:t xml:space="preserve">Socio responsable de práctica o Counsel senior  ·  Firma de 20-100 abogados, estructura departamental, con área de familia y patrimonio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Profesional con 15-25 años de experiencia. Supervisa un equipo de 3-8 abogados dedicados a sucesiones, planificación patrimonial y fiscal. Sus clientes son de alto patrimonio. El proceso de adopción de herramientas es más formal e involucra a tecnología y administración.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Estandarizar procesos dentro del área para garantizar calidad homogénea independientemente del abogado</w:t>
            </w:r>
          </w:p>
          <w:p>
            <w:pPr>
              <w:pStyle w:val="ListParagraph"/>
              <w:numPr>
                <w:ilvl w:val="0"/>
                <w:numId w:val="2"/>
              </w:numPr>
              <w:spacing w:before="30" w:after="30"/>
            </w:pPr>
            <w:r>
              <w:rPr>
                <w:rFonts w:ascii="Arial" w:cs="Arial" w:eastAsia="Arial" w:hAnsi="Arial"/>
                <w:sz w:val="19"/>
                <w:szCs w:val="19"/>
              </w:rPr>
              <w:t xml:space="preserve">Ofrecer a clientes de alto patrimonio un servicio digitalizado y diferencial</w:t>
            </w:r>
          </w:p>
          <w:p>
            <w:pPr>
              <w:pStyle w:val="ListParagraph"/>
              <w:numPr>
                <w:ilvl w:val="0"/>
                <w:numId w:val="2"/>
              </w:numPr>
              <w:spacing w:before="30" w:after="30"/>
            </w:pPr>
            <w:r>
              <w:rPr>
                <w:rFonts w:ascii="Arial" w:cs="Arial" w:eastAsia="Arial" w:hAnsi="Arial"/>
                <w:sz w:val="19"/>
                <w:szCs w:val="19"/>
              </w:rPr>
              <w:t xml:space="preserve">Reducir el riesgo operativo y de cumplimiento en expedientes complejos (multipropietarios, activos internacionales)</w:t>
            </w:r>
          </w:p>
          <w:p>
            <w:pPr>
              <w:pStyle w:val="ListParagraph"/>
              <w:numPr>
                <w:ilvl w:val="0"/>
                <w:numId w:val="2"/>
              </w:numPr>
              <w:spacing w:before="30" w:after="30"/>
            </w:pPr>
            <w:r>
              <w:rPr>
                <w:rFonts w:ascii="Arial" w:cs="Arial" w:eastAsia="Arial" w:hAnsi="Arial"/>
                <w:sz w:val="19"/>
                <w:szCs w:val="19"/>
              </w:rPr>
              <w:t xml:space="preserve">Datos e indicadores para medir la productividad y rentabilidad del área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Cada abogado usa sus propias plantillas y procesos: imposible estandarizar la calidad</w:t>
            </w:r>
          </w:p>
          <w:p>
            <w:pPr>
              <w:pStyle w:val="ListParagraph"/>
              <w:numPr>
                <w:ilvl w:val="0"/>
                <w:numId w:val="2"/>
              </w:numPr>
              <w:spacing w:before="30" w:after="30"/>
            </w:pPr>
            <w:r>
              <w:rPr>
                <w:rFonts w:ascii="Arial" w:cs="Arial" w:eastAsia="Arial" w:hAnsi="Arial"/>
                <w:sz w:val="19"/>
                <w:szCs w:val="19"/>
              </w:rPr>
              <w:t xml:space="preserve">Alta rotación en posiciones junior: la curva de aprendizaje en materia sucesoria es larga y costosa</w:t>
            </w:r>
          </w:p>
          <w:p>
            <w:pPr>
              <w:pStyle w:val="ListParagraph"/>
              <w:numPr>
                <w:ilvl w:val="0"/>
                <w:numId w:val="2"/>
              </w:numPr>
              <w:spacing w:before="30" w:after="30"/>
            </w:pPr>
            <w:r>
              <w:rPr>
                <w:rFonts w:ascii="Arial" w:cs="Arial" w:eastAsia="Arial" w:hAnsi="Arial"/>
                <w:sz w:val="19"/>
                <w:szCs w:val="19"/>
              </w:rPr>
              <w:t xml:space="preserve">Expedientes complejos con activos en múltiples jurisdicciones requieren coordinación difícil de gestionar</w:t>
            </w:r>
          </w:p>
          <w:p>
            <w:pPr>
              <w:pStyle w:val="ListParagraph"/>
              <w:numPr>
                <w:ilvl w:val="0"/>
                <w:numId w:val="2"/>
              </w:numPr>
              <w:spacing w:before="30" w:after="30"/>
            </w:pPr>
            <w:r>
              <w:rPr>
                <w:rFonts w:ascii="Arial" w:cs="Arial" w:eastAsia="Arial" w:hAnsi="Arial"/>
                <w:sz w:val="19"/>
                <w:szCs w:val="19"/>
              </w:rPr>
              <w:t xml:space="preserve">Falta de visibilidad sobre el estado real de todos los expedientes activos del área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Plataforma que estandarice la producción documental y los cálculos normativos en todo el equipo</w:t>
            </w:r>
          </w:p>
          <w:p>
            <w:pPr>
              <w:pStyle w:val="ListParagraph"/>
              <w:numPr>
                <w:ilvl w:val="0"/>
                <w:numId w:val="2"/>
              </w:numPr>
              <w:spacing w:before="30" w:after="30"/>
            </w:pPr>
            <w:r>
              <w:rPr>
                <w:rFonts w:ascii="Arial" w:cs="Arial" w:eastAsia="Arial" w:hAnsi="Arial"/>
                <w:sz w:val="19"/>
                <w:szCs w:val="19"/>
              </w:rPr>
              <w:t xml:space="preserve">Reducción del tiempo de onboarding de abogados nuevos al área</w:t>
            </w:r>
          </w:p>
          <w:p>
            <w:pPr>
              <w:pStyle w:val="ListParagraph"/>
              <w:numPr>
                <w:ilvl w:val="0"/>
                <w:numId w:val="2"/>
              </w:numPr>
              <w:spacing w:before="30" w:after="30"/>
            </w:pPr>
            <w:r>
              <w:rPr>
                <w:rFonts w:ascii="Arial" w:cs="Arial" w:eastAsia="Arial" w:hAnsi="Arial"/>
                <w:sz w:val="19"/>
                <w:szCs w:val="19"/>
              </w:rPr>
              <w:t xml:space="preserve">Reporting y analítica de expedientes para la dirección de la firma</w:t>
            </w:r>
          </w:p>
          <w:p>
            <w:pPr>
              <w:pStyle w:val="ListParagraph"/>
              <w:numPr>
                <w:ilvl w:val="0"/>
                <w:numId w:val="2"/>
              </w:numPr>
              <w:spacing w:before="30" w:after="30"/>
            </w:pPr>
            <w:r>
              <w:rPr>
                <w:rFonts w:ascii="Arial" w:cs="Arial" w:eastAsia="Arial" w:hAnsi="Arial"/>
                <w:sz w:val="19"/>
                <w:szCs w:val="19"/>
              </w:rPr>
              <w:t xml:space="preserve">Oferta de servicio premium al cliente final (portal, visibilidad, documentación profesional)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'Necesitaríamos una integración con nuestro DMS (sistema de gestión documental) existente' → requisito técnico</w:t>
            </w:r>
          </w:p>
          <w:p>
            <w:pPr>
              <w:pStyle w:val="ListParagraph"/>
              <w:numPr>
                <w:ilvl w:val="0"/>
                <w:numId w:val="2"/>
              </w:numPr>
              <w:spacing w:before="30" w:after="30"/>
            </w:pPr>
            <w:r>
              <w:rPr>
                <w:rFonts w:ascii="Arial" w:cs="Arial" w:eastAsia="Arial" w:hAnsi="Arial"/>
                <w:sz w:val="19"/>
                <w:szCs w:val="19"/>
              </w:rPr>
              <w:t xml:space="preserve">'El proceso de aprobación de nuevas herramientas pasa por IT y dirección' → ciclo de venta largo</w:t>
            </w:r>
          </w:p>
          <w:p>
            <w:pPr>
              <w:pStyle w:val="ListParagraph"/>
              <w:numPr>
                <w:ilvl w:val="0"/>
                <w:numId w:val="2"/>
              </w:numPr>
              <w:spacing w:before="30" w:after="30"/>
            </w:pPr>
            <w:r>
              <w:rPr>
                <w:rFonts w:ascii="Arial" w:cs="Arial" w:eastAsia="Arial" w:hAnsi="Arial"/>
                <w:sz w:val="19"/>
                <w:szCs w:val="19"/>
              </w:rPr>
              <w:t xml:space="preserve">'¿Qué garantías de SLA y soporte tenéis?' → exigencia enterprise</w:t>
            </w:r>
          </w:p>
          <w:p>
            <w:pPr>
              <w:pStyle w:val="ListParagraph"/>
              <w:numPr>
                <w:ilvl w:val="0"/>
                <w:numId w:val="2"/>
              </w:numPr>
              <w:spacing w:before="30" w:after="30"/>
            </w:pPr>
            <w:r>
              <w:rPr>
                <w:rFonts w:ascii="Arial" w:cs="Arial" w:eastAsia="Arial" w:hAnsi="Arial"/>
                <w:sz w:val="19"/>
                <w:szCs w:val="19"/>
              </w:rPr>
              <w:t xml:space="preserve">'El precio por usuario puede ser significativo en un equipo de 8 personas' → sensibilidad al coste total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Alto. La firma ya usa herramientas profesionales (DMS, CRM, software de gestión de tiempos y facturación). La nueva herramienta debe integrarse o no crear silos.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Proceso formal de evaluación: el socio responsable propone, IT valida seguridad y compatibilidad técnica, la dirección aprueba el presupuesto. Ciclo largo (2-6 meses). Requiere propuesta formal, referencias y, frecuentemente, periodo de prueba. Ticket medio-alto.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C8952A" w:val="clear"/>
            <w:tcMar>
              <w:top w:type="dxa" w:w="200"/>
              <w:left w:type="dxa" w:w="280"/>
              <w:bottom w:type="dxa" w:w="200"/>
              <w:right w:type="dxa" w:w="280"/>
            </w:tcMar>
          </w:tcPr>
          <w:p>
            <w:r>
              <w:rPr>
                <w:rFonts w:ascii="Arial" w:cs="Arial" w:eastAsia="Arial" w:hAnsi="Arial"/>
                <w:b/>
                <w:bCs/>
                <w:color w:val="C8D8F0"/>
                <w:sz w:val="18"/>
                <w:szCs w:val="18"/>
              </w:rPr>
              <w:t xml:space="preserve">SEGMENTO 03</w:t>
            </w:r>
          </w:p>
          <w:p>
            <w:pPr>
              <w:spacing w:before="60"/>
            </w:pPr>
            <w:r>
              <w:rPr>
                <w:rFonts w:ascii="Arial" w:cs="Arial" w:eastAsia="Arial" w:hAnsi="Arial"/>
                <w:b/>
                <w:bCs/>
                <w:color w:val="FFFFFF"/>
                <w:sz w:val="36"/>
                <w:szCs w:val="36"/>
              </w:rPr>
              <w:t xml:space="preserve">Asesorías y Gestorías</w:t>
            </w:r>
          </w:p>
          <w:p>
            <w:pPr>
              <w:spacing w:before="60"/>
            </w:pPr>
            <w:r>
              <w:rPr>
                <w:rFonts w:ascii="Arial" w:cs="Arial" w:eastAsia="Arial" w:hAnsi="Arial"/>
                <w:i/>
                <w:iCs/>
                <w:color w:val="CBD5E1"/>
                <w:sz w:val="20"/>
                <w:szCs w:val="20"/>
              </w:rPr>
              <w:t xml:space="preserve">~2.526 en Cataluña · Enfoque fiscal-administrativo</w:t>
            </w:r>
          </w:p>
        </w:tc>
      </w:tr>
    </w:tbl>
    <w:p>
      <w:pPr>
        <w:spacing w:before="200" w:after="0"/>
      </w:pPr>
      <w:r>
        <w:t xml:space="preserve"/>
      </w:r>
    </w:p>
    <w:p>
      <w:pPr>
        <w:spacing w:before="60" w:after="60"/>
      </w:pPr>
      <w:r>
        <w:rPr>
          <w:rFonts w:ascii="Arial" w:cs="Arial" w:eastAsia="Arial" w:hAnsi="Arial"/>
          <w:b w:val="false"/>
          <w:bCs w:val="false"/>
          <w:color w:val="1F2937"/>
          <w:sz w:val="20"/>
          <w:szCs w:val="20"/>
        </w:rPr>
        <w:t xml:space="preserve">Las asesorías y gestorías abordan la herencia desde un enfoque predominantemente fiscal y administrativo: su valor al cliente es la liquidación correcta del ISD (Modelos 650, 651, 660), la gestión del cambio de titularidad de bienes y la representación ante la Administración. No son asesores jurídicos en sentido estricto pero tienen una cartera de clientes recurrente y fiel. El ticket por expediente es más bajo que en el despacho de abogados pero el volumen puede ser mayor.</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C8952A" w:sz="1"/>
              <w:left w:val="single" w:color="C8952A" w:sz="1"/>
              <w:bottom w:val="single" w:color="C8952A" w:sz="1"/>
              <w:right w:val="single" w:color="C8952A" w:sz="1"/>
            </w:tcBorders>
            <w:shd w:fill="C8952A" w:val="clear"/>
            <w:tcMar>
              <w:top w:type="dxa" w:w="120"/>
              <w:left w:type="dxa" w:w="200"/>
              <w:bottom w:type="dxa" w:w="120"/>
              <w:right w:type="dxa" w:w="200"/>
            </w:tcMar>
          </w:tcPr>
          <w:p>
            <w:r>
              <w:rPr>
                <w:rFonts w:ascii="Arial" w:cs="Arial" w:eastAsia="Arial" w:hAnsi="Arial"/>
                <w:b/>
                <w:bCs/>
                <w:color w:val="FFFFFF"/>
                <w:sz w:val="26"/>
                <w:szCs w:val="26"/>
              </w:rPr>
              <w:t xml:space="preserve">A1 — El Asesor Fiscal con Cartera de Herencias Activa</w:t>
            </w:r>
          </w:p>
          <w:p>
            <w:pPr>
              <w:spacing w:before="40"/>
            </w:pPr>
            <w:r>
              <w:rPr>
                <w:rFonts w:ascii="Arial" w:cs="Arial" w:eastAsia="Arial" w:hAnsi="Arial"/>
                <w:color w:val="E2E8F0"/>
                <w:sz w:val="20"/>
                <w:szCs w:val="20"/>
              </w:rPr>
              <w:t xml:space="preserve">Asesor fiscal / Gestor tributario senior  ·  Asesoría fiscal y contable de 3-10 personas, con clientes recurrentes de ISD</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Profesional con 10-20 años de experiencia. Gestiona el área fiscal de autónomos, pymes y particulares. Tramita 20-50 liquidaciones del ISD al año como parte del servicio integral a sus clientes. No es especialista jurídico pero conoce bien los Modelos 650/651 y las reducciones autonómicas.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Liquidar el ISD correctamente y en plazo para evitar sanciones a sus clientes</w:t>
            </w:r>
          </w:p>
          <w:p>
            <w:pPr>
              <w:pStyle w:val="ListParagraph"/>
              <w:numPr>
                <w:ilvl w:val="0"/>
                <w:numId w:val="2"/>
              </w:numPr>
              <w:spacing w:before="30" w:after="30"/>
            </w:pPr>
            <w:r>
              <w:rPr>
                <w:rFonts w:ascii="Arial" w:cs="Arial" w:eastAsia="Arial" w:hAnsi="Arial"/>
                <w:sz w:val="19"/>
                <w:szCs w:val="19"/>
              </w:rPr>
              <w:t xml:space="preserve">No perder al cliente familiar cuando muere el cabeza de familia (continuar asesorando a los herederos)</w:t>
            </w:r>
          </w:p>
          <w:p>
            <w:pPr>
              <w:pStyle w:val="ListParagraph"/>
              <w:numPr>
                <w:ilvl w:val="0"/>
                <w:numId w:val="2"/>
              </w:numPr>
              <w:spacing w:before="30" w:after="30"/>
            </w:pPr>
            <w:r>
              <w:rPr>
                <w:rFonts w:ascii="Arial" w:cs="Arial" w:eastAsia="Arial" w:hAnsi="Arial"/>
                <w:sz w:val="19"/>
                <w:szCs w:val="19"/>
              </w:rPr>
              <w:t xml:space="preserve">Ampliar el servicio de herencias sin necesidad de contratar un abogado especializado externamente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Cálculo manual del ISD con múltiples reducciones y bonificaciones autonómicas: alto riesgo de error</w:t>
            </w:r>
          </w:p>
          <w:p>
            <w:pPr>
              <w:pStyle w:val="ListParagraph"/>
              <w:numPr>
                <w:ilvl w:val="0"/>
                <w:numId w:val="2"/>
              </w:numPr>
              <w:spacing w:before="30" w:after="30"/>
            </w:pPr>
            <w:r>
              <w:rPr>
                <w:rFonts w:ascii="Arial" w:cs="Arial" w:eastAsia="Arial" w:hAnsi="Arial"/>
                <w:sz w:val="19"/>
                <w:szCs w:val="19"/>
              </w:rPr>
              <w:t xml:space="preserve">Cambios normativos frecuentes en la fiscalidad sucesoria de las comunidades autónomas</w:t>
            </w:r>
          </w:p>
          <w:p>
            <w:pPr>
              <w:pStyle w:val="ListParagraph"/>
              <w:numPr>
                <w:ilvl w:val="0"/>
                <w:numId w:val="2"/>
              </w:numPr>
              <w:spacing w:before="30" w:after="30"/>
            </w:pPr>
            <w:r>
              <w:rPr>
                <w:rFonts w:ascii="Arial" w:cs="Arial" w:eastAsia="Arial" w:hAnsi="Arial"/>
                <w:sz w:val="19"/>
                <w:szCs w:val="19"/>
              </w:rPr>
              <w:t xml:space="preserve">No tiene herramienta para calcular la base imponible y las cuotas tributarias de forma automatizada</w:t>
            </w:r>
          </w:p>
          <w:p>
            <w:pPr>
              <w:pStyle w:val="ListParagraph"/>
              <w:numPr>
                <w:ilvl w:val="0"/>
                <w:numId w:val="2"/>
              </w:numPr>
              <w:spacing w:before="30" w:after="30"/>
            </w:pPr>
            <w:r>
              <w:rPr>
                <w:rFonts w:ascii="Arial" w:cs="Arial" w:eastAsia="Arial" w:hAnsi="Arial"/>
                <w:sz w:val="19"/>
                <w:szCs w:val="19"/>
              </w:rPr>
              <w:t xml:space="preserve">Cuando aparece un bien inmueble complejo (participaciones societarias, activos en el extranjero) se queda sin capacidad y tiene que derivar el expediente</w:t>
            </w:r>
          </w:p>
          <w:p>
            <w:pPr>
              <w:pStyle w:val="ListParagraph"/>
              <w:numPr>
                <w:ilvl w:val="0"/>
                <w:numId w:val="2"/>
              </w:numPr>
              <w:spacing w:before="30" w:after="30"/>
            </w:pPr>
            <w:r>
              <w:rPr>
                <w:rFonts w:ascii="Arial" w:cs="Arial" w:eastAsia="Arial" w:hAnsi="Arial"/>
                <w:sz w:val="19"/>
                <w:szCs w:val="19"/>
              </w:rPr>
              <w:t xml:space="preserve">Los herederos son clientes emocionales: más exigentes y menos pacientes que los clientes de fiscalidad empresarial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Automatización del cálculo del ISD con las reducciones y bonificaciones actualizadas por comunidad autónoma</w:t>
            </w:r>
          </w:p>
          <w:p>
            <w:pPr>
              <w:pStyle w:val="ListParagraph"/>
              <w:numPr>
                <w:ilvl w:val="0"/>
                <w:numId w:val="2"/>
              </w:numPr>
              <w:spacing w:before="30" w:after="30"/>
            </w:pPr>
            <w:r>
              <w:rPr>
                <w:rFonts w:ascii="Arial" w:cs="Arial" w:eastAsia="Arial" w:hAnsi="Arial"/>
                <w:sz w:val="19"/>
                <w:szCs w:val="19"/>
              </w:rPr>
              <w:t xml:space="preserve">Generación de los formularios fiscales (Modelos 650/651/660) directamente desde la plataforma</w:t>
            </w:r>
          </w:p>
          <w:p>
            <w:pPr>
              <w:pStyle w:val="ListParagraph"/>
              <w:numPr>
                <w:ilvl w:val="0"/>
                <w:numId w:val="2"/>
              </w:numPr>
              <w:spacing w:before="30" w:after="30"/>
            </w:pPr>
            <w:r>
              <w:rPr>
                <w:rFonts w:ascii="Arial" w:cs="Arial" w:eastAsia="Arial" w:hAnsi="Arial"/>
                <w:sz w:val="19"/>
                <w:szCs w:val="19"/>
              </w:rPr>
              <w:t xml:space="preserve">Fidelización del heredero como nuevo cliente fiscal del despacho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'Ya uso el programa de la AEAT o el de mi comunidad autónoma para liquidar el ISD' → sustitución percibida como innecesaria</w:t>
            </w:r>
          </w:p>
          <w:p>
            <w:pPr>
              <w:pStyle w:val="ListParagraph"/>
              <w:numPr>
                <w:ilvl w:val="0"/>
                <w:numId w:val="2"/>
              </w:numPr>
              <w:spacing w:before="30" w:after="30"/>
            </w:pPr>
            <w:r>
              <w:rPr>
                <w:rFonts w:ascii="Arial" w:cs="Arial" w:eastAsia="Arial" w:hAnsi="Arial"/>
                <w:sz w:val="19"/>
                <w:szCs w:val="19"/>
              </w:rPr>
              <w:t xml:space="preserve">'Mis herencias son simples: bienes inmuebles, cuenta bancaria y poco más. No necesito tanto' → percepción de sobreingeniería</w:t>
            </w:r>
          </w:p>
          <w:p>
            <w:pPr>
              <w:pStyle w:val="ListParagraph"/>
              <w:numPr>
                <w:ilvl w:val="0"/>
                <w:numId w:val="2"/>
              </w:numPr>
              <w:spacing w:before="30" w:after="30"/>
            </w:pPr>
            <w:r>
              <w:rPr>
                <w:rFonts w:ascii="Arial" w:cs="Arial" w:eastAsia="Arial" w:hAnsi="Arial"/>
                <w:sz w:val="19"/>
                <w:szCs w:val="19"/>
              </w:rPr>
              <w:t xml:space="preserve">'¿Cuánto cuesta? Mis márgenes en herencias no son altos' → sensibilidad al precio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Nivel medio. Usa software fiscal (A3, Sage, Wolters Kluwer) para la gestión tributaria. Acostumbrado a actualizar herramientas fiscales. La curva de aprendizaje es un factor clave en la decisión.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individual o con el socio/director. Ciclo corto (2-4 semanas). El precio es relevante. Muy sensible a demostraciones concretas del cálculo del ISD. Si ve que el modelo 650 se genera correctamente, la objeción cae.</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A87820" w:sz="1"/>
              <w:left w:val="single" w:color="A87820" w:sz="1"/>
              <w:bottom w:val="single" w:color="A87820" w:sz="1"/>
              <w:right w:val="single" w:color="A87820" w:sz="1"/>
            </w:tcBorders>
            <w:shd w:fill="A87820" w:val="clear"/>
            <w:tcMar>
              <w:top w:type="dxa" w:w="120"/>
              <w:left w:type="dxa" w:w="200"/>
              <w:bottom w:type="dxa" w:w="120"/>
              <w:right w:type="dxa" w:w="200"/>
            </w:tcMar>
          </w:tcPr>
          <w:p>
            <w:r>
              <w:rPr>
                <w:rFonts w:ascii="Arial" w:cs="Arial" w:eastAsia="Arial" w:hAnsi="Arial"/>
                <w:b/>
                <w:bCs/>
                <w:color w:val="FFFFFF"/>
                <w:sz w:val="26"/>
                <w:szCs w:val="26"/>
              </w:rPr>
              <w:t xml:space="preserve">A2 — El Gestor Administrativo Colegiado</w:t>
            </w:r>
          </w:p>
          <w:p>
            <w:pPr>
              <w:spacing w:before="40"/>
            </w:pPr>
            <w:r>
              <w:rPr>
                <w:rFonts w:ascii="Arial" w:cs="Arial" w:eastAsia="Arial" w:hAnsi="Arial"/>
                <w:color w:val="E2E8F0"/>
                <w:sz w:val="20"/>
                <w:szCs w:val="20"/>
              </w:rPr>
              <w:t xml:space="preserve">Gestor Administrativo / Procurador de trámites  ·  Gestoría colegiada (COGAC o equivalente), 2-8 personas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Gestor Administrativo colegiado con experiencia en trámites notariales, registrales y fiscales. Intermedia entre la familia y las administraciones. Su valor es la gestión procedimental, no el asesoramiento jurídico. Tramita 15-40 expedientes sucesorios al año.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Reducir el tiempo de tramitación de cada expediente para poder gestionar más sin ampliar equipo</w:t>
            </w:r>
          </w:p>
          <w:p>
            <w:pPr>
              <w:pStyle w:val="ListParagraph"/>
              <w:numPr>
                <w:ilvl w:val="0"/>
                <w:numId w:val="2"/>
              </w:numPr>
              <w:spacing w:before="30" w:after="30"/>
            </w:pPr>
            <w:r>
              <w:rPr>
                <w:rFonts w:ascii="Arial" w:cs="Arial" w:eastAsia="Arial" w:hAnsi="Arial"/>
                <w:sz w:val="19"/>
                <w:szCs w:val="19"/>
              </w:rPr>
              <w:t xml:space="preserve">Tener toda la documentación del expediente centralizada y accesible</w:t>
            </w:r>
          </w:p>
          <w:p>
            <w:pPr>
              <w:pStyle w:val="ListParagraph"/>
              <w:numPr>
                <w:ilvl w:val="0"/>
                <w:numId w:val="2"/>
              </w:numPr>
              <w:spacing w:before="30" w:after="30"/>
            </w:pPr>
            <w:r>
              <w:rPr>
                <w:rFonts w:ascii="Arial" w:cs="Arial" w:eastAsia="Arial" w:hAnsi="Arial"/>
                <w:sz w:val="19"/>
                <w:szCs w:val="19"/>
              </w:rPr>
              <w:t xml:space="preserve">Evitar errores en plazos y documentación que generen sanciones o retrasos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Gestión de documentación dispersa: cada heredero aporta documentos por distintos canales (email, papel, WhatsApp)</w:t>
            </w:r>
          </w:p>
          <w:p>
            <w:pPr>
              <w:pStyle w:val="ListParagraph"/>
              <w:numPr>
                <w:ilvl w:val="0"/>
                <w:numId w:val="2"/>
              </w:numPr>
              <w:spacing w:before="30" w:after="30"/>
            </w:pPr>
            <w:r>
              <w:rPr>
                <w:rFonts w:ascii="Arial" w:cs="Arial" w:eastAsia="Arial" w:hAnsi="Arial"/>
                <w:sz w:val="19"/>
                <w:szCs w:val="19"/>
              </w:rPr>
              <w:t xml:space="preserve">Seguimiento de plazos críticos: presentación del ISD, inscripción registral, cambios de titularidad</w:t>
            </w:r>
          </w:p>
          <w:p>
            <w:pPr>
              <w:pStyle w:val="ListParagraph"/>
              <w:numPr>
                <w:ilvl w:val="0"/>
                <w:numId w:val="2"/>
              </w:numPr>
              <w:spacing w:before="30" w:after="30"/>
            </w:pPr>
            <w:r>
              <w:rPr>
                <w:rFonts w:ascii="Arial" w:cs="Arial" w:eastAsia="Arial" w:hAnsi="Arial"/>
                <w:sz w:val="19"/>
                <w:szCs w:val="19"/>
              </w:rPr>
              <w:t xml:space="preserve">Coordinación con notaría, registro de la propiedad y AEAT: mucho tiempo en espera y seguimiento</w:t>
            </w:r>
          </w:p>
          <w:p>
            <w:pPr>
              <w:pStyle w:val="ListParagraph"/>
              <w:numPr>
                <w:ilvl w:val="0"/>
                <w:numId w:val="2"/>
              </w:numPr>
              <w:spacing w:before="30" w:after="30"/>
            </w:pPr>
            <w:r>
              <w:rPr>
                <w:rFonts w:ascii="Arial" w:cs="Arial" w:eastAsia="Arial" w:hAnsi="Arial"/>
                <w:sz w:val="19"/>
                <w:szCs w:val="19"/>
              </w:rPr>
              <w:t xml:space="preserve">Expedientes que se eternizan por falta de documentación de algún heredero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Central de documentación donde cada heredero aporte lo que le corresponde</w:t>
            </w:r>
          </w:p>
          <w:p>
            <w:pPr>
              <w:pStyle w:val="ListParagraph"/>
              <w:numPr>
                <w:ilvl w:val="0"/>
                <w:numId w:val="2"/>
              </w:numPr>
              <w:spacing w:before="30" w:after="30"/>
            </w:pPr>
            <w:r>
              <w:rPr>
                <w:rFonts w:ascii="Arial" w:cs="Arial" w:eastAsia="Arial" w:hAnsi="Arial"/>
                <w:sz w:val="19"/>
                <w:szCs w:val="19"/>
              </w:rPr>
              <w:t xml:space="preserve">Alertas automáticas de plazos de presentación fiscal</w:t>
            </w:r>
          </w:p>
          <w:p>
            <w:pPr>
              <w:pStyle w:val="ListParagraph"/>
              <w:numPr>
                <w:ilvl w:val="0"/>
                <w:numId w:val="2"/>
              </w:numPr>
              <w:spacing w:before="30" w:after="30"/>
            </w:pPr>
            <w:r>
              <w:rPr>
                <w:rFonts w:ascii="Arial" w:cs="Arial" w:eastAsia="Arial" w:hAnsi="Arial"/>
                <w:sz w:val="19"/>
                <w:szCs w:val="19"/>
              </w:rPr>
              <w:t xml:space="preserve">Generación del inventario de bienes estructurado para presentar al notario o a la AEAT</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'Mis clientes no son muy digitales y no podrán usar una plataforma online' → objeción por el cliente final</w:t>
            </w:r>
          </w:p>
          <w:p>
            <w:pPr>
              <w:pStyle w:val="ListParagraph"/>
              <w:numPr>
                <w:ilvl w:val="0"/>
                <w:numId w:val="2"/>
              </w:numPr>
              <w:spacing w:before="30" w:after="30"/>
            </w:pPr>
            <w:r>
              <w:rPr>
                <w:rFonts w:ascii="Arial" w:cs="Arial" w:eastAsia="Arial" w:hAnsi="Arial"/>
                <w:sz w:val="19"/>
                <w:szCs w:val="19"/>
              </w:rPr>
              <w:t xml:space="preserve">'¿Es compatible con el portal de la AEAT o de la ATC (Agència Tributària de Catalunya)?' → integración con administraciones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Nivel medio. Usa software de gestión de gestorías (GESGESTA, ProGestor, etc.) y herramientas específicas de tramitación administrativa. Valora la usabilidad por encima de las funciones avanzadas.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individual o con el socio. Muy orientado a ROI concreto: cuánto tiempo ahorra por expediente. Precio bajo-medio como expectativa. Responde bien a propuestas de valor cuantificadas ('ahorra X horas por expediente').</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8B6914" w:sz="1"/>
              <w:left w:val="single" w:color="8B6914" w:sz="1"/>
              <w:bottom w:val="single" w:color="8B6914" w:sz="1"/>
              <w:right w:val="single" w:color="8B6914" w:sz="1"/>
            </w:tcBorders>
            <w:shd w:fill="8B6914" w:val="clear"/>
            <w:tcMar>
              <w:top w:type="dxa" w:w="120"/>
              <w:left w:type="dxa" w:w="200"/>
              <w:bottom w:type="dxa" w:w="120"/>
              <w:right w:type="dxa" w:w="200"/>
            </w:tcMar>
          </w:tcPr>
          <w:p>
            <w:r>
              <w:rPr>
                <w:rFonts w:ascii="Arial" w:cs="Arial" w:eastAsia="Arial" w:hAnsi="Arial"/>
                <w:b/>
                <w:bCs/>
                <w:color w:val="FFFFFF"/>
                <w:sz w:val="26"/>
                <w:szCs w:val="26"/>
              </w:rPr>
              <w:t xml:space="preserve">A3 — El Director de Asesoría Multidisciplinar</w:t>
            </w:r>
          </w:p>
          <w:p>
            <w:pPr>
              <w:spacing w:before="40"/>
            </w:pPr>
            <w:r>
              <w:rPr>
                <w:rFonts w:ascii="Arial" w:cs="Arial" w:eastAsia="Arial" w:hAnsi="Arial"/>
                <w:color w:val="E2E8F0"/>
                <w:sz w:val="20"/>
                <w:szCs w:val="20"/>
              </w:rPr>
              <w:t xml:space="preserve">Director / Socio principal  ·  Asesoría con áreas de fiscal, laboral, contable y legal; 10-30 personas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Director con visión de negocio. Las herencias son una línea de servicio entre varias. Busca herramientas que estandaricen procesos en todo el equipo y que le den visibilidad sobre la rentabilidad de cada área. Tomador de decisiones de inversión en tecnología.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Rentabilizar el área de sucesiones: aumentar volumen sin aumentar coste fijo de personal</w:t>
            </w:r>
          </w:p>
          <w:p>
            <w:pPr>
              <w:pStyle w:val="ListParagraph"/>
              <w:numPr>
                <w:ilvl w:val="0"/>
                <w:numId w:val="2"/>
              </w:numPr>
              <w:spacing w:before="30" w:after="30"/>
            </w:pPr>
            <w:r>
              <w:rPr>
                <w:rFonts w:ascii="Arial" w:cs="Arial" w:eastAsia="Arial" w:hAnsi="Arial"/>
                <w:sz w:val="19"/>
                <w:szCs w:val="19"/>
              </w:rPr>
              <w:t xml:space="preserve">Estandarizar la calidad del servicio sucesorio independientemente del técnico que lleve el expediente</w:t>
            </w:r>
          </w:p>
          <w:p>
            <w:pPr>
              <w:pStyle w:val="ListParagraph"/>
              <w:numPr>
                <w:ilvl w:val="0"/>
                <w:numId w:val="2"/>
              </w:numPr>
              <w:spacing w:before="30" w:after="30"/>
            </w:pPr>
            <w:r>
              <w:rPr>
                <w:rFonts w:ascii="Arial" w:cs="Arial" w:eastAsia="Arial" w:hAnsi="Arial"/>
                <w:sz w:val="19"/>
                <w:szCs w:val="19"/>
              </w:rPr>
              <w:t xml:space="preserve">Posicionar la asesoría como 'servicio integral' ante el cliente familiar (fiscal + gestión + legal)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Alta dependencia de la persona que gestiona las herencias: si se va, el conocimiento se va con ella</w:t>
            </w:r>
          </w:p>
          <w:p>
            <w:pPr>
              <w:pStyle w:val="ListParagraph"/>
              <w:numPr>
                <w:ilvl w:val="0"/>
                <w:numId w:val="2"/>
              </w:numPr>
              <w:spacing w:before="30" w:after="30"/>
            </w:pPr>
            <w:r>
              <w:rPr>
                <w:rFonts w:ascii="Arial" w:cs="Arial" w:eastAsia="Arial" w:hAnsi="Arial"/>
                <w:sz w:val="19"/>
                <w:szCs w:val="19"/>
              </w:rPr>
              <w:t xml:space="preserve">Dificultad para medir la rentabilidad real de los expedientes sucesorios vs. otras líneas de negocio</w:t>
            </w:r>
          </w:p>
          <w:p>
            <w:pPr>
              <w:pStyle w:val="ListParagraph"/>
              <w:numPr>
                <w:ilvl w:val="0"/>
                <w:numId w:val="2"/>
              </w:numPr>
              <w:spacing w:before="30" w:after="30"/>
            </w:pPr>
            <w:r>
              <w:rPr>
                <w:rFonts w:ascii="Arial" w:cs="Arial" w:eastAsia="Arial" w:hAnsi="Arial"/>
                <w:sz w:val="19"/>
                <w:szCs w:val="19"/>
              </w:rPr>
              <w:t xml:space="preserve">Los expedientes complejos requieren derivar a abogados externos, perdiendo margen y control del cliente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Herramienta que permita a cualquier técnico del equipo llevar un expediente con garantías</w:t>
            </w:r>
          </w:p>
          <w:p>
            <w:pPr>
              <w:pStyle w:val="ListParagraph"/>
              <w:numPr>
                <w:ilvl w:val="0"/>
                <w:numId w:val="2"/>
              </w:numPr>
              <w:spacing w:before="30" w:after="30"/>
            </w:pPr>
            <w:r>
              <w:rPr>
                <w:rFonts w:ascii="Arial" w:cs="Arial" w:eastAsia="Arial" w:hAnsi="Arial"/>
                <w:sz w:val="19"/>
                <w:szCs w:val="19"/>
              </w:rPr>
              <w:t xml:space="preserve">Visibilidad de la cartera de expedientes en curso y su estado</w:t>
            </w:r>
          </w:p>
          <w:p>
            <w:pPr>
              <w:pStyle w:val="ListParagraph"/>
              <w:numPr>
                <w:ilvl w:val="0"/>
                <w:numId w:val="2"/>
              </w:numPr>
              <w:spacing w:before="30" w:after="30"/>
            </w:pPr>
            <w:r>
              <w:rPr>
                <w:rFonts w:ascii="Arial" w:cs="Arial" w:eastAsia="Arial" w:hAnsi="Arial"/>
                <w:sz w:val="19"/>
                <w:szCs w:val="19"/>
              </w:rPr>
              <w:t xml:space="preserve">Ampliar la capacidad del área sin contratar más personal especializado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'El precio debe justificarse en términos de ROI para los socios' → necesita argumento financiero claro</w:t>
            </w:r>
          </w:p>
          <w:p>
            <w:pPr>
              <w:pStyle w:val="ListParagraph"/>
              <w:numPr>
                <w:ilvl w:val="0"/>
                <w:numId w:val="2"/>
              </w:numPr>
              <w:spacing w:before="30" w:after="30"/>
            </w:pPr>
            <w:r>
              <w:rPr>
                <w:rFonts w:ascii="Arial" w:cs="Arial" w:eastAsia="Arial" w:hAnsi="Arial"/>
                <w:sz w:val="19"/>
                <w:szCs w:val="19"/>
              </w:rPr>
              <w:t xml:space="preserve">'¿Podemos probarlo durante un mes antes de comprometernos?' → necesita piloto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Alto. Ya invierte en herramientas de gestión y automatización. Mentalidad de gestión empresarial. Valora el reporting y la analítica.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formal con análisis de ROI. Ciclo medio (3-6 semanas). Requiere propuesta estructurada con proyección de ahorro de tiempo y coste. Sensible al precio pero más al valor total entregado.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4B2D8F" w:val="clear"/>
            <w:tcMar>
              <w:top w:type="dxa" w:w="200"/>
              <w:left w:type="dxa" w:w="280"/>
              <w:bottom w:type="dxa" w:w="200"/>
              <w:right w:type="dxa" w:w="280"/>
            </w:tcMar>
          </w:tcPr>
          <w:p>
            <w:r>
              <w:rPr>
                <w:rFonts w:ascii="Arial" w:cs="Arial" w:eastAsia="Arial" w:hAnsi="Arial"/>
                <w:b/>
                <w:bCs/>
                <w:color w:val="C8D8F0"/>
                <w:sz w:val="18"/>
                <w:szCs w:val="18"/>
              </w:rPr>
              <w:t xml:space="preserve">SEGMENTO 04</w:t>
            </w:r>
          </w:p>
          <w:p>
            <w:pPr>
              <w:spacing w:before="60"/>
            </w:pPr>
            <w:r>
              <w:rPr>
                <w:rFonts w:ascii="Arial" w:cs="Arial" w:eastAsia="Arial" w:hAnsi="Arial"/>
                <w:b/>
                <w:bCs/>
                <w:color w:val="FFFFFF"/>
                <w:sz w:val="36"/>
                <w:szCs w:val="36"/>
              </w:rPr>
              <w:t xml:space="preserve">Family Office</w:t>
            </w:r>
          </w:p>
          <w:p>
            <w:pPr>
              <w:spacing w:before="60"/>
            </w:pPr>
            <w:r>
              <w:rPr>
                <w:rFonts w:ascii="Arial" w:cs="Arial" w:eastAsia="Arial" w:hAnsi="Arial"/>
                <w:i/>
                <w:iCs/>
                <w:color w:val="CBD5E1"/>
                <w:sz w:val="20"/>
                <w:szCs w:val="20"/>
              </w:rPr>
              <w:t xml:space="preserve">Enfoque patrimonial-estratégico · Alto valor por cliente · Nicho de alto impacto</w:t>
            </w:r>
          </w:p>
        </w:tc>
      </w:tr>
    </w:tbl>
    <w:p>
      <w:pPr>
        <w:spacing w:before="200" w:after="0"/>
      </w:pPr>
      <w:r>
        <w:t xml:space="preserve"/>
      </w:r>
    </w:p>
    <w:p>
      <w:pPr>
        <w:spacing w:before="60" w:after="60"/>
      </w:pPr>
      <w:r>
        <w:rPr>
          <w:rFonts w:ascii="Arial" w:cs="Arial" w:eastAsia="Arial" w:hAnsi="Arial"/>
          <w:b w:val="false"/>
          <w:bCs w:val="false"/>
          <w:color w:val="1F2937"/>
          <w:sz w:val="20"/>
          <w:szCs w:val="20"/>
        </w:rPr>
        <w:t xml:space="preserve">Los family offices gestionan el patrimonio integral de familias de alto y muy alto patrimonio (generalmente a partir de 5-10M€ de activos gestionados). Su relación con la planificación sucesoria es continua y estratégica, no puntual. Son clientes de alto valor por expediente y alta complejidad. El número de operadores en España es limitado pero el impacto de captarlos como clientes es elevado por volumen de patrimonio gestionado y capacidad de prescripción.</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4B2D8F" w:sz="1"/>
              <w:left w:val="single" w:color="4B2D8F" w:sz="1"/>
              <w:bottom w:val="single" w:color="4B2D8F" w:sz="1"/>
              <w:right w:val="single" w:color="4B2D8F" w:sz="1"/>
            </w:tcBorders>
            <w:shd w:fill="4B2D8F" w:val="clear"/>
            <w:tcMar>
              <w:top w:type="dxa" w:w="120"/>
              <w:left w:type="dxa" w:w="200"/>
              <w:bottom w:type="dxa" w:w="120"/>
              <w:right w:type="dxa" w:w="200"/>
            </w:tcMar>
          </w:tcPr>
          <w:p>
            <w:r>
              <w:rPr>
                <w:rFonts w:ascii="Arial" w:cs="Arial" w:eastAsia="Arial" w:hAnsi="Arial"/>
                <w:b/>
                <w:bCs/>
                <w:color w:val="FFFFFF"/>
                <w:sz w:val="26"/>
                <w:szCs w:val="26"/>
              </w:rPr>
              <w:t xml:space="preserve">FO1 — El Director de Family Office Unifamiliar</w:t>
            </w:r>
          </w:p>
          <w:p>
            <w:pPr>
              <w:spacing w:before="40"/>
            </w:pPr>
            <w:r>
              <w:rPr>
                <w:rFonts w:ascii="Arial" w:cs="Arial" w:eastAsia="Arial" w:hAnsi="Arial"/>
                <w:color w:val="E2E8F0"/>
                <w:sz w:val="20"/>
                <w:szCs w:val="20"/>
              </w:rPr>
              <w:t xml:space="preserve">Director / Chief Wealth Officer  ·  Family office unifamiliar o multifamiliar pequeño (&lt;10 familias), 3-8 personas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Profesional con 15-25 años de experiencia en banca privada, gestión patrimonial o asesoría fiscal de alto patrimonio. Gestiona la planificación integral de la/s familia/s: inversiones, fiscalidad, filantropía y planificación sucesoria. Interlocutor directo con los principals de la familia.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Garantizar la continuidad del patrimonio familiar entre generaciones con mínima tributación y conflictividad</w:t>
            </w:r>
          </w:p>
          <w:p>
            <w:pPr>
              <w:pStyle w:val="ListParagraph"/>
              <w:numPr>
                <w:ilvl w:val="0"/>
                <w:numId w:val="2"/>
              </w:numPr>
              <w:spacing w:before="30" w:after="30"/>
            </w:pPr>
            <w:r>
              <w:rPr>
                <w:rFonts w:ascii="Arial" w:cs="Arial" w:eastAsia="Arial" w:hAnsi="Arial"/>
                <w:sz w:val="19"/>
                <w:szCs w:val="19"/>
              </w:rPr>
              <w:t xml:space="preserve">Coordinar a todos los asesores externos (abogados, notarios, fiscalistas, gestores) en un único flujo de planificación</w:t>
            </w:r>
          </w:p>
          <w:p>
            <w:pPr>
              <w:pStyle w:val="ListParagraph"/>
              <w:numPr>
                <w:ilvl w:val="0"/>
                <w:numId w:val="2"/>
              </w:numPr>
              <w:spacing w:before="30" w:after="30"/>
            </w:pPr>
            <w:r>
              <w:rPr>
                <w:rFonts w:ascii="Arial" w:cs="Arial" w:eastAsia="Arial" w:hAnsi="Arial"/>
                <w:sz w:val="19"/>
                <w:szCs w:val="19"/>
              </w:rPr>
              <w:t xml:space="preserve">Anticiparse a cambios normativos que puedan afectar a la estructura sucesoria de la familia</w:t>
            </w:r>
          </w:p>
          <w:p>
            <w:pPr>
              <w:pStyle w:val="ListParagraph"/>
              <w:numPr>
                <w:ilvl w:val="0"/>
                <w:numId w:val="2"/>
              </w:numPr>
              <w:spacing w:before="30" w:after="30"/>
            </w:pPr>
            <w:r>
              <w:rPr>
                <w:rFonts w:ascii="Arial" w:cs="Arial" w:eastAsia="Arial" w:hAnsi="Arial"/>
                <w:sz w:val="19"/>
                <w:szCs w:val="19"/>
              </w:rPr>
              <w:t xml:space="preserve">Documentar y actualizar el plan sucesorio ante cambios vitales (nacimientos, divorcios, fallecimientos, nuevas adquisiciones)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La planificación sucesoria de patrimonios complejos (sociedades, inmuebles, activos internacionales, participaciones empresariales) no cabe en ningún software estándar</w:t>
            </w:r>
          </w:p>
          <w:p>
            <w:pPr>
              <w:pStyle w:val="ListParagraph"/>
              <w:numPr>
                <w:ilvl w:val="0"/>
                <w:numId w:val="2"/>
              </w:numPr>
              <w:spacing w:before="30" w:after="30"/>
            </w:pPr>
            <w:r>
              <w:rPr>
                <w:rFonts w:ascii="Arial" w:cs="Arial" w:eastAsia="Arial" w:hAnsi="Arial"/>
                <w:sz w:val="19"/>
                <w:szCs w:val="19"/>
              </w:rPr>
              <w:t xml:space="preserve">Coordinar abogados, notarios, fiscalistas y banqueros en un mismo expediente es caótico: cada uno trabaja en sus propios documentos</w:t>
            </w:r>
          </w:p>
          <w:p>
            <w:pPr>
              <w:pStyle w:val="ListParagraph"/>
              <w:numPr>
                <w:ilvl w:val="0"/>
                <w:numId w:val="2"/>
              </w:numPr>
              <w:spacing w:before="30" w:after="30"/>
            </w:pPr>
            <w:r>
              <w:rPr>
                <w:rFonts w:ascii="Arial" w:cs="Arial" w:eastAsia="Arial" w:hAnsi="Arial"/>
                <w:sz w:val="19"/>
                <w:szCs w:val="19"/>
              </w:rPr>
              <w:t xml:space="preserve">Los escenarios sucesorios cambian frecuentemente (nuevos herederos, cambios de domicilio fiscal, nuevas adquisiciones): mantener el plan actualizado es costoso</w:t>
            </w:r>
          </w:p>
          <w:p>
            <w:pPr>
              <w:pStyle w:val="ListParagraph"/>
              <w:numPr>
                <w:ilvl w:val="0"/>
                <w:numId w:val="2"/>
              </w:numPr>
              <w:spacing w:before="30" w:after="30"/>
            </w:pPr>
            <w:r>
              <w:rPr>
                <w:rFonts w:ascii="Arial" w:cs="Arial" w:eastAsia="Arial" w:hAnsi="Arial"/>
                <w:sz w:val="19"/>
                <w:szCs w:val="19"/>
              </w:rPr>
              <w:t xml:space="preserve">Riesgo de conflicto entre herederos si el plan sucesorio no está documentado con precisión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Plataforma que centralice el inventario patrimonial y permita simular distintos escenarios sucesorios</w:t>
            </w:r>
          </w:p>
          <w:p>
            <w:pPr>
              <w:pStyle w:val="ListParagraph"/>
              <w:numPr>
                <w:ilvl w:val="0"/>
                <w:numId w:val="2"/>
              </w:numPr>
              <w:spacing w:before="30" w:after="30"/>
            </w:pPr>
            <w:r>
              <w:rPr>
                <w:rFonts w:ascii="Arial" w:cs="Arial" w:eastAsia="Arial" w:hAnsi="Arial"/>
                <w:sz w:val="19"/>
                <w:szCs w:val="19"/>
              </w:rPr>
              <w:t xml:space="preserve">Herramienta de colaboración entre todos los asesores del family office</w:t>
            </w:r>
          </w:p>
          <w:p>
            <w:pPr>
              <w:pStyle w:val="ListParagraph"/>
              <w:numPr>
                <w:ilvl w:val="0"/>
                <w:numId w:val="2"/>
              </w:numPr>
              <w:spacing w:before="30" w:after="30"/>
            </w:pPr>
            <w:r>
              <w:rPr>
                <w:rFonts w:ascii="Arial" w:cs="Arial" w:eastAsia="Arial" w:hAnsi="Arial"/>
                <w:sz w:val="19"/>
                <w:szCs w:val="19"/>
              </w:rPr>
              <w:t xml:space="preserve">Motor normativo que contemple estructuras complejas: sociedades holding, trust, activos internacionales</w:t>
            </w:r>
          </w:p>
          <w:p>
            <w:pPr>
              <w:pStyle w:val="ListParagraph"/>
              <w:numPr>
                <w:ilvl w:val="0"/>
                <w:numId w:val="2"/>
              </w:numPr>
              <w:spacing w:before="30" w:after="30"/>
            </w:pPr>
            <w:r>
              <w:rPr>
                <w:rFonts w:ascii="Arial" w:cs="Arial" w:eastAsia="Arial" w:hAnsi="Arial"/>
                <w:sz w:val="19"/>
                <w:szCs w:val="19"/>
              </w:rPr>
              <w:t xml:space="preserve">Trazabilidad de todas las decisiones de planificación sucesoria a lo largo del tiempo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'Nuestras estructuras patrimoniales son demasiado complejas para un software estándar' → objeción de complejidad</w:t>
            </w:r>
          </w:p>
          <w:p>
            <w:pPr>
              <w:pStyle w:val="ListParagraph"/>
              <w:numPr>
                <w:ilvl w:val="0"/>
                <w:numId w:val="2"/>
              </w:numPr>
              <w:spacing w:before="30" w:after="30"/>
            </w:pPr>
            <w:r>
              <w:rPr>
                <w:rFonts w:ascii="Arial" w:cs="Arial" w:eastAsia="Arial" w:hAnsi="Arial"/>
                <w:sz w:val="19"/>
                <w:szCs w:val="19"/>
              </w:rPr>
              <w:t xml:space="preserve">'La confidencialidad es prioritaria: ¿dónde están alojados los datos y quién tiene acceso?' → objeción de seguridad</w:t>
            </w:r>
          </w:p>
          <w:p>
            <w:pPr>
              <w:pStyle w:val="ListParagraph"/>
              <w:numPr>
                <w:ilvl w:val="0"/>
                <w:numId w:val="2"/>
              </w:numPr>
              <w:spacing w:before="30" w:after="30"/>
            </w:pPr>
            <w:r>
              <w:rPr>
                <w:rFonts w:ascii="Arial" w:cs="Arial" w:eastAsia="Arial" w:hAnsi="Arial"/>
                <w:sz w:val="19"/>
                <w:szCs w:val="19"/>
              </w:rPr>
              <w:t xml:space="preserve">'Ya tenemos un abogado de confianza que lleva esto. ¿Por qué necesitamos una herramienta adicional?' → objeción de status quo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Muy alto. Usa herramientas de consolidación patrimonial (Addepar, Altoo, etc.), CRM y plataformas de reporting. Exige integraciones y altos estándares de seguridad (ISO 27001, GDPR). La herramienta debe estar a la altura del ecosistema tecnológico existente.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del director con aprobación del principal de la familia en algunos casos. Ciclo largo (3-6 meses). Requiere propuesta técnica detallada, demostración de capacidad con casos de uso reales y, frecuentemente, un piloto pagado. Ticket alto. Canal de acceso: referencia de otro family office o banca privada.</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6B3FB5" w:sz="1"/>
              <w:left w:val="single" w:color="6B3FB5" w:sz="1"/>
              <w:bottom w:val="single" w:color="6B3FB5" w:sz="1"/>
              <w:right w:val="single" w:color="6B3FB5" w:sz="1"/>
            </w:tcBorders>
            <w:shd w:fill="6B3FB5" w:val="clear"/>
            <w:tcMar>
              <w:top w:type="dxa" w:w="120"/>
              <w:left w:type="dxa" w:w="200"/>
              <w:bottom w:type="dxa" w:w="120"/>
              <w:right w:type="dxa" w:w="200"/>
            </w:tcMar>
          </w:tcPr>
          <w:p>
            <w:r>
              <w:rPr>
                <w:rFonts w:ascii="Arial" w:cs="Arial" w:eastAsia="Arial" w:hAnsi="Arial"/>
                <w:b/>
                <w:bCs/>
                <w:color w:val="FFFFFF"/>
                <w:sz w:val="26"/>
                <w:szCs w:val="26"/>
              </w:rPr>
              <w:t xml:space="preserve">FO2 — El Asesor Patrimonial de Banca Privada</w:t>
            </w:r>
          </w:p>
          <w:p>
            <w:pPr>
              <w:spacing w:before="40"/>
            </w:pPr>
            <w:r>
              <w:rPr>
                <w:rFonts w:ascii="Arial" w:cs="Arial" w:eastAsia="Arial" w:hAnsi="Arial"/>
                <w:color w:val="E2E8F0"/>
                <w:sz w:val="20"/>
                <w:szCs w:val="20"/>
              </w:rPr>
              <w:t xml:space="preserve">Private Banker / Asesor de Banca Privada Senior  ·  Banco privado, entidad de gestión de activos o EAF (Empresa de Asesoramiento Financiero)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Asesor con cartera de clientes de alto patrimonio (&gt;500K€ de activos gestionados por cliente). La planificación sucesoria es un servicio que ofrece o debería ofrecer a sus clientes como parte del asesoramiento integral, pero habitualmente lo delega en abogados externos por falta de herramientas propias.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Ofrecer planificación sucesoria como servicio de valor añadido para aumentar la vinculación del cliente</w:t>
            </w:r>
          </w:p>
          <w:p>
            <w:pPr>
              <w:pStyle w:val="ListParagraph"/>
              <w:numPr>
                <w:ilvl w:val="0"/>
                <w:numId w:val="2"/>
              </w:numPr>
              <w:spacing w:before="30" w:after="30"/>
            </w:pPr>
            <w:r>
              <w:rPr>
                <w:rFonts w:ascii="Arial" w:cs="Arial" w:eastAsia="Arial" w:hAnsi="Arial"/>
                <w:sz w:val="19"/>
                <w:szCs w:val="19"/>
              </w:rPr>
              <w:t xml:space="preserve">Evitar que el cliente acuda a otro asesor o despacho para la planificación sucesoria y pierda la relación con el banco</w:t>
            </w:r>
          </w:p>
          <w:p>
            <w:pPr>
              <w:pStyle w:val="ListParagraph"/>
              <w:numPr>
                <w:ilvl w:val="0"/>
                <w:numId w:val="2"/>
              </w:numPr>
              <w:spacing w:before="30" w:after="30"/>
            </w:pPr>
            <w:r>
              <w:rPr>
                <w:rFonts w:ascii="Arial" w:cs="Arial" w:eastAsia="Arial" w:hAnsi="Arial"/>
                <w:sz w:val="19"/>
                <w:szCs w:val="19"/>
              </w:rPr>
              <w:t xml:space="preserve">Aumentar el AUM (activos bajo gestión) capturando el patrimonio heredado por los beneficiarios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No tiene herramientas propias para simular escenarios sucesorios: depende completamente de asesores externos</w:t>
            </w:r>
          </w:p>
          <w:p>
            <w:pPr>
              <w:pStyle w:val="ListParagraph"/>
              <w:numPr>
                <w:ilvl w:val="0"/>
                <w:numId w:val="2"/>
              </w:numPr>
              <w:spacing w:before="30" w:after="30"/>
            </w:pPr>
            <w:r>
              <w:rPr>
                <w:rFonts w:ascii="Arial" w:cs="Arial" w:eastAsia="Arial" w:hAnsi="Arial"/>
                <w:sz w:val="19"/>
                <w:szCs w:val="19"/>
              </w:rPr>
              <w:t xml:space="preserve">Cuando el cliente muere, el heredero puede llevarse el patrimonio a otra entidad: riesgo de fuga de activos</w:t>
            </w:r>
          </w:p>
          <w:p>
            <w:pPr>
              <w:pStyle w:val="ListParagraph"/>
              <w:numPr>
                <w:ilvl w:val="0"/>
                <w:numId w:val="2"/>
              </w:numPr>
              <w:spacing w:before="30" w:after="30"/>
            </w:pPr>
            <w:r>
              <w:rPr>
                <w:rFonts w:ascii="Arial" w:cs="Arial" w:eastAsia="Arial" w:hAnsi="Arial"/>
                <w:sz w:val="19"/>
                <w:szCs w:val="19"/>
              </w:rPr>
              <w:t xml:space="preserve">Difícil diferenciarse de la competencia si el servicio de planificación sucesoria es idéntico en todos los bancos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Herramienta de simulación sucesoria que pueda usar en reuniones con el cliente para demostrar valor añadido</w:t>
            </w:r>
          </w:p>
          <w:p>
            <w:pPr>
              <w:pStyle w:val="ListParagraph"/>
              <w:numPr>
                <w:ilvl w:val="0"/>
                <w:numId w:val="2"/>
              </w:numPr>
              <w:spacing w:before="30" w:after="30"/>
            </w:pPr>
            <w:r>
              <w:rPr>
                <w:rFonts w:ascii="Arial" w:cs="Arial" w:eastAsia="Arial" w:hAnsi="Arial"/>
                <w:sz w:val="19"/>
                <w:szCs w:val="19"/>
              </w:rPr>
              <w:t xml:space="preserve">Captación del heredero como nuevo cliente de banca privada: la herramienta puede ser el puente</w:t>
            </w:r>
          </w:p>
          <w:p>
            <w:pPr>
              <w:pStyle w:val="ListParagraph"/>
              <w:numPr>
                <w:ilvl w:val="0"/>
                <w:numId w:val="2"/>
              </w:numPr>
              <w:spacing w:before="30" w:after="30"/>
            </w:pPr>
            <w:r>
              <w:rPr>
                <w:rFonts w:ascii="Arial" w:cs="Arial" w:eastAsia="Arial" w:hAnsi="Arial"/>
                <w:sz w:val="19"/>
                <w:szCs w:val="19"/>
              </w:rPr>
              <w:t xml:space="preserve">Posicionamiento diferencial de la entidad como 'banco que cuida el patrimonio multigeneracionalmente'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'La compra de herramientas se decide a nivel corporativo, no a nivel de asesor individual' → limitación de autonomía</w:t>
            </w:r>
          </w:p>
          <w:p>
            <w:pPr>
              <w:pStyle w:val="ListParagraph"/>
              <w:numPr>
                <w:ilvl w:val="0"/>
                <w:numId w:val="2"/>
              </w:numPr>
              <w:spacing w:before="30" w:after="30"/>
            </w:pPr>
            <w:r>
              <w:rPr>
                <w:rFonts w:ascii="Arial" w:cs="Arial" w:eastAsia="Arial" w:hAnsi="Arial"/>
                <w:sz w:val="19"/>
                <w:szCs w:val="19"/>
              </w:rPr>
              <w:t xml:space="preserve">'Nuestro compliance necesita validar cualquier nueva herramienta que toque datos del cliente' → barrera regulatoria interna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Muy alto en su propio ecosistema tecnológico. Bajo en herramientas sucesorias específicas. Espera herramientas white-label o integradas en su plataforma institucional.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No decide individualmente. La compra es institucional (nivel dirección de negocio o tecnología). El asesor es un prescriptor e influenciador, no el decision-maker. Ciclo muy largo (6-18 meses). Ticket alto si es acuerdo institucional. Canal: presentación en eventos del sector o a través de dirección de producto del banco.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374151" w:val="clear"/>
            <w:tcMar>
              <w:top w:type="dxa" w:w="200"/>
              <w:left w:type="dxa" w:w="280"/>
              <w:bottom w:type="dxa" w:w="200"/>
              <w:right w:type="dxa" w:w="280"/>
            </w:tcMar>
          </w:tcPr>
          <w:p>
            <w:r>
              <w:rPr>
                <w:rFonts w:ascii="Arial" w:cs="Arial" w:eastAsia="Arial" w:hAnsi="Arial"/>
                <w:b/>
                <w:bCs/>
                <w:color w:val="C8D8F0"/>
                <w:sz w:val="18"/>
                <w:szCs w:val="18"/>
              </w:rPr>
              <w:t xml:space="preserve">SEGMENTO 05</w:t>
            </w:r>
          </w:p>
          <w:p>
            <w:pPr>
              <w:spacing w:before="60"/>
            </w:pPr>
            <w:r>
              <w:rPr>
                <w:rFonts w:ascii="Arial" w:cs="Arial" w:eastAsia="Arial" w:hAnsi="Arial"/>
                <w:b/>
                <w:bCs/>
                <w:color w:val="FFFFFF"/>
                <w:sz w:val="36"/>
                <w:szCs w:val="36"/>
              </w:rPr>
              <w:t xml:space="preserve">Funerarias</w:t>
            </w:r>
          </w:p>
          <w:p>
            <w:pPr>
              <w:spacing w:before="60"/>
            </w:pPr>
            <w:r>
              <w:rPr>
                <w:rFonts w:ascii="Arial" w:cs="Arial" w:eastAsia="Arial" w:hAnsi="Arial"/>
                <w:i/>
                <w:iCs/>
                <w:color w:val="CBD5E1"/>
                <w:sz w:val="20"/>
                <w:szCs w:val="20"/>
              </w:rPr>
              <w:t xml:space="preserve">Primer punto de contacto post-defunción · Enfoque emocional-relacional · Canal de derivación</w:t>
            </w:r>
          </w:p>
        </w:tc>
      </w:tr>
    </w:tbl>
    <w:p>
      <w:pPr>
        <w:spacing w:before="200" w:after="0"/>
      </w:pPr>
      <w:r>
        <w:t xml:space="preserve"/>
      </w:r>
    </w:p>
    <w:p>
      <w:pPr>
        <w:spacing w:before="60" w:after="60"/>
      </w:pPr>
      <w:r>
        <w:rPr>
          <w:rFonts w:ascii="Arial" w:cs="Arial" w:eastAsia="Arial" w:hAnsi="Arial"/>
          <w:b w:val="false"/>
          <w:bCs w:val="false"/>
          <w:color w:val="1F2937"/>
          <w:sz w:val="20"/>
          <w:szCs w:val="20"/>
        </w:rPr>
        <w:t xml:space="preserve">Las funerarias son el primer punto de contacto de la familia tras el fallecimiento. Esto las posiciona como un canal de derivación estratégico hacia los servicios de tramitación de herencias, pero no como usuarios directos del software. La propuesta de valor de Ulpiano para este segmento es diferente: no se trata de automatizar un proceso que llevan ellas, sino de establecer acuerdos de co-marketing o derivación mediante los cuales la funeraria recomienda o facilita el acceso a Ulpiano a las familias que atiende.</w:t>
      </w:r>
    </w:p>
    <w:p>
      <w:pPr>
        <w:spacing w:before="120" w:after="0"/>
      </w:pPr>
      <w:r>
        <w:t xml:space="preserve"/>
      </w:r>
    </w:p>
    <w:p>
      <w:pPr>
        <w:spacing w:before="60" w:after="60"/>
      </w:pPr>
      <w:r>
        <w:rPr>
          <w:rFonts w:ascii="Arial" w:cs="Arial" w:eastAsia="Arial" w:hAnsi="Arial"/>
          <w:b/>
          <w:bCs/>
          <w:color w:val="1F2937"/>
          <w:sz w:val="20"/>
          <w:szCs w:val="20"/>
        </w:rPr>
        <w:t xml:space="preserve">⚠️  Nota estratégica: Este segmento debe abordarse como canal de distribución / partnership, no como cliente SaaS directo. El buyer persona no es un usuario de la plataforma sino un decisor de alianzas comerciales.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374151" w:sz="1"/>
              <w:left w:val="single" w:color="374151" w:sz="1"/>
              <w:bottom w:val="single" w:color="374151" w:sz="1"/>
              <w:right w:val="single" w:color="374151" w:sz="1"/>
            </w:tcBorders>
            <w:shd w:fill="374151" w:val="clear"/>
            <w:tcMar>
              <w:top w:type="dxa" w:w="120"/>
              <w:left w:type="dxa" w:w="200"/>
              <w:bottom w:type="dxa" w:w="120"/>
              <w:right w:type="dxa" w:w="200"/>
            </w:tcMar>
          </w:tcPr>
          <w:p>
            <w:r>
              <w:rPr>
                <w:rFonts w:ascii="Arial" w:cs="Arial" w:eastAsia="Arial" w:hAnsi="Arial"/>
                <w:b/>
                <w:bCs/>
                <w:color w:val="FFFFFF"/>
                <w:sz w:val="26"/>
                <w:szCs w:val="26"/>
              </w:rPr>
              <w:t xml:space="preserve">F1 — El Director de Funeraria o Grupo Funerario</w:t>
            </w:r>
          </w:p>
          <w:p>
            <w:pPr>
              <w:spacing w:before="40"/>
            </w:pPr>
            <w:r>
              <w:rPr>
                <w:rFonts w:ascii="Arial" w:cs="Arial" w:eastAsia="Arial" w:hAnsi="Arial"/>
                <w:color w:val="E2E8F0"/>
                <w:sz w:val="20"/>
                <w:szCs w:val="20"/>
              </w:rPr>
              <w:t xml:space="preserve">Director General / Responsable de Negocio  ·  Funeraria independiente de tamaño medio o grupo funerario regional (Mémora, Áltima, Funespaña, etc.)</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Director o propietario de funeraria. Gestiona 200-1.000 servicios fúnebres al año. Interesado en ampliar los servicios de acompañamiento a la familia más allá del servicio fúnebre en sí. Las grandes cadenas (Mémora, Áltima) ya ofrecen servicios complementarios (gestión de trámites, seguros). Las funerarias independientes buscan diferenciarse.</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Aumentar el ticket medio por familia atendida añadiendo servicios complementarios al fúnebre</w:t>
            </w:r>
          </w:p>
          <w:p>
            <w:pPr>
              <w:pStyle w:val="ListParagraph"/>
              <w:numPr>
                <w:ilvl w:val="0"/>
                <w:numId w:val="2"/>
              </w:numPr>
              <w:spacing w:before="30" w:after="30"/>
            </w:pPr>
            <w:r>
              <w:rPr>
                <w:rFonts w:ascii="Arial" w:cs="Arial" w:eastAsia="Arial" w:hAnsi="Arial"/>
                <w:sz w:val="19"/>
                <w:szCs w:val="19"/>
              </w:rPr>
              <w:t xml:space="preserve">Fidelizar a la familia en un momento de alta vulnerabilidad emocional</w:t>
            </w:r>
          </w:p>
          <w:p>
            <w:pPr>
              <w:pStyle w:val="ListParagraph"/>
              <w:numPr>
                <w:ilvl w:val="0"/>
                <w:numId w:val="2"/>
              </w:numPr>
              <w:spacing w:before="30" w:after="30"/>
            </w:pPr>
            <w:r>
              <w:rPr>
                <w:rFonts w:ascii="Arial" w:cs="Arial" w:eastAsia="Arial" w:hAnsi="Arial"/>
                <w:sz w:val="19"/>
                <w:szCs w:val="19"/>
              </w:rPr>
              <w:t xml:space="preserve">Diferenciarse de la competencia ofreciendo un 'servicio integral post-defunción'</w:t>
            </w:r>
          </w:p>
          <w:p>
            <w:pPr>
              <w:pStyle w:val="ListParagraph"/>
              <w:numPr>
                <w:ilvl w:val="0"/>
                <w:numId w:val="2"/>
              </w:numPr>
              <w:spacing w:before="30" w:after="30"/>
            </w:pPr>
            <w:r>
              <w:rPr>
                <w:rFonts w:ascii="Arial" w:cs="Arial" w:eastAsia="Arial" w:hAnsi="Arial"/>
                <w:sz w:val="19"/>
                <w:szCs w:val="19"/>
              </w:rPr>
              <w:t xml:space="preserve">Para grandes grupos: generar un flujo de ingresos recurrente mediante servicios de tramitación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El servicio fúnebre es un negocio de alta competencia y bajo margen: necesita diversificar ingresos</w:t>
            </w:r>
          </w:p>
          <w:p>
            <w:pPr>
              <w:pStyle w:val="ListParagraph"/>
              <w:numPr>
                <w:ilvl w:val="0"/>
                <w:numId w:val="2"/>
              </w:numPr>
              <w:spacing w:before="30" w:after="30"/>
            </w:pPr>
            <w:r>
              <w:rPr>
                <w:rFonts w:ascii="Arial" w:cs="Arial" w:eastAsia="Arial" w:hAnsi="Arial"/>
                <w:sz w:val="19"/>
                <w:szCs w:val="19"/>
              </w:rPr>
              <w:t xml:space="preserve">La familia, tras el fallecimiento, no sabe a quién acudir para la tramitación de la herencia: la funeraria pierde esa oportunidad</w:t>
            </w:r>
          </w:p>
          <w:p>
            <w:pPr>
              <w:pStyle w:val="ListParagraph"/>
              <w:numPr>
                <w:ilvl w:val="0"/>
                <w:numId w:val="2"/>
              </w:numPr>
              <w:spacing w:before="30" w:after="30"/>
            </w:pPr>
            <w:r>
              <w:rPr>
                <w:rFonts w:ascii="Arial" w:cs="Arial" w:eastAsia="Arial" w:hAnsi="Arial"/>
                <w:sz w:val="19"/>
                <w:szCs w:val="19"/>
              </w:rPr>
              <w:t xml:space="preserve">Las grandes cadenas ya ofrecen estos servicios internamente: las funerarias independientes quedan en desventaja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Acuerdo de partnership mediante el cual Ulpiano paga una comisión por cada familia derivada</w:t>
            </w:r>
          </w:p>
          <w:p>
            <w:pPr>
              <w:pStyle w:val="ListParagraph"/>
              <w:numPr>
                <w:ilvl w:val="0"/>
                <w:numId w:val="2"/>
              </w:numPr>
              <w:spacing w:before="30" w:after="30"/>
            </w:pPr>
            <w:r>
              <w:rPr>
                <w:rFonts w:ascii="Arial" w:cs="Arial" w:eastAsia="Arial" w:hAnsi="Arial"/>
                <w:sz w:val="19"/>
                <w:szCs w:val="19"/>
              </w:rPr>
              <w:t xml:space="preserve">Co-branding: la funeraria ofrece 'Ulpiano' como servicio propio a sus familias</w:t>
            </w:r>
          </w:p>
          <w:p>
            <w:pPr>
              <w:pStyle w:val="ListParagraph"/>
              <w:numPr>
                <w:ilvl w:val="0"/>
                <w:numId w:val="2"/>
              </w:numPr>
              <w:spacing w:before="30" w:after="30"/>
            </w:pPr>
            <w:r>
              <w:rPr>
                <w:rFonts w:ascii="Arial" w:cs="Arial" w:eastAsia="Arial" w:hAnsi="Arial"/>
                <w:sz w:val="19"/>
                <w:szCs w:val="19"/>
              </w:rPr>
              <w:t xml:space="preserve">Propuesta de acompañamiento completo: desde el servicio fúnebre hasta la tramitación de la herencia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'No quiero que las familias perciban que estoy intentando venderles algo en un momento de duelo' → sensibilidad deontológica</w:t>
            </w:r>
          </w:p>
          <w:p>
            <w:pPr>
              <w:pStyle w:val="ListParagraph"/>
              <w:numPr>
                <w:ilvl w:val="0"/>
                <w:numId w:val="2"/>
              </w:numPr>
              <w:spacing w:before="30" w:after="30"/>
            </w:pPr>
            <w:r>
              <w:rPr>
                <w:rFonts w:ascii="Arial" w:cs="Arial" w:eastAsia="Arial" w:hAnsi="Arial"/>
                <w:sz w:val="19"/>
                <w:szCs w:val="19"/>
              </w:rPr>
              <w:t xml:space="preserve">'¿Tenéis referencias de otras funerarias que ya trabajen con vosotros?' → exige validación social</w:t>
            </w:r>
          </w:p>
          <w:p>
            <w:pPr>
              <w:pStyle w:val="ListParagraph"/>
              <w:numPr>
                <w:ilvl w:val="0"/>
                <w:numId w:val="2"/>
              </w:numPr>
              <w:spacing w:before="30" w:after="30"/>
            </w:pPr>
            <w:r>
              <w:rPr>
                <w:rFonts w:ascii="Arial" w:cs="Arial" w:eastAsia="Arial" w:hAnsi="Arial"/>
                <w:sz w:val="19"/>
                <w:szCs w:val="19"/>
              </w:rPr>
              <w:t xml:space="preserve">'Las grandes cadenas ya tienen sus propias herramientas. ¿Qué me aportáis diferente?' → posicionamiento competitivo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Bajo-medio. Las funerarias independientes tienen digitalización mínima. Los grandes grupos tienen plataformas propias pero pueden estar abiertos a integraciones de terceros.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del director o propietario (funeraria independiente) o del responsable de alianzas comerciales (gran grupo). Ciclo medio (4-8 semanas). El modelo de partnership debe ser de bajo riesgo financiero para la funeraria (preferiblemente comisión por derivación, no cuota fija). Canal: contacto directo, asociaciones funerarias (PANASEF, ACEF).</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4B5563" w:sz="1"/>
              <w:left w:val="single" w:color="4B5563" w:sz="1"/>
              <w:bottom w:val="single" w:color="4B5563" w:sz="1"/>
              <w:right w:val="single" w:color="4B5563" w:sz="1"/>
            </w:tcBorders>
            <w:shd w:fill="4B5563" w:val="clear"/>
            <w:tcMar>
              <w:top w:type="dxa" w:w="120"/>
              <w:left w:type="dxa" w:w="200"/>
              <w:bottom w:type="dxa" w:w="120"/>
              <w:right w:type="dxa" w:w="200"/>
            </w:tcMar>
          </w:tcPr>
          <w:p>
            <w:r>
              <w:rPr>
                <w:rFonts w:ascii="Arial" w:cs="Arial" w:eastAsia="Arial" w:hAnsi="Arial"/>
                <w:b/>
                <w:bCs/>
                <w:color w:val="FFFFFF"/>
                <w:sz w:val="26"/>
                <w:szCs w:val="26"/>
              </w:rPr>
              <w:t xml:space="preserve">F2 — El Responsable de Servicios a la Familia (Grandes Grupos)</w:t>
            </w:r>
          </w:p>
          <w:p>
            <w:pPr>
              <w:spacing w:before="40"/>
            </w:pPr>
            <w:r>
              <w:rPr>
                <w:rFonts w:ascii="Arial" w:cs="Arial" w:eastAsia="Arial" w:hAnsi="Arial"/>
                <w:color w:val="E2E8F0"/>
                <w:sz w:val="20"/>
                <w:szCs w:val="20"/>
              </w:rPr>
              <w:t xml:space="preserve">Responsable de Área / Product Manager de Servicios Complementarios  ·  Gran grupo funerario nacional (Mémora, Funespaña, Áltima, Sanitas Mayores)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Profesional con 8-15 años de experiencia en el sector de servicios funerarios o seguros. Responsable de desarrollar y gestionar los servicios complementarios al servicio fúnebre: tramitación de gestiones, asesoramiento inicial, seguros de decesos, etc. Reporta a la dirección de negocio.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Ampliar el catálogo de servicios post-defunción para aumentar el ARPU (ingreso medio por familia)</w:t>
            </w:r>
          </w:p>
          <w:p>
            <w:pPr>
              <w:pStyle w:val="ListParagraph"/>
              <w:numPr>
                <w:ilvl w:val="0"/>
                <w:numId w:val="2"/>
              </w:numPr>
              <w:spacing w:before="30" w:after="30"/>
            </w:pPr>
            <w:r>
              <w:rPr>
                <w:rFonts w:ascii="Arial" w:cs="Arial" w:eastAsia="Arial" w:hAnsi="Arial"/>
                <w:sz w:val="19"/>
                <w:szCs w:val="19"/>
              </w:rPr>
              <w:t xml:space="preserve">Digitalizar el acompañamiento a la familia mediante herramientas que escalen en toda la red de establecimientos</w:t>
            </w:r>
          </w:p>
          <w:p>
            <w:pPr>
              <w:pStyle w:val="ListParagraph"/>
              <w:numPr>
                <w:ilvl w:val="0"/>
                <w:numId w:val="2"/>
              </w:numPr>
              <w:spacing w:before="30" w:after="30"/>
            </w:pPr>
            <w:r>
              <w:rPr>
                <w:rFonts w:ascii="Arial" w:cs="Arial" w:eastAsia="Arial" w:hAnsi="Arial"/>
                <w:sz w:val="19"/>
                <w:szCs w:val="19"/>
              </w:rPr>
              <w:t xml:space="preserve">Mejorar la satisfacción de la familia durante el proceso de tramitación (NPS post-servicio)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Los servicios de tramitación actuales son manuales y no escalan bien en una red de 200+ establecimientos</w:t>
            </w:r>
          </w:p>
          <w:p>
            <w:pPr>
              <w:pStyle w:val="ListParagraph"/>
              <w:numPr>
                <w:ilvl w:val="0"/>
                <w:numId w:val="2"/>
              </w:numPr>
              <w:spacing w:before="30" w:after="30"/>
            </w:pPr>
            <w:r>
              <w:rPr>
                <w:rFonts w:ascii="Arial" w:cs="Arial" w:eastAsia="Arial" w:hAnsi="Arial"/>
                <w:sz w:val="19"/>
                <w:szCs w:val="19"/>
              </w:rPr>
              <w:t xml:space="preserve">Difícil garantizar la calidad del asesoramiento sucesorio con el personal de funeraria actual (no son juristas)</w:t>
            </w:r>
          </w:p>
          <w:p>
            <w:pPr>
              <w:pStyle w:val="ListParagraph"/>
              <w:numPr>
                <w:ilvl w:val="0"/>
                <w:numId w:val="2"/>
              </w:numPr>
              <w:spacing w:before="30" w:after="30"/>
            </w:pPr>
            <w:r>
              <w:rPr>
                <w:rFonts w:ascii="Arial" w:cs="Arial" w:eastAsia="Arial" w:hAnsi="Arial"/>
                <w:sz w:val="19"/>
                <w:szCs w:val="19"/>
              </w:rPr>
              <w:t xml:space="preserve">Alta demanda de familias que preguntan '¿y ahora qué hacemos con la herencia?' y no tienen respuesta inmediata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Plataforma que la funeraria pueda ofrecer a las familias como 'gestor de la herencia' sin necesitar personal jurídico propio</w:t>
            </w:r>
          </w:p>
          <w:p>
            <w:pPr>
              <w:pStyle w:val="ListParagraph"/>
              <w:numPr>
                <w:ilvl w:val="0"/>
                <w:numId w:val="2"/>
              </w:numPr>
              <w:spacing w:before="30" w:after="30"/>
            </w:pPr>
            <w:r>
              <w:rPr>
                <w:rFonts w:ascii="Arial" w:cs="Arial" w:eastAsia="Arial" w:hAnsi="Arial"/>
                <w:sz w:val="19"/>
                <w:szCs w:val="19"/>
              </w:rPr>
              <w:t xml:space="preserve">White-label o co-branding que refuerce la marca del grupo funerario</w:t>
            </w:r>
          </w:p>
          <w:p>
            <w:pPr>
              <w:pStyle w:val="ListParagraph"/>
              <w:numPr>
                <w:ilvl w:val="0"/>
                <w:numId w:val="2"/>
              </w:numPr>
              <w:spacing w:before="30" w:after="30"/>
            </w:pPr>
            <w:r>
              <w:rPr>
                <w:rFonts w:ascii="Arial" w:cs="Arial" w:eastAsia="Arial" w:hAnsi="Arial"/>
                <w:sz w:val="19"/>
                <w:szCs w:val="19"/>
              </w:rPr>
              <w:t xml:space="preserve">Modelo de ingresos por comisión o tarifa plana que sea rentable para el grupo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'Necesitamos una integración con nuestro CRM de gestión de familias' → requisito técnico</w:t>
            </w:r>
          </w:p>
          <w:p>
            <w:pPr>
              <w:pStyle w:val="ListParagraph"/>
              <w:numPr>
                <w:ilvl w:val="0"/>
                <w:numId w:val="2"/>
              </w:numPr>
              <w:spacing w:before="30" w:after="30"/>
            </w:pPr>
            <w:r>
              <w:rPr>
                <w:rFonts w:ascii="Arial" w:cs="Arial" w:eastAsia="Arial" w:hAnsi="Arial"/>
                <w:sz w:val="19"/>
                <w:szCs w:val="19"/>
              </w:rPr>
              <w:t xml:space="preserve">'El proceso de aprobación de nuevos proveedores en el grupo es largo y exigente' → ciclo corporativo</w:t>
            </w:r>
          </w:p>
          <w:p>
            <w:pPr>
              <w:pStyle w:val="ListParagraph"/>
              <w:numPr>
                <w:ilvl w:val="0"/>
                <w:numId w:val="2"/>
              </w:numPr>
              <w:spacing w:before="30" w:after="30"/>
            </w:pPr>
            <w:r>
              <w:rPr>
                <w:rFonts w:ascii="Arial" w:cs="Arial" w:eastAsia="Arial" w:hAnsi="Arial"/>
                <w:sz w:val="19"/>
                <w:szCs w:val="19"/>
              </w:rPr>
              <w:t xml:space="preserve">'¿Podéis garantizar la calidad del servicio en todas las provincias donde operamos?' → escala nacional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Alto en el grupo. Exige herramientas que sean escalables, auditables y compatibles con sus sistemas existentes. Requiere acuerdo marco a nivel corporativo.</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corporativa con múltiples aprobadores (negocio, legal, IT). Ciclo largo (6-12 meses). Requiere propuesta comercial formal, case studies y posiblemente un piloto en un subconjunto de establecimientos. Ticket potencialmente muy alto si hay acuerdo marco nacional.</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6B3A" w:val="clear"/>
            <w:tcMar>
              <w:top w:type="dxa" w:w="200"/>
              <w:left w:type="dxa" w:w="280"/>
              <w:bottom w:type="dxa" w:w="200"/>
              <w:right w:type="dxa" w:w="280"/>
            </w:tcMar>
          </w:tcPr>
          <w:p>
            <w:r>
              <w:rPr>
                <w:rFonts w:ascii="Arial" w:cs="Arial" w:eastAsia="Arial" w:hAnsi="Arial"/>
                <w:b/>
                <w:bCs/>
                <w:color w:val="C8D8F0"/>
                <w:sz w:val="18"/>
                <w:szCs w:val="18"/>
              </w:rPr>
              <w:t xml:space="preserve">SEGMENTO 06</w:t>
            </w:r>
          </w:p>
          <w:p>
            <w:pPr>
              <w:spacing w:before="60"/>
            </w:pPr>
            <w:r>
              <w:rPr>
                <w:rFonts w:ascii="Arial" w:cs="Arial" w:eastAsia="Arial" w:hAnsi="Arial"/>
                <w:b/>
                <w:bCs/>
                <w:color w:val="FFFFFF"/>
                <w:sz w:val="36"/>
                <w:szCs w:val="36"/>
              </w:rPr>
              <w:t xml:space="preserve">Aseguradoras</w:t>
            </w:r>
          </w:p>
          <w:p>
            <w:pPr>
              <w:spacing w:before="60"/>
            </w:pPr>
            <w:r>
              <w:rPr>
                <w:rFonts w:ascii="Arial" w:cs="Arial" w:eastAsia="Arial" w:hAnsi="Arial"/>
                <w:i/>
                <w:iCs/>
                <w:color w:val="CBD5E1"/>
                <w:sz w:val="20"/>
                <w:szCs w:val="20"/>
              </w:rPr>
              <w:t xml:space="preserve">Seguros de decesos, vida y patrimonio · Enfoque actuarial-financiero · Canal de distribución masivo</w:t>
            </w:r>
          </w:p>
        </w:tc>
      </w:tr>
    </w:tbl>
    <w:p>
      <w:pPr>
        <w:spacing w:before="200" w:after="0"/>
      </w:pPr>
      <w:r>
        <w:t xml:space="preserve"/>
      </w:r>
    </w:p>
    <w:p>
      <w:pPr>
        <w:spacing w:before="60" w:after="60"/>
      </w:pPr>
      <w:r>
        <w:rPr>
          <w:rFonts w:ascii="Arial" w:cs="Arial" w:eastAsia="Arial" w:hAnsi="Arial"/>
          <w:b w:val="false"/>
          <w:bCs w:val="false"/>
          <w:color w:val="1F2937"/>
          <w:sz w:val="20"/>
          <w:szCs w:val="20"/>
        </w:rPr>
        <w:t xml:space="preserve">Las compañías aseguradoras tienen múltiples puntos de intersección con la planificación y tramitación sucesoria: los seguros de decesos y vida incluyen en muchos casos servicios de gestión de trámites post-defunción; las compañías de seguro de vida son convocadas como beneficiarias o perjudicadas en herencias; y el seguro de patrimonio protege activos que forman parte de la masa hereditaria. La relación de Ulpiano con este segmento puede ser tanto de canal de distribución (la aseguradora prescribe o integra Ulpiano en su oferta) como de herramienta para el departamento interno que gestiona las reclamaciones sucesorias.</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B6B3A" w:sz="1"/>
              <w:left w:val="single" w:color="1B6B3A" w:sz="1"/>
              <w:bottom w:val="single" w:color="1B6B3A" w:sz="1"/>
              <w:right w:val="single" w:color="1B6B3A" w:sz="1"/>
            </w:tcBorders>
            <w:shd w:fill="1B6B3A" w:val="clear"/>
            <w:tcMar>
              <w:top w:type="dxa" w:w="120"/>
              <w:left w:type="dxa" w:w="200"/>
              <w:bottom w:type="dxa" w:w="120"/>
              <w:right w:type="dxa" w:w="200"/>
            </w:tcMar>
          </w:tcPr>
          <w:p>
            <w:r>
              <w:rPr>
                <w:rFonts w:ascii="Arial" w:cs="Arial" w:eastAsia="Arial" w:hAnsi="Arial"/>
                <w:b/>
                <w:bCs/>
                <w:color w:val="FFFFFF"/>
                <w:sz w:val="26"/>
                <w:szCs w:val="26"/>
              </w:rPr>
              <w:t xml:space="preserve">AS1 — El Responsable de Seguros de Decesos / Vida</w:t>
            </w:r>
          </w:p>
          <w:p>
            <w:pPr>
              <w:spacing w:before="40"/>
            </w:pPr>
            <w:r>
              <w:rPr>
                <w:rFonts w:ascii="Arial" w:cs="Arial" w:eastAsia="Arial" w:hAnsi="Arial"/>
                <w:color w:val="E2E8F0"/>
                <w:sz w:val="20"/>
                <w:szCs w:val="20"/>
              </w:rPr>
              <w:t xml:space="preserve">Director de Producto / Gestor de Línea de Decesos  ·  Compañía aseguradora mediana o grande con línea de seguros de decesos (Ocaso, Santa Lucía, Mapfre, Previsora, etc.)</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Directivo con 10-20 años en el sector asegurador. Responsable de la rentabilidad y desarrollo de la línea de seguros de decesos o vida. Los seguros de decesos en España incluyen cada vez más 'servicios de tramitación de herencias' como valor añadido para reducir el churn y aumentar la fidelización.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Añadir al seguro de decesos un servicio de gestión de herencias que aumente su valor percibido vs. la competencia</w:t>
            </w:r>
          </w:p>
          <w:p>
            <w:pPr>
              <w:pStyle w:val="ListParagraph"/>
              <w:numPr>
                <w:ilvl w:val="0"/>
                <w:numId w:val="2"/>
              </w:numPr>
              <w:spacing w:before="30" w:after="30"/>
            </w:pPr>
            <w:r>
              <w:rPr>
                <w:rFonts w:ascii="Arial" w:cs="Arial" w:eastAsia="Arial" w:hAnsi="Arial"/>
                <w:sz w:val="19"/>
                <w:szCs w:val="19"/>
              </w:rPr>
              <w:t xml:space="preserve">Reducir el número de clientes que no renuevan (churn) ofreciendo un servicio que les acompañe en el momento de mayor necesidad</w:t>
            </w:r>
          </w:p>
          <w:p>
            <w:pPr>
              <w:pStyle w:val="ListParagraph"/>
              <w:numPr>
                <w:ilvl w:val="0"/>
                <w:numId w:val="2"/>
              </w:numPr>
              <w:spacing w:before="30" w:after="30"/>
            </w:pPr>
            <w:r>
              <w:rPr>
                <w:rFonts w:ascii="Arial" w:cs="Arial" w:eastAsia="Arial" w:hAnsi="Arial"/>
                <w:sz w:val="19"/>
                <w:szCs w:val="19"/>
              </w:rPr>
              <w:t xml:space="preserve">Gestionar eficientemente las reclamaciones de seguros de vida en el contexto de una herencia</w:t>
            </w:r>
          </w:p>
          <w:p>
            <w:pPr>
              <w:pStyle w:val="ListParagraph"/>
              <w:numPr>
                <w:ilvl w:val="0"/>
                <w:numId w:val="2"/>
              </w:numPr>
              <w:spacing w:before="30" w:after="30"/>
            </w:pPr>
            <w:r>
              <w:rPr>
                <w:rFonts w:ascii="Arial" w:cs="Arial" w:eastAsia="Arial" w:hAnsi="Arial"/>
                <w:sz w:val="19"/>
                <w:szCs w:val="19"/>
              </w:rPr>
              <w:t xml:space="preserve">Cumplir con los requisitos regulatorios (DGSFP) en los servicios de asesoramiento vinculados a pólizas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Los servicios de tramitación de herencias actuales vinculados a pólizas de decesos son manuales y tienen baja calidad percibida por el asegurado</w:t>
            </w:r>
          </w:p>
          <w:p>
            <w:pPr>
              <w:pStyle w:val="ListParagraph"/>
              <w:numPr>
                <w:ilvl w:val="0"/>
                <w:numId w:val="2"/>
              </w:numPr>
              <w:spacing w:before="30" w:after="30"/>
            </w:pPr>
            <w:r>
              <w:rPr>
                <w:rFonts w:ascii="Arial" w:cs="Arial" w:eastAsia="Arial" w:hAnsi="Arial"/>
                <w:sz w:val="19"/>
                <w:szCs w:val="19"/>
              </w:rPr>
              <w:t xml:space="preserve">Alta complejidad para integrar un servicio jurídico-sucesorio dentro de la operativa de la aseguradora sin contratar abogados internos</w:t>
            </w:r>
          </w:p>
          <w:p>
            <w:pPr>
              <w:pStyle w:val="ListParagraph"/>
              <w:numPr>
                <w:ilvl w:val="0"/>
                <w:numId w:val="2"/>
              </w:numPr>
              <w:spacing w:before="30" w:after="30"/>
            </w:pPr>
            <w:r>
              <w:rPr>
                <w:rFonts w:ascii="Arial" w:cs="Arial" w:eastAsia="Arial" w:hAnsi="Arial"/>
                <w:sz w:val="19"/>
                <w:szCs w:val="19"/>
              </w:rPr>
              <w:t xml:space="preserve">Dificultad para escalar el servicio de tramitación de herencias en toda la red de mediadores y agentes</w:t>
            </w:r>
          </w:p>
          <w:p>
            <w:pPr>
              <w:pStyle w:val="ListParagraph"/>
              <w:numPr>
                <w:ilvl w:val="0"/>
                <w:numId w:val="2"/>
              </w:numPr>
              <w:spacing w:before="30" w:after="30"/>
            </w:pPr>
            <w:r>
              <w:rPr>
                <w:rFonts w:ascii="Arial" w:cs="Arial" w:eastAsia="Arial" w:hAnsi="Arial"/>
                <w:sz w:val="19"/>
                <w:szCs w:val="19"/>
              </w:rPr>
              <w:t xml:space="preserve">Competencia creciente de nuevos players que ofrecen seguros de decesos con servicios digitales de gestión de herencias incluidos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White-label de Ulpiano integrado en la póliza de decesos como servicio incluido o premium</w:t>
            </w:r>
          </w:p>
          <w:p>
            <w:pPr>
              <w:pStyle w:val="ListParagraph"/>
              <w:numPr>
                <w:ilvl w:val="0"/>
                <w:numId w:val="2"/>
              </w:numPr>
              <w:spacing w:before="30" w:after="30"/>
            </w:pPr>
            <w:r>
              <w:rPr>
                <w:rFonts w:ascii="Arial" w:cs="Arial" w:eastAsia="Arial" w:hAnsi="Arial"/>
                <w:sz w:val="19"/>
                <w:szCs w:val="19"/>
              </w:rPr>
              <w:t xml:space="preserve">Reducción del coste de prestación del servicio de tramitación vs. el modelo actual de abogados externos</w:t>
            </w:r>
          </w:p>
          <w:p>
            <w:pPr>
              <w:pStyle w:val="ListParagraph"/>
              <w:numPr>
                <w:ilvl w:val="0"/>
                <w:numId w:val="2"/>
              </w:numPr>
              <w:spacing w:before="30" w:after="30"/>
            </w:pPr>
            <w:r>
              <w:rPr>
                <w:rFonts w:ascii="Arial" w:cs="Arial" w:eastAsia="Arial" w:hAnsi="Arial"/>
                <w:sz w:val="19"/>
                <w:szCs w:val="19"/>
              </w:rPr>
              <w:t xml:space="preserve">Diferenciación comercial: 'incluye gestión digital de la herencia' como argumento de venta al asegurado</w:t>
            </w:r>
          </w:p>
          <w:p>
            <w:pPr>
              <w:pStyle w:val="ListParagraph"/>
              <w:numPr>
                <w:ilvl w:val="0"/>
                <w:numId w:val="2"/>
              </w:numPr>
              <w:spacing w:before="30" w:after="30"/>
            </w:pPr>
            <w:r>
              <w:rPr>
                <w:rFonts w:ascii="Arial" w:cs="Arial" w:eastAsia="Arial" w:hAnsi="Arial"/>
                <w:sz w:val="19"/>
                <w:szCs w:val="19"/>
              </w:rPr>
              <w:t xml:space="preserve">Datos sobre el patrimonio del asegurado que permitan ofrecer coberturas adicionales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'Necesitaríamos una integración con nuestro sistema de gestión de pólizas (core insurance)' → requisito técnico crítico</w:t>
            </w:r>
          </w:p>
          <w:p>
            <w:pPr>
              <w:pStyle w:val="ListParagraph"/>
              <w:numPr>
                <w:ilvl w:val="0"/>
                <w:numId w:val="2"/>
              </w:numPr>
              <w:spacing w:before="30" w:after="30"/>
            </w:pPr>
            <w:r>
              <w:rPr>
                <w:rFonts w:ascii="Arial" w:cs="Arial" w:eastAsia="Arial" w:hAnsi="Arial"/>
                <w:sz w:val="19"/>
                <w:szCs w:val="19"/>
              </w:rPr>
              <w:t xml:space="preserve">'El proceso regulatorio para incluir un nuevo servicio en las pólizas requiere aprobación de la DGSFP' → barrera regulatoria</w:t>
            </w:r>
          </w:p>
          <w:p>
            <w:pPr>
              <w:pStyle w:val="ListParagraph"/>
              <w:numPr>
                <w:ilvl w:val="0"/>
                <w:numId w:val="2"/>
              </w:numPr>
              <w:spacing w:before="30" w:after="30"/>
            </w:pPr>
            <w:r>
              <w:rPr>
                <w:rFonts w:ascii="Arial" w:cs="Arial" w:eastAsia="Arial" w:hAnsi="Arial"/>
                <w:sz w:val="19"/>
                <w:szCs w:val="19"/>
              </w:rPr>
              <w:t xml:space="preserve">'¿Tenéis capacidad para dar servicio a 50.000 familias al año?' → exige escalabilidad</w:t>
            </w:r>
          </w:p>
          <w:p>
            <w:pPr>
              <w:pStyle w:val="ListParagraph"/>
              <w:numPr>
                <w:ilvl w:val="0"/>
                <w:numId w:val="2"/>
              </w:numPr>
              <w:spacing w:before="30" w:after="30"/>
            </w:pPr>
            <w:r>
              <w:rPr>
                <w:rFonts w:ascii="Arial" w:cs="Arial" w:eastAsia="Arial" w:hAnsi="Arial"/>
                <w:sz w:val="19"/>
                <w:szCs w:val="19"/>
              </w:rPr>
              <w:t xml:space="preserve">'Los mediadores necesitarían formación específica. ¿Quién se encarga?' → coste de adopción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Muy alto en los sistemas core (ERP de pólizas, CRM de mediadores). Bajo-medio en los servicios de valor añadido vinculados a decesos. La integración técnica es la barrera principal.</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Proceso corporativo de aprobación multi-nivel (producto, IT, legal, compliance, dirección general). Ciclo muy largo (12-24 meses). Requiere prueba de concepto, auditoría de seguridad, validación legal del servicio y acuerdo marco. Ticket potencialmente muy alto (partnership estratégico). Canal de acceso: eventos del sector asegurador (ICEA, Inese, SegurTech) o referencia de otra aseguradora.</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145E30" w:sz="1"/>
              <w:left w:val="single" w:color="145E30" w:sz="1"/>
              <w:bottom w:val="single" w:color="145E30" w:sz="1"/>
              <w:right w:val="single" w:color="145E30" w:sz="1"/>
            </w:tcBorders>
            <w:shd w:fill="145E30" w:val="clear"/>
            <w:tcMar>
              <w:top w:type="dxa" w:w="120"/>
              <w:left w:type="dxa" w:w="200"/>
              <w:bottom w:type="dxa" w:w="120"/>
              <w:right w:type="dxa" w:w="200"/>
            </w:tcMar>
          </w:tcPr>
          <w:p>
            <w:r>
              <w:rPr>
                <w:rFonts w:ascii="Arial" w:cs="Arial" w:eastAsia="Arial" w:hAnsi="Arial"/>
                <w:b/>
                <w:bCs/>
                <w:color w:val="FFFFFF"/>
                <w:sz w:val="26"/>
                <w:szCs w:val="26"/>
              </w:rPr>
              <w:t xml:space="preserve">AS2 — El Responsable de Prestaciones / Gestor de Reclamaciones Sucesorias</w:t>
            </w:r>
          </w:p>
          <w:p>
            <w:pPr>
              <w:spacing w:before="40"/>
            </w:pPr>
            <w:r>
              <w:rPr>
                <w:rFonts w:ascii="Arial" w:cs="Arial" w:eastAsia="Arial" w:hAnsi="Arial"/>
                <w:color w:val="E2E8F0"/>
                <w:sz w:val="20"/>
                <w:szCs w:val="20"/>
              </w:rPr>
              <w:t xml:space="preserve">Director de Prestaciones / Responsable de Gestión de Siniestros  ·  Compañía aseguradora con volumen de reclamaciones sucesorias (seguros de vida, accidentes, planes de pensiones)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Perfil</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Profesional con 10-15 años en gestión de prestaciones. Gestiona las reclamaciones de beneficiarios de seguros de vida, planes de pensiones o seguros de accidentes que se activan por fallecimiento. Necesita verificar la calidad de heredero y los datos sucesorios para pagar correctamente la prestación.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Objetivos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Verificar correctamente la cadena hereditaria antes de pagar una prestación (evitar fraude y errores)</w:t>
            </w:r>
          </w:p>
          <w:p>
            <w:pPr>
              <w:pStyle w:val="ListParagraph"/>
              <w:numPr>
                <w:ilvl w:val="0"/>
                <w:numId w:val="2"/>
              </w:numPr>
              <w:spacing w:before="30" w:after="30"/>
            </w:pPr>
            <w:r>
              <w:rPr>
                <w:rFonts w:ascii="Arial" w:cs="Arial" w:eastAsia="Arial" w:hAnsi="Arial"/>
                <w:sz w:val="19"/>
                <w:szCs w:val="19"/>
              </w:rPr>
              <w:t xml:space="preserve">Reducir el tiempo de resolución de las reclamaciones sucesorias</w:t>
            </w:r>
          </w:p>
          <w:p>
            <w:pPr>
              <w:pStyle w:val="ListParagraph"/>
              <w:numPr>
                <w:ilvl w:val="0"/>
                <w:numId w:val="2"/>
              </w:numPr>
              <w:spacing w:before="30" w:after="30"/>
            </w:pPr>
            <w:r>
              <w:rPr>
                <w:rFonts w:ascii="Arial" w:cs="Arial" w:eastAsia="Arial" w:hAnsi="Arial"/>
                <w:sz w:val="19"/>
                <w:szCs w:val="19"/>
              </w:rPr>
              <w:t xml:space="preserve">Gestionar eficientemente el volumen de reclamaciones sin ampliar el equipo de tramitación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Pain Points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Verificar la documentación sucesoria aportada por el beneficiario es laborioso: testamentos, actas de notoriedad, certificados del Registro de Últimas Voluntades</w:t>
            </w:r>
          </w:p>
          <w:p>
            <w:pPr>
              <w:pStyle w:val="ListParagraph"/>
              <w:numPr>
                <w:ilvl w:val="0"/>
                <w:numId w:val="2"/>
              </w:numPr>
              <w:spacing w:before="30" w:after="30"/>
            </w:pPr>
            <w:r>
              <w:rPr>
                <w:rFonts w:ascii="Arial" w:cs="Arial" w:eastAsia="Arial" w:hAnsi="Arial"/>
                <w:sz w:val="19"/>
                <w:szCs w:val="19"/>
              </w:rPr>
              <w:t xml:space="preserve">Familias sin asesoramiento que aportan documentación incompleta o incorrecta, alargando el proceso</w:t>
            </w:r>
          </w:p>
          <w:p>
            <w:pPr>
              <w:pStyle w:val="ListParagraph"/>
              <w:numPr>
                <w:ilvl w:val="0"/>
                <w:numId w:val="2"/>
              </w:numPr>
              <w:spacing w:before="30" w:after="30"/>
            </w:pPr>
            <w:r>
              <w:rPr>
                <w:rFonts w:ascii="Arial" w:cs="Arial" w:eastAsia="Arial" w:hAnsi="Arial"/>
                <w:sz w:val="19"/>
                <w:szCs w:val="19"/>
              </w:rPr>
              <w:t xml:space="preserve">Riesgo de pagar a quien no corresponde si la documentación sucesoria no está correctamente verificada</w:t>
            </w:r>
          </w:p>
          <w:p>
            <w:pPr>
              <w:pStyle w:val="ListParagraph"/>
              <w:numPr>
                <w:ilvl w:val="0"/>
                <w:numId w:val="2"/>
              </w:numPr>
              <w:spacing w:before="30" w:after="30"/>
            </w:pPr>
            <w:r>
              <w:rPr>
                <w:rFonts w:ascii="Arial" w:cs="Arial" w:eastAsia="Arial" w:hAnsi="Arial"/>
                <w:sz w:val="19"/>
                <w:szCs w:val="19"/>
              </w:rPr>
              <w:t xml:space="preserve">Expedientes de beneficiarios extranjeros con complejidad añadida (Reglamento 650/2012)</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Motivaciones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Herramienta que permita a la aseguradora verificar el estado del expediente sucesorio del beneficiario</w:t>
            </w:r>
          </w:p>
          <w:p>
            <w:pPr>
              <w:pStyle w:val="ListParagraph"/>
              <w:numPr>
                <w:ilvl w:val="0"/>
                <w:numId w:val="2"/>
              </w:numPr>
              <w:spacing w:before="30" w:after="30"/>
            </w:pPr>
            <w:r>
              <w:rPr>
                <w:rFonts w:ascii="Arial" w:cs="Arial" w:eastAsia="Arial" w:hAnsi="Arial"/>
                <w:sz w:val="19"/>
                <w:szCs w:val="19"/>
              </w:rPr>
              <w:t xml:space="preserve">Reducción del número de interacciones necesarias para resolver una reclamación sucesoria</w:t>
            </w:r>
          </w:p>
          <w:p>
            <w:pPr>
              <w:pStyle w:val="ListParagraph"/>
              <w:numPr>
                <w:ilvl w:val="0"/>
                <w:numId w:val="2"/>
              </w:numPr>
              <w:spacing w:before="30" w:after="30"/>
            </w:pPr>
            <w:r>
              <w:rPr>
                <w:rFonts w:ascii="Arial" w:cs="Arial" w:eastAsia="Arial" w:hAnsi="Arial"/>
                <w:sz w:val="19"/>
                <w:szCs w:val="19"/>
              </w:rPr>
              <w:t xml:space="preserve">Posibilidad de ofrecer al beneficiario acceso a Ulpiano como parte del servicio de tramitación de la prestación</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Objeciones</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pStyle w:val="ListParagraph"/>
              <w:numPr>
                <w:ilvl w:val="0"/>
                <w:numId w:val="2"/>
              </w:numPr>
              <w:spacing w:before="30" w:after="30"/>
            </w:pPr>
            <w:r>
              <w:rPr>
                <w:rFonts w:ascii="Arial" w:cs="Arial" w:eastAsia="Arial" w:hAnsi="Arial"/>
                <w:sz w:val="19"/>
                <w:szCs w:val="19"/>
              </w:rPr>
              <w:t xml:space="preserve">'No podemos compartir datos de asegurados con una plataforma externa sin validación legal y de compliance' → barrera de datos</w:t>
            </w:r>
          </w:p>
          <w:p>
            <w:pPr>
              <w:pStyle w:val="ListParagraph"/>
              <w:numPr>
                <w:ilvl w:val="0"/>
                <w:numId w:val="2"/>
              </w:numPr>
              <w:spacing w:before="30" w:after="30"/>
            </w:pPr>
            <w:r>
              <w:rPr>
                <w:rFonts w:ascii="Arial" w:cs="Arial" w:eastAsia="Arial" w:hAnsi="Arial"/>
                <w:sz w:val="19"/>
                <w:szCs w:val="19"/>
              </w:rPr>
              <w:t xml:space="preserve">'Nuestro volumen de reclamaciones sucesorias no es suficientemente alto para justificar una herramienta específica' → umbral de masa crítica</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Digitalización</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Alto en gestión interna. Bajo en herramientas sucesorias externas. Interesado en integraciones API que permitan consultar el estado de un expediente sucesorio desde sus propias herramientas.</w:t>
            </w:r>
          </w:p>
        </w:tc>
      </w:tr>
      <w:tr>
        <w:tc>
          <w:tcPr>
            <w:tcW w:type="dxa" w:w="2000"/>
            <w:tcBorders>
              <w:top w:val="single" w:color="D1D9E6" w:sz="1"/>
              <w:left w:val="single" w:color="D1D9E6" w:sz="1"/>
              <w:bottom w:val="single" w:color="D1D9E6" w:sz="1"/>
              <w:right w:val="single" w:color="D1D9E6" w:sz="1"/>
            </w:tcBorders>
            <w:shd w:fill="F8FAFC" w:val="clear"/>
            <w:tcMar>
              <w:top w:type="dxa" w:w="100"/>
              <w:left w:type="dxa" w:w="140"/>
              <w:bottom w:type="dxa" w:w="100"/>
              <w:right w:type="dxa" w:w="140"/>
            </w:tcMar>
            <w:vAlign w:val="top"/>
          </w:tcPr>
          <w:p>
            <w:r>
              <w:rPr>
                <w:rFonts w:ascii="Arial" w:cs="Arial" w:eastAsia="Arial" w:hAnsi="Arial"/>
                <w:b/>
                <w:bCs/>
                <w:color w:val="1B3A6B"/>
                <w:sz w:val="19"/>
                <w:szCs w:val="19"/>
              </w:rPr>
              <w:t xml:space="preserve">Decisión de compra</w:t>
            </w:r>
          </w:p>
        </w:tc>
        <w:tc>
          <w:tcPr>
            <w:tcW w:type="dxa" w:w="70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pPr>
              <w:spacing w:before="30" w:after="30"/>
            </w:pPr>
            <w:r>
              <w:rPr>
                <w:rFonts w:ascii="Arial" w:cs="Arial" w:eastAsia="Arial" w:hAnsi="Arial"/>
                <w:sz w:val="19"/>
                <w:szCs w:val="19"/>
              </w:rPr>
              <w:t xml:space="preserve">Decisión compartida entre operaciones, IT y compliance. Ciclo medio-largo (6-12 meses). Requiere piloto con volumen limitado de expedientes. Preferencia por modelo de pago por uso (API calls) más que suscripción fija.</w:t>
            </w:r>
          </w:p>
        </w:tc>
      </w:tr>
    </w:tbl>
    <w:p>
      <w:r>
        <w:br w:type="page"/>
      </w:r>
    </w:p>
    <w:p>
      <w:pPr>
        <w:pStyle w:val="Heading1"/>
        <w:pBdr>
          <w:bottom w:val="single" w:color="0E7C7B" w:sz="8" w:space="4"/>
        </w:pBdr>
        <w:spacing w:before="320" w:after="160"/>
      </w:pPr>
      <w:r>
        <w:rPr>
          <w:rFonts w:ascii="Arial" w:cs="Arial" w:eastAsia="Arial" w:hAnsi="Arial"/>
          <w:b/>
          <w:bCs/>
          <w:color w:val="1B3A6B"/>
          <w:sz w:val="32"/>
          <w:szCs w:val="32"/>
        </w:rPr>
        <w:t xml:space="preserve">Análisis Comparativo Inter-Segmental</w:t>
      </w:r>
    </w:p>
    <w:p>
      <w:pPr>
        <w:spacing w:before="60" w:after="60"/>
      </w:pPr>
      <w:r>
        <w:rPr>
          <w:rFonts w:ascii="Arial" w:cs="Arial" w:eastAsia="Arial" w:hAnsi="Arial"/>
          <w:b w:val="false"/>
          <w:bCs w:val="false"/>
          <w:color w:val="1F2937"/>
          <w:sz w:val="20"/>
          <w:szCs w:val="20"/>
        </w:rPr>
        <w:t xml:space="preserve">La siguiente tabla sintetiza las diferencias clave entre los seis segmentos desde una perspectiva estratégica de marketing, ventas y producto.</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500"/>
        <w:gridCol w:w="1300"/>
        <w:gridCol w:w="1526"/>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Segmento</w:t>
            </w:r>
          </w:p>
        </w:tc>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Enfoque dominante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Principal pain</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Motivación de compra</w:t>
            </w:r>
          </w:p>
        </w:tc>
        <w:tc>
          <w:tcPr>
            <w:tcW w:type="dxa" w:w="13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Nivel digital</w:t>
            </w:r>
          </w:p>
        </w:tc>
        <w:tc>
          <w:tcPr>
            <w:tcW w:type="dxa" w:w="15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Prioridad GTM</w:t>
            </w:r>
          </w:p>
        </w:tc>
      </w:tr>
      <w:tr>
        <w:tc>
          <w:tcPr>
            <w:tcW w:type="dxa" w:w="18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b/>
                <w:bCs/>
                <w:color w:val="1B3A6B"/>
                <w:sz w:val="18"/>
                <w:szCs w:val="18"/>
              </w:rPr>
              <w:t xml:space="preserve">Notarías</w:t>
            </w:r>
          </w:p>
        </w:tc>
        <w:tc>
          <w:tcPr>
            <w:tcW w:type="dxa" w:w="14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Operativo-documental</w:t>
            </w:r>
          </w:p>
        </w:tc>
        <w:tc>
          <w:tcPr>
            <w:tcW w:type="dxa" w:w="15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Carga administrativa pre-firma</w:t>
            </w:r>
          </w:p>
        </w:tc>
        <w:tc>
          <w:tcPr>
            <w:tcW w:type="dxa" w:w="15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Reducción tiempo + fidelización cliente</w:t>
            </w:r>
          </w:p>
        </w:tc>
        <w:tc>
          <w:tcPr>
            <w:tcW w:type="dxa" w:w="13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Medio</w:t>
            </w:r>
          </w:p>
        </w:tc>
        <w:tc>
          <w:tcPr>
            <w:tcW w:type="dxa" w:w="1526"/>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Alta (wedge Cataluña)</w:t>
            </w:r>
          </w:p>
        </w:tc>
      </w:tr>
      <w:tr>
        <w:tc>
          <w:tcPr>
            <w:tcW w:type="dxa" w:w="18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Despachos</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Legal-fiscal</w:t>
            </w:r>
          </w:p>
        </w:tc>
        <w:tc>
          <w:tcPr>
            <w:tcW w:type="dxa" w:w="15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Cálculo manual legítimas + docs</w:t>
            </w:r>
          </w:p>
        </w:tc>
        <w:tc>
          <w:tcPr>
            <w:tcW w:type="dxa" w:w="15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Automatización normativa + calidad servicio</w:t>
            </w:r>
          </w:p>
        </w:tc>
        <w:tc>
          <w:tcPr>
            <w:tcW w:type="dxa" w:w="13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Medio-Alto</w:t>
            </w:r>
          </w:p>
        </w:tc>
        <w:tc>
          <w:tcPr>
            <w:tcW w:type="dxa" w:w="15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Muy Alta (core ICP)</w:t>
            </w:r>
          </w:p>
        </w:tc>
      </w:tr>
      <w:tr>
        <w:tc>
          <w:tcPr>
            <w:tcW w:type="dxa" w:w="18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b/>
                <w:bCs/>
                <w:color w:val="1B3A6B"/>
                <w:sz w:val="18"/>
                <w:szCs w:val="18"/>
              </w:rPr>
              <w:t xml:space="preserve">Asesorías</w:t>
            </w:r>
          </w:p>
        </w:tc>
        <w:tc>
          <w:tcPr>
            <w:tcW w:type="dxa" w:w="14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Fiscal-administrativo</w:t>
            </w:r>
          </w:p>
        </w:tc>
        <w:tc>
          <w:tcPr>
            <w:tcW w:type="dxa" w:w="15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Liquidación ISD + errores fiscales</w:t>
            </w:r>
          </w:p>
        </w:tc>
        <w:tc>
          <w:tcPr>
            <w:tcW w:type="dxa" w:w="15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Automatización fiscal + fidelización</w:t>
            </w:r>
          </w:p>
        </w:tc>
        <w:tc>
          <w:tcPr>
            <w:tcW w:type="dxa" w:w="13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Medio</w:t>
            </w:r>
          </w:p>
        </w:tc>
        <w:tc>
          <w:tcPr>
            <w:tcW w:type="dxa" w:w="1526"/>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Alta (volumen)</w:t>
            </w:r>
          </w:p>
        </w:tc>
      </w:tr>
      <w:tr>
        <w:tc>
          <w:tcPr>
            <w:tcW w:type="dxa" w:w="18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Family Office</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Patrimonial-estratégico</w:t>
            </w:r>
          </w:p>
        </w:tc>
        <w:tc>
          <w:tcPr>
            <w:tcW w:type="dxa" w:w="15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Complejidad + coordinación asesores</w:t>
            </w:r>
          </w:p>
        </w:tc>
        <w:tc>
          <w:tcPr>
            <w:tcW w:type="dxa" w:w="15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Centralización + escenarios patrimonio</w:t>
            </w:r>
          </w:p>
        </w:tc>
        <w:tc>
          <w:tcPr>
            <w:tcW w:type="dxa" w:w="13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Muy alto</w:t>
            </w:r>
          </w:p>
        </w:tc>
        <w:tc>
          <w:tcPr>
            <w:tcW w:type="dxa" w:w="15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Media (ticket alto)</w:t>
            </w:r>
          </w:p>
        </w:tc>
      </w:tr>
      <w:tr>
        <w:tc>
          <w:tcPr>
            <w:tcW w:type="dxa" w:w="18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b/>
                <w:bCs/>
                <w:color w:val="1B3A6B"/>
                <w:sz w:val="18"/>
                <w:szCs w:val="18"/>
              </w:rPr>
              <w:t xml:space="preserve">Funerarias</w:t>
            </w:r>
          </w:p>
        </w:tc>
        <w:tc>
          <w:tcPr>
            <w:tcW w:type="dxa" w:w="14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Emocional-relacional</w:t>
            </w:r>
          </w:p>
        </w:tc>
        <w:tc>
          <w:tcPr>
            <w:tcW w:type="dxa" w:w="15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Oportunidad pérdida en derivación</w:t>
            </w:r>
          </w:p>
        </w:tc>
        <w:tc>
          <w:tcPr>
            <w:tcW w:type="dxa" w:w="15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Partnership + comisión por derivación</w:t>
            </w:r>
          </w:p>
        </w:tc>
        <w:tc>
          <w:tcPr>
            <w:tcW w:type="dxa" w:w="1300"/>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Bajo-Medio</w:t>
            </w:r>
          </w:p>
        </w:tc>
        <w:tc>
          <w:tcPr>
            <w:tcW w:type="dxa" w:w="1526"/>
            <w:tcBorders>
              <w:top w:val="single" w:color="D1D9E6" w:sz="1"/>
              <w:left w:val="single" w:color="D1D9E6" w:sz="1"/>
              <w:bottom w:val="single" w:color="D1D9E6" w:sz="1"/>
              <w:right w:val="single" w:color="D1D9E6" w:sz="1"/>
            </w:tcBorders>
            <w:shd w:fill="F0F4FA" w:val="clear"/>
            <w:tcMar>
              <w:top w:type="dxa" w:w="100"/>
              <w:left w:type="dxa" w:w="140"/>
              <w:bottom w:type="dxa" w:w="100"/>
              <w:right w:type="dxa" w:w="140"/>
            </w:tcMar>
          </w:tcPr>
          <w:p>
            <w:r>
              <w:rPr>
                <w:rFonts w:ascii="Arial" w:cs="Arial" w:eastAsia="Arial" w:hAnsi="Arial"/>
                <w:sz w:val="18"/>
                <w:szCs w:val="18"/>
              </w:rPr>
              <w:t xml:space="preserve">Media (canal GTM)</w:t>
            </w:r>
          </w:p>
        </w:tc>
      </w:tr>
      <w:tr>
        <w:tc>
          <w:tcPr>
            <w:tcW w:type="dxa" w:w="18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b/>
                <w:bCs/>
                <w:color w:val="1B3A6B"/>
                <w:sz w:val="18"/>
                <w:szCs w:val="18"/>
              </w:rPr>
              <w:t xml:space="preserve">Aseguradoras</w:t>
            </w:r>
          </w:p>
        </w:tc>
        <w:tc>
          <w:tcPr>
            <w:tcW w:type="dxa" w:w="14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Actuarial-financiero</w:t>
            </w:r>
          </w:p>
        </w:tc>
        <w:tc>
          <w:tcPr>
            <w:tcW w:type="dxa" w:w="15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Verificación cadena hereditaria</w:t>
            </w:r>
          </w:p>
        </w:tc>
        <w:tc>
          <w:tcPr>
            <w:tcW w:type="dxa" w:w="15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White-label + reducción coste prestación</w:t>
            </w:r>
          </w:p>
        </w:tc>
        <w:tc>
          <w:tcPr>
            <w:tcW w:type="dxa" w:w="1300"/>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Alto</w:t>
            </w:r>
          </w:p>
        </w:tc>
        <w:tc>
          <w:tcPr>
            <w:tcW w:type="dxa" w:w="1526"/>
            <w:tcBorders>
              <w:top w:val="single" w:color="D1D9E6" w:sz="1"/>
              <w:left w:val="single" w:color="D1D9E6" w:sz="1"/>
              <w:bottom w:val="single" w:color="D1D9E6" w:sz="1"/>
              <w:right w:val="single" w:color="D1D9E6" w:sz="1"/>
            </w:tcBorders>
            <w:shd w:fill="FFFFFF" w:val="clear"/>
            <w:tcMar>
              <w:top w:type="dxa" w:w="100"/>
              <w:left w:type="dxa" w:w="140"/>
              <w:bottom w:type="dxa" w:w="100"/>
              <w:right w:type="dxa" w:w="140"/>
            </w:tcMar>
          </w:tcPr>
          <w:p>
            <w:r>
              <w:rPr>
                <w:rFonts w:ascii="Arial" w:cs="Arial" w:eastAsia="Arial" w:hAnsi="Arial"/>
                <w:sz w:val="18"/>
                <w:szCs w:val="18"/>
              </w:rPr>
              <w:t xml:space="preserve">Baja-Media (ciclo largo)</w:t>
            </w:r>
          </w:p>
        </w:tc>
      </w:tr>
    </w:tbl>
    <w:p>
      <w:pPr>
        <w:spacing w:before="200" w:after="0"/>
      </w:pPr>
      <w:r>
        <w:t xml:space="preserve"/>
      </w:r>
    </w:p>
    <w:p>
      <w:pPr>
        <w:pStyle w:val="Heading2"/>
        <w:spacing w:before="280" w:after="120"/>
      </w:pPr>
      <w:r>
        <w:rPr>
          <w:rFonts w:ascii="Arial" w:cs="Arial" w:eastAsia="Arial" w:hAnsi="Arial"/>
          <w:b/>
          <w:bCs/>
          <w:color w:val="1B3A6B"/>
          <w:sz w:val="26"/>
          <w:szCs w:val="26"/>
        </w:rPr>
        <w:t xml:space="preserve">Diferencias clave entre segmentos</w:t>
      </w:r>
    </w:p>
    <w:p>
      <w:pPr>
        <w:pStyle w:val="Heading3"/>
        <w:spacing w:before="200" w:after="80"/>
      </w:pPr>
      <w:r>
        <w:rPr>
          <w:rFonts w:ascii="Arial" w:cs="Arial" w:eastAsia="Arial" w:hAnsi="Arial"/>
          <w:b/>
          <w:bCs/>
          <w:color w:val="0E7C7B"/>
          <w:sz w:val="22"/>
          <w:szCs w:val="22"/>
        </w:rPr>
        <w:t xml:space="preserve">Enfoque del problema</w:t>
      </w:r>
    </w:p>
    <w:p>
      <w:pPr>
        <w:spacing w:before="60" w:after="60"/>
      </w:pPr>
      <w:r>
        <w:rPr>
          <w:rFonts w:ascii="Arial" w:cs="Arial" w:eastAsia="Arial" w:hAnsi="Arial"/>
          <w:b w:val="false"/>
          <w:bCs w:val="false"/>
          <w:color w:val="1F2937"/>
          <w:sz w:val="20"/>
          <w:szCs w:val="20"/>
        </w:rPr>
        <w:t xml:space="preserve">Los despachos de abogados y asesorías abordan la sucesión como un proceso técnico-jurídico o fiscal. Las notarías, como un protocolo formal. Los family offices, como planificación patrimonial estratégica multigeneracional. Las funerarias y aseguradoras la abordan desde un enfoque relacional/financiero en el que la herencia es un servicio complementario a su actividad principal.</w:t>
      </w:r>
    </w:p>
    <w:p>
      <w:pPr>
        <w:pStyle w:val="Heading3"/>
        <w:spacing w:before="200" w:after="80"/>
      </w:pPr>
      <w:r>
        <w:rPr>
          <w:rFonts w:ascii="Arial" w:cs="Arial" w:eastAsia="Arial" w:hAnsi="Arial"/>
          <w:b/>
          <w:bCs/>
          <w:color w:val="0E7C7B"/>
          <w:sz w:val="22"/>
          <w:szCs w:val="22"/>
        </w:rPr>
        <w:t xml:space="preserve">Ciclo de venta y complejidad de la decisión</w:t>
      </w:r>
    </w:p>
    <w:p>
      <w:pPr>
        <w:spacing w:before="60" w:after="60"/>
      </w:pPr>
      <w:r>
        <w:rPr>
          <w:rFonts w:ascii="Arial" w:cs="Arial" w:eastAsia="Arial" w:hAnsi="Arial"/>
          <w:b w:val="false"/>
          <w:bCs w:val="false"/>
          <w:color w:val="1F2937"/>
          <w:sz w:val="20"/>
          <w:szCs w:val="20"/>
        </w:rPr>
        <w:t xml:space="preserve">Los despachos boutique y las asesorías individuales tienen los ciclos de venta más cortos (2-4 semanas). Las grandes firmas, family offices y aseguradoras pueden requerir procesos de 6-24 meses con múltiples aprobadores. Las funerarias independientes toman decisiones rápidas; los grandes grupos funerarios son tan lentos como las aseguradoras.</w:t>
      </w:r>
    </w:p>
    <w:p>
      <w:pPr>
        <w:pStyle w:val="Heading3"/>
        <w:spacing w:before="200" w:after="80"/>
      </w:pPr>
      <w:r>
        <w:rPr>
          <w:rFonts w:ascii="Arial" w:cs="Arial" w:eastAsia="Arial" w:hAnsi="Arial"/>
          <w:b/>
          <w:bCs/>
          <w:color w:val="0E7C7B"/>
          <w:sz w:val="22"/>
          <w:szCs w:val="22"/>
        </w:rPr>
        <w:t xml:space="preserve">Palanca de venta principal</w:t>
      </w:r>
    </w:p>
    <w:p>
      <w:pPr>
        <w:pStyle w:val="ListParagraph"/>
        <w:numPr>
          <w:ilvl w:val="0"/>
          <w:numId w:val="2"/>
        </w:numPr>
        <w:spacing w:before="40" w:after="40"/>
      </w:pPr>
      <w:r>
        <w:rPr>
          <w:rFonts w:ascii="Arial" w:cs="Arial" w:eastAsia="Arial" w:hAnsi="Arial"/>
          <w:b w:val="false"/>
          <w:bCs w:val="false"/>
          <w:sz w:val="20"/>
          <w:szCs w:val="20"/>
        </w:rPr>
        <w:t xml:space="preserve">Notarías: demo operativa que muestre reducción de trabajo administrativo y portal de cliente</w:t>
      </w:r>
    </w:p>
    <w:p>
      <w:pPr>
        <w:pStyle w:val="ListParagraph"/>
        <w:numPr>
          <w:ilvl w:val="0"/>
          <w:numId w:val="2"/>
        </w:numPr>
        <w:spacing w:before="40" w:after="40"/>
      </w:pPr>
      <w:r>
        <w:rPr>
          <w:rFonts w:ascii="Arial" w:cs="Arial" w:eastAsia="Arial" w:hAnsi="Arial"/>
          <w:b w:val="false"/>
          <w:bCs w:val="false"/>
          <w:sz w:val="20"/>
          <w:szCs w:val="20"/>
        </w:rPr>
        <w:t xml:space="preserve">Despachos boutique: precisión técnica del motor normativo (legítimas, quarta falcídia, ISD catalán)</w:t>
      </w:r>
    </w:p>
    <w:p>
      <w:pPr>
        <w:pStyle w:val="ListParagraph"/>
        <w:numPr>
          <w:ilvl w:val="0"/>
          <w:numId w:val="2"/>
        </w:numPr>
        <w:spacing w:before="40" w:after="40"/>
      </w:pPr>
      <w:r>
        <w:rPr>
          <w:rFonts w:ascii="Arial" w:cs="Arial" w:eastAsia="Arial" w:hAnsi="Arial"/>
          <w:b w:val="false"/>
          <w:bCs w:val="false"/>
          <w:sz w:val="20"/>
          <w:szCs w:val="20"/>
        </w:rPr>
        <w:t xml:space="preserve">Despachos generalistas y asesorías: ROI en tiempo y reducción del riesgo de error fiscal</w:t>
      </w:r>
    </w:p>
    <w:p>
      <w:pPr>
        <w:pStyle w:val="ListParagraph"/>
        <w:numPr>
          <w:ilvl w:val="0"/>
          <w:numId w:val="2"/>
        </w:numPr>
        <w:spacing w:before="40" w:after="40"/>
      </w:pPr>
      <w:r>
        <w:rPr>
          <w:rFonts w:ascii="Arial" w:cs="Arial" w:eastAsia="Arial" w:hAnsi="Arial"/>
          <w:b w:val="false"/>
          <w:bCs w:val="false"/>
          <w:sz w:val="20"/>
          <w:szCs w:val="20"/>
        </w:rPr>
        <w:t xml:space="preserve">Family office: capacidad de modelizar estructuras patrimoniales complejas + seguridad del dato</w:t>
      </w:r>
    </w:p>
    <w:p>
      <w:pPr>
        <w:pStyle w:val="ListParagraph"/>
        <w:numPr>
          <w:ilvl w:val="0"/>
          <w:numId w:val="2"/>
        </w:numPr>
        <w:spacing w:before="40" w:after="40"/>
      </w:pPr>
      <w:r>
        <w:rPr>
          <w:rFonts w:ascii="Arial" w:cs="Arial" w:eastAsia="Arial" w:hAnsi="Arial"/>
          <w:b w:val="false"/>
          <w:bCs w:val="false"/>
          <w:sz w:val="20"/>
          <w:szCs w:val="20"/>
        </w:rPr>
        <w:t xml:space="preserve">Funerarias: modelo de partnership con revenue share, sin inversión upfront</w:t>
      </w:r>
    </w:p>
    <w:p>
      <w:pPr>
        <w:pStyle w:val="ListParagraph"/>
        <w:numPr>
          <w:ilvl w:val="0"/>
          <w:numId w:val="2"/>
        </w:numPr>
        <w:spacing w:before="40" w:after="40"/>
      </w:pPr>
      <w:r>
        <w:rPr>
          <w:rFonts w:ascii="Arial" w:cs="Arial" w:eastAsia="Arial" w:hAnsi="Arial"/>
          <w:b w:val="false"/>
          <w:bCs w:val="false"/>
          <w:sz w:val="20"/>
          <w:szCs w:val="20"/>
        </w:rPr>
        <w:t xml:space="preserve">Aseguradoras: white-label escalable + integración API con core insurance</w:t>
      </w:r>
    </w:p>
    <w:p>
      <w:pPr>
        <w:pStyle w:val="Heading3"/>
        <w:spacing w:before="200" w:after="80"/>
      </w:pPr>
      <w:r>
        <w:rPr>
          <w:rFonts w:ascii="Arial" w:cs="Arial" w:eastAsia="Arial" w:hAnsi="Arial"/>
          <w:b/>
          <w:bCs/>
          <w:color w:val="0E7C7B"/>
          <w:sz w:val="22"/>
          <w:szCs w:val="22"/>
        </w:rPr>
        <w:t xml:space="preserve">Prioridad GTM para Ulpiano (fase Cataluña)</w:t>
      </w:r>
    </w:p>
    <w:p>
      <w:pPr>
        <w:spacing w:before="60" w:after="60"/>
      </w:pPr>
      <w:r>
        <w:rPr>
          <w:rFonts w:ascii="Arial" w:cs="Arial" w:eastAsia="Arial" w:hAnsi="Arial"/>
          <w:b w:val="false"/>
          <w:bCs w:val="false"/>
          <w:color w:val="1F2937"/>
          <w:sz w:val="20"/>
          <w:szCs w:val="20"/>
        </w:rPr>
        <w:t xml:space="preserve">Para la fase de lanzamiento en Cataluña (H2 2026), el orden de prioridad recomendado es:</w:t>
      </w:r>
    </w:p>
    <w:p>
      <w:pPr>
        <w:pStyle w:val="ListParagraph"/>
        <w:numPr>
          <w:ilvl w:val="0"/>
          <w:numId w:val="2"/>
        </w:numPr>
        <w:spacing w:before="40" w:after="40"/>
      </w:pPr>
      <w:r>
        <w:rPr>
          <w:rFonts w:ascii="Arial" w:cs="Arial" w:eastAsia="Arial" w:hAnsi="Arial"/>
          <w:b w:val="false"/>
          <w:bCs w:val="false"/>
          <w:sz w:val="20"/>
          <w:szCs w:val="20"/>
        </w:rPr>
        <w:t xml:space="preserve">1.° Despachos boutique especializados en sucesiones → ICP más preciso, ciclo corto, evangelizadores del mercado</w:t>
      </w:r>
    </w:p>
    <w:p>
      <w:pPr>
        <w:pStyle w:val="ListParagraph"/>
        <w:numPr>
          <w:ilvl w:val="0"/>
          <w:numId w:val="2"/>
        </w:numPr>
        <w:spacing w:before="40" w:after="40"/>
      </w:pPr>
      <w:r>
        <w:rPr>
          <w:rFonts w:ascii="Arial" w:cs="Arial" w:eastAsia="Arial" w:hAnsi="Arial"/>
          <w:b w:val="false"/>
          <w:bCs w:val="false"/>
          <w:sz w:val="20"/>
          <w:szCs w:val="20"/>
        </w:rPr>
        <w:t xml:space="preserve">2.° Asesorías con cartera de ISD activa → volumen, ciclo corto, sensibles al ahorro de tiempo en liquidación fiscal</w:t>
      </w:r>
    </w:p>
    <w:p>
      <w:pPr>
        <w:pStyle w:val="ListParagraph"/>
        <w:numPr>
          <w:ilvl w:val="0"/>
          <w:numId w:val="2"/>
        </w:numPr>
        <w:spacing w:before="40" w:after="40"/>
      </w:pPr>
      <w:r>
        <w:rPr>
          <w:rFonts w:ascii="Arial" w:cs="Arial" w:eastAsia="Arial" w:hAnsi="Arial"/>
          <w:b w:val="false"/>
          <w:bCs w:val="false"/>
          <w:sz w:val="20"/>
          <w:szCs w:val="20"/>
        </w:rPr>
        <w:t xml:space="preserve">3.° Notarías → canal de fidelización y puente hacia el expediente sucesorio completo</w:t>
      </w:r>
    </w:p>
    <w:p>
      <w:pPr>
        <w:pStyle w:val="ListParagraph"/>
        <w:numPr>
          <w:ilvl w:val="0"/>
          <w:numId w:val="2"/>
        </w:numPr>
        <w:spacing w:before="40" w:after="40"/>
      </w:pPr>
      <w:r>
        <w:rPr>
          <w:rFonts w:ascii="Arial" w:cs="Arial" w:eastAsia="Arial" w:hAnsi="Arial"/>
          <w:b w:val="false"/>
          <w:bCs w:val="false"/>
          <w:sz w:val="20"/>
          <w:szCs w:val="20"/>
        </w:rPr>
        <w:t xml:space="preserve">4.° Despachos generalistas → segundo anillo de expansión</w:t>
      </w:r>
    </w:p>
    <w:p>
      <w:pPr>
        <w:pStyle w:val="ListParagraph"/>
        <w:numPr>
          <w:ilvl w:val="0"/>
          <w:numId w:val="2"/>
        </w:numPr>
        <w:spacing w:before="40" w:after="40"/>
      </w:pPr>
      <w:r>
        <w:rPr>
          <w:rFonts w:ascii="Arial" w:cs="Arial" w:eastAsia="Arial" w:hAnsi="Arial"/>
          <w:b w:val="false"/>
          <w:bCs w:val="false"/>
          <w:sz w:val="20"/>
          <w:szCs w:val="20"/>
        </w:rPr>
        <w:t xml:space="preserve">5.° Family office y funerarias → channel partnerships en paralelo, sin priorizar como core SaaS</w:t>
      </w:r>
    </w:p>
    <w:p>
      <w:pPr>
        <w:pStyle w:val="ListParagraph"/>
        <w:numPr>
          <w:ilvl w:val="0"/>
          <w:numId w:val="2"/>
        </w:numPr>
        <w:spacing w:before="40" w:after="40"/>
      </w:pPr>
      <w:r>
        <w:rPr>
          <w:rFonts w:ascii="Arial" w:cs="Arial" w:eastAsia="Arial" w:hAnsi="Arial"/>
          <w:b w:val="false"/>
          <w:bCs w:val="false"/>
          <w:sz w:val="20"/>
          <w:szCs w:val="20"/>
        </w:rPr>
        <w:t xml:space="preserve">6.° Aseguradoras → objetivo de largo plazo, acuerdo marco nacional, no fase inicial</w:t>
      </w:r>
    </w:p>
    <w:p>
      <w:pPr>
        <w:spacing w:before="200" w:after="0"/>
      </w:pPr>
      <w:r>
        <w:t xml:space="preserve"/>
      </w:r>
    </w:p>
    <w:p>
      <w:pPr>
        <w:pBdr>
          <w:top w:val="single" w:color="D1D9E6" w:sz="4" w:space="8"/>
        </w:pBdr>
        <w:spacing w:before="200"/>
        <w:jc w:val="center"/>
      </w:pPr>
      <w:r>
        <w:rPr>
          <w:rFonts w:ascii="Arial" w:cs="Arial" w:eastAsia="Arial" w:hAnsi="Arial"/>
          <w:i/>
          <w:iCs/>
          <w:color w:val="6B7280"/>
          <w:sz w:val="18"/>
          <w:szCs w:val="18"/>
        </w:rPr>
        <w:t xml:space="preserve">— Ulpiano · Documento Interno · Confidencial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9E6" w:sz="4" w:space="4"/>
      </w:pBdr>
      <w:spacing w:before="80"/>
    </w:pPr>
    <w:r>
      <w:rPr>
        <w:rFonts w:ascii="Arial" w:cs="Arial" w:eastAsia="Arial" w:hAnsi="Arial"/>
        <w:color w:val="6B7280"/>
        <w:sz w:val="16"/>
        <w:szCs w:val="16"/>
      </w:rPr>
      <w:t xml:space="preserve">Confidencial · Marzo 2026  |  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9E6" w:sz="4" w:space="4"/>
      </w:pBdr>
      <w:spacing w:after="80"/>
    </w:pPr>
    <w:r>
      <w:rPr>
        <w:rFonts w:ascii="Arial" w:cs="Arial" w:eastAsia="Arial" w:hAnsi="Arial"/>
        <w:color w:val="6B7280"/>
        <w:sz w:val="16"/>
        <w:szCs w:val="16"/>
      </w:rPr>
      <w:t xml:space="preserve">ULPIANO  ·  Buyer Personas — Análisis Estratégico de Segmentos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E7C7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2026-03-31T16:26:28.106Z</dcterms:created>
  <dcterms:modified xsi:type="dcterms:W3CDTF">2026-03-31T16:26:28.107Z</dcterms:modified>
</cp:coreProperties>
</file>

<file path=docProps/custom.xml><?xml version="1.0" encoding="utf-8"?>
<Properties xmlns="http://schemas.openxmlformats.org/officeDocument/2006/custom-properties" xmlns:vt="http://schemas.openxmlformats.org/officeDocument/2006/docPropsVTypes"/>
</file>