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0332" w14:textId="77777777" w:rsidR="000B4A63" w:rsidRDefault="00585BDC">
      <w:pPr>
        <w:spacing w:after="200"/>
        <w:jc w:val="center"/>
      </w:pPr>
      <w:r>
        <w:rPr>
          <w:b/>
          <w:bCs/>
          <w:sz w:val="28"/>
          <w:szCs w:val="28"/>
        </w:rPr>
        <w:t>Operativer Bericht</w:t>
      </w:r>
    </w:p>
    <w:p w14:paraId="41940333" w14:textId="77777777" w:rsidR="000B4A63" w:rsidRDefault="00585BDC">
      <w:pPr>
        <w:spacing w:after="100"/>
      </w:pPr>
      <w:r>
        <w:rPr>
          <w:b/>
          <w:bCs/>
        </w:rPr>
        <w:t xml:space="preserve">Patient: </w:t>
      </w:r>
      <w:r>
        <w:t>Max Mustermann</w:t>
      </w:r>
    </w:p>
    <w:p w14:paraId="41940334" w14:textId="77777777" w:rsidR="000B4A63" w:rsidRDefault="00585BDC">
      <w:pPr>
        <w:spacing w:after="100"/>
      </w:pPr>
      <w:r>
        <w:t>Birth: 19.10.1984</w:t>
      </w:r>
    </w:p>
    <w:p w14:paraId="41940335" w14:textId="77777777" w:rsidR="000B4A63" w:rsidRDefault="00585BDC">
      <w:pPr>
        <w:spacing w:after="100"/>
      </w:pPr>
      <w:r>
        <w:rPr>
          <w:b/>
          <w:bCs/>
        </w:rPr>
        <w:t xml:space="preserve">Diagnose: </w:t>
      </w:r>
      <w:r>
        <w:t>Pertrochantäre Femurfraktur links (AO 31-A2.2)</w:t>
      </w:r>
    </w:p>
    <w:p w14:paraId="41940336" w14:textId="77777777" w:rsidR="000B4A63" w:rsidRDefault="00585BDC">
      <w:pPr>
        <w:spacing w:after="100"/>
      </w:pPr>
      <w:r>
        <w:rPr>
          <w:b/>
          <w:bCs/>
        </w:rPr>
        <w:t xml:space="preserve">Eingriff: </w:t>
      </w:r>
      <w:r>
        <w:t>Geschlossene Reposition und interne Fixation (CRIF) der pertrochantären Femurfraktur links mittels proximalem Femurnagel (PFN)</w:t>
      </w:r>
    </w:p>
    <w:p w14:paraId="41940337" w14:textId="68DFAD24" w:rsidR="000B4A63" w:rsidRDefault="00585BDC">
      <w:pPr>
        <w:spacing w:after="100"/>
      </w:pPr>
      <w:r>
        <w:rPr>
          <w:b/>
          <w:bCs/>
        </w:rPr>
        <w:t xml:space="preserve">Datum: </w:t>
      </w:r>
      <w:r w:rsidR="00AE19BB">
        <w:t>7.12.2025</w:t>
      </w:r>
    </w:p>
    <w:p w14:paraId="41940338" w14:textId="14613207" w:rsidR="000B4A63" w:rsidRDefault="00585BDC">
      <w:pPr>
        <w:spacing w:after="100"/>
      </w:pPr>
      <w:r>
        <w:rPr>
          <w:b/>
          <w:bCs/>
        </w:rPr>
        <w:t xml:space="preserve">Operateur: </w:t>
      </w:r>
      <w:r>
        <w:t>Isaac Newton</w:t>
      </w:r>
    </w:p>
    <w:p w14:paraId="41940339" w14:textId="77777777" w:rsidR="000B4A63" w:rsidRDefault="00585BDC">
      <w:pPr>
        <w:spacing w:after="100"/>
      </w:pPr>
      <w:r>
        <w:rPr>
          <w:b/>
          <w:bCs/>
        </w:rPr>
        <w:t xml:space="preserve">Assistenz: </w:t>
      </w:r>
      <w:r>
        <w:t>Alber Einstein</w:t>
      </w:r>
    </w:p>
    <w:p w14:paraId="4194033A" w14:textId="77777777" w:rsidR="000B4A63" w:rsidRDefault="00585BDC">
      <w:pPr>
        <w:spacing w:after="100"/>
      </w:pPr>
      <w:r>
        <w:rPr>
          <w:b/>
          <w:bCs/>
        </w:rPr>
        <w:t xml:space="preserve">Narkose: </w:t>
      </w:r>
      <w:r>
        <w:t>Allgemeinanästhesie</w:t>
      </w:r>
    </w:p>
    <w:p w14:paraId="4194033B" w14:textId="77777777" w:rsidR="000B4A63" w:rsidRDefault="00585BDC">
      <w:pPr>
        <w:spacing w:after="300"/>
      </w:pPr>
      <w:r>
        <w:rPr>
          <w:b/>
          <w:bCs/>
        </w:rPr>
        <w:t xml:space="preserve">ASA: </w:t>
      </w:r>
      <w:r>
        <w:t>II</w:t>
      </w:r>
    </w:p>
    <w:p w14:paraId="4194033C" w14:textId="77777777" w:rsidR="000B4A63" w:rsidRDefault="00585BDC">
      <w:pPr>
        <w:spacing w:before="200" w:after="100"/>
      </w:pPr>
      <w:r>
        <w:rPr>
          <w:b/>
          <w:bCs/>
        </w:rPr>
        <w:t>Präoperatives Prozedere</w:t>
      </w:r>
    </w:p>
    <w:p w14:paraId="4194033D" w14:textId="77777777" w:rsidR="000B4A63" w:rsidRDefault="00585BDC">
      <w:pPr>
        <w:spacing w:after="200"/>
      </w:pPr>
      <w:r>
        <w:t xml:space="preserve">Nach Indikationsstellung und Aufklärung erfolgte die Operation in Allgemeinanästhesie. Der Patient wurde auf dem Extensionstisch in Rückenlage positioniert, das linke Bein in Traktion gebracht und das Becken sowie der proximale Oberschenkel aseptisch präpariert. Protokollgerechtes chirurgisches Abwaschen und Abdecken. Perioperativ Antibiotikaprophylaxe mit </w:t>
      </w:r>
      <w:r>
        <w:rPr>
          <w:b/>
          <w:bCs/>
        </w:rPr>
        <w:t>Cefazolin 2 g i. v.</w:t>
      </w:r>
      <w:r>
        <w:t xml:space="preserve"> bei Einleitung.</w:t>
      </w:r>
    </w:p>
    <w:p w14:paraId="4194033E" w14:textId="77777777" w:rsidR="000B4A63" w:rsidRDefault="00585BDC">
      <w:pPr>
        <w:spacing w:before="200" w:after="100"/>
      </w:pPr>
      <w:r>
        <w:rPr>
          <w:b/>
          <w:bCs/>
        </w:rPr>
        <w:t>Operationsbefund</w:t>
      </w:r>
    </w:p>
    <w:p w14:paraId="4194033F" w14:textId="77777777" w:rsidR="000B4A63" w:rsidRDefault="00585BDC">
      <w:pPr>
        <w:spacing w:after="200"/>
      </w:pPr>
      <w:r>
        <w:t>Radiologisch zeigte sich eine dislozierte pertrochantäre Fraktur mit lateraler Wandbeteiligung. Klinisch reizloser Weichteilmantel mit Hämatom im Bereich der lateralen Hüfte, kein Hinweis auf neurovaskuläre Beeinträchtigung.</w:t>
      </w:r>
    </w:p>
    <w:p w14:paraId="41940340" w14:textId="77777777" w:rsidR="000B4A63" w:rsidRDefault="00585BDC">
      <w:pPr>
        <w:spacing w:before="200" w:after="100"/>
      </w:pPr>
      <w:r>
        <w:rPr>
          <w:b/>
          <w:bCs/>
        </w:rPr>
        <w:t>Operationstechnik</w:t>
      </w:r>
    </w:p>
    <w:p w14:paraId="41940341" w14:textId="77777777" w:rsidR="000B4A63" w:rsidRDefault="00585BDC">
      <w:pPr>
        <w:spacing w:after="200"/>
      </w:pPr>
      <w:r>
        <w:t>Zunächst erfolgte unter Bildwandlerkontrolle die geschlossene Reposition der Fraktur durch Längszug und Innenrotation des Beines auf dem Extensionstisch. Nach Erreichen einer zufriedenstellenden Frakturstellung in beiden Ebenen wurde ein ca. 5 cm langer lateraler Hautschnitt proximal des Trochanter major angelegt.</w:t>
      </w:r>
    </w:p>
    <w:p w14:paraId="41940342" w14:textId="77777777" w:rsidR="000B4A63" w:rsidRDefault="00585BDC">
      <w:pPr>
        <w:spacing w:after="200"/>
      </w:pPr>
      <w:r>
        <w:t>Nach stumpfer und scharfer Präparation durch das Subkutangewebe und Spalten der Fascia lata erfolgte die Darstellung des Trochanter major. Ein Führungsdraht wurde unter BV-Kontrolle in den Schenkelhals bis in den Femurkopf vorgebracht. Nach Eröffnung des Markraumes mit dem Pfriem wurde der proximale Femurnagel über den Führungsdraht eingebracht und bis zur korrekten Tiefe vorgeschoben.</w:t>
      </w:r>
    </w:p>
    <w:p w14:paraId="41940343" w14:textId="77777777" w:rsidR="000B4A63" w:rsidRDefault="00585BDC">
      <w:pPr>
        <w:spacing w:after="200"/>
      </w:pPr>
      <w:r>
        <w:t>Im Anschluss erfolgte das Einbringen der Schenkelhalsschraube (Klinge) unter Zielgerätführung. Die korrekte Positionierung wurde mittels Tip-Apex-Distance-Messung kontrolliert. Die distale Verriegelung erfolgte mittels statischer Verriegelungsschraube. Die intraoperative Durchleuchtung in zwei Ebenen (a.-p. und axial) bestätigte eine anatomische Reposition sowie die korrekte Lage des Nagels und der Schrauben ohne Hinweis auf eine intraartikuläre Protrusion. Abschließend wurde das Operationsgebiet mit steril</w:t>
      </w:r>
      <w:r>
        <w:t>er Ringer-Lsg gespült und schichtweiser Wundverschluss der tiefen Weichteile sowie der Haut durchgeführt. Das Operationsgebiet wurde steril verbunden.</w:t>
      </w:r>
    </w:p>
    <w:p w14:paraId="41940344" w14:textId="77777777" w:rsidR="000B4A63" w:rsidRDefault="00585BDC">
      <w:pPr>
        <w:spacing w:before="200" w:after="100"/>
      </w:pPr>
      <w:r>
        <w:rPr>
          <w:b/>
          <w:bCs/>
        </w:rPr>
        <w:t>Postoperatives Vorgehen</w:t>
      </w:r>
    </w:p>
    <w:p w14:paraId="41940345" w14:textId="77777777" w:rsidR="000B4A63" w:rsidRDefault="00585BDC">
      <w:pPr>
        <w:pStyle w:val="Listenabsatz"/>
        <w:numPr>
          <w:ilvl w:val="0"/>
          <w:numId w:val="2"/>
        </w:numPr>
      </w:pPr>
      <w:r>
        <w:t>Sofortige Mobilisation unter schmerzadaptierter Vollbelastung</w:t>
      </w:r>
    </w:p>
    <w:p w14:paraId="41940346" w14:textId="77777777" w:rsidR="000B4A63" w:rsidRDefault="00585BDC">
      <w:pPr>
        <w:pStyle w:val="Listenabsatz"/>
        <w:numPr>
          <w:ilvl w:val="0"/>
          <w:numId w:val="2"/>
        </w:numPr>
      </w:pPr>
      <w:r>
        <w:t>Thromboseprophylaxe mit niedermolekularem Heparin (Clexane 40 mg s.c. 1x1) für 6 Wochen</w:t>
      </w:r>
    </w:p>
    <w:p w14:paraId="41940347" w14:textId="77777777" w:rsidR="000B4A63" w:rsidRPr="00AE19BB" w:rsidRDefault="00585BDC">
      <w:pPr>
        <w:pStyle w:val="Listenabsatz"/>
        <w:numPr>
          <w:ilvl w:val="0"/>
          <w:numId w:val="2"/>
        </w:numPr>
        <w:rPr>
          <w:lang w:val="en-US"/>
        </w:rPr>
      </w:pPr>
      <w:r w:rsidRPr="00AE19BB">
        <w:rPr>
          <w:lang w:val="en-US"/>
        </w:rPr>
        <w:t>Novalgin 500 2-2-2-2, Pantozol 20 1x1; Palladon 1.3 (6x1) b.B.</w:t>
      </w:r>
    </w:p>
    <w:p w14:paraId="41940348" w14:textId="77777777" w:rsidR="000B4A63" w:rsidRDefault="00585BDC">
      <w:pPr>
        <w:pStyle w:val="Listenabsatz"/>
        <w:numPr>
          <w:ilvl w:val="0"/>
          <w:numId w:val="2"/>
        </w:numPr>
      </w:pPr>
      <w:r>
        <w:lastRenderedPageBreak/>
        <w:t>Post-OP Röntgen Becken a.-p. und Hüfte axial</w:t>
      </w:r>
    </w:p>
    <w:p w14:paraId="41940349" w14:textId="77777777" w:rsidR="000B4A63" w:rsidRDefault="00585BDC">
      <w:pPr>
        <w:pStyle w:val="Listenabsatz"/>
        <w:numPr>
          <w:ilvl w:val="0"/>
          <w:numId w:val="2"/>
        </w:numPr>
      </w:pPr>
      <w:r>
        <w:t>Radiologische Verlaufskontrolle nach 6 Wochen</w:t>
      </w:r>
    </w:p>
    <w:sectPr w:rsidR="000B4A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26250"/>
    <w:multiLevelType w:val="hybridMultilevel"/>
    <w:tmpl w:val="E1FC31DC"/>
    <w:lvl w:ilvl="0" w:tplc="475265BC">
      <w:start w:val="1"/>
      <w:numFmt w:val="bullet"/>
      <w:lvlText w:val="•"/>
      <w:lvlJc w:val="left"/>
      <w:pPr>
        <w:ind w:left="720" w:hanging="360"/>
      </w:pPr>
    </w:lvl>
    <w:lvl w:ilvl="1" w:tplc="5B682F1E">
      <w:numFmt w:val="decimal"/>
      <w:lvlText w:val=""/>
      <w:lvlJc w:val="left"/>
    </w:lvl>
    <w:lvl w:ilvl="2" w:tplc="125820B4">
      <w:numFmt w:val="decimal"/>
      <w:lvlText w:val=""/>
      <w:lvlJc w:val="left"/>
    </w:lvl>
    <w:lvl w:ilvl="3" w:tplc="F1CE2024">
      <w:numFmt w:val="decimal"/>
      <w:lvlText w:val=""/>
      <w:lvlJc w:val="left"/>
    </w:lvl>
    <w:lvl w:ilvl="4" w:tplc="5DE2284A">
      <w:numFmt w:val="decimal"/>
      <w:lvlText w:val=""/>
      <w:lvlJc w:val="left"/>
    </w:lvl>
    <w:lvl w:ilvl="5" w:tplc="25BACA36">
      <w:numFmt w:val="decimal"/>
      <w:lvlText w:val=""/>
      <w:lvlJc w:val="left"/>
    </w:lvl>
    <w:lvl w:ilvl="6" w:tplc="30BE60C8">
      <w:numFmt w:val="decimal"/>
      <w:lvlText w:val=""/>
      <w:lvlJc w:val="left"/>
    </w:lvl>
    <w:lvl w:ilvl="7" w:tplc="4DE84422">
      <w:numFmt w:val="decimal"/>
      <w:lvlText w:val=""/>
      <w:lvlJc w:val="left"/>
    </w:lvl>
    <w:lvl w:ilvl="8" w:tplc="41D4F238">
      <w:numFmt w:val="decimal"/>
      <w:lvlText w:val=""/>
      <w:lvlJc w:val="left"/>
    </w:lvl>
  </w:abstractNum>
  <w:abstractNum w:abstractNumId="1" w15:restartNumberingAfterBreak="0">
    <w:nsid w:val="664A7751"/>
    <w:multiLevelType w:val="hybridMultilevel"/>
    <w:tmpl w:val="BC6020BE"/>
    <w:lvl w:ilvl="0" w:tplc="7D78E40A">
      <w:start w:val="1"/>
      <w:numFmt w:val="bullet"/>
      <w:lvlText w:val="●"/>
      <w:lvlJc w:val="left"/>
      <w:pPr>
        <w:ind w:left="720" w:hanging="360"/>
      </w:pPr>
    </w:lvl>
    <w:lvl w:ilvl="1" w:tplc="E85E2166">
      <w:start w:val="1"/>
      <w:numFmt w:val="bullet"/>
      <w:lvlText w:val="○"/>
      <w:lvlJc w:val="left"/>
      <w:pPr>
        <w:ind w:left="1440" w:hanging="360"/>
      </w:pPr>
    </w:lvl>
    <w:lvl w:ilvl="2" w:tplc="CF269C74">
      <w:start w:val="1"/>
      <w:numFmt w:val="bullet"/>
      <w:lvlText w:val="■"/>
      <w:lvlJc w:val="left"/>
      <w:pPr>
        <w:ind w:left="2160" w:hanging="360"/>
      </w:pPr>
    </w:lvl>
    <w:lvl w:ilvl="3" w:tplc="B380CDD8">
      <w:start w:val="1"/>
      <w:numFmt w:val="bullet"/>
      <w:lvlText w:val="●"/>
      <w:lvlJc w:val="left"/>
      <w:pPr>
        <w:ind w:left="2880" w:hanging="360"/>
      </w:pPr>
    </w:lvl>
    <w:lvl w:ilvl="4" w:tplc="6DBC1CA6">
      <w:start w:val="1"/>
      <w:numFmt w:val="bullet"/>
      <w:lvlText w:val="○"/>
      <w:lvlJc w:val="left"/>
      <w:pPr>
        <w:ind w:left="3600" w:hanging="360"/>
      </w:pPr>
    </w:lvl>
    <w:lvl w:ilvl="5" w:tplc="95E869E4">
      <w:start w:val="1"/>
      <w:numFmt w:val="bullet"/>
      <w:lvlText w:val="■"/>
      <w:lvlJc w:val="left"/>
      <w:pPr>
        <w:ind w:left="4320" w:hanging="360"/>
      </w:pPr>
    </w:lvl>
    <w:lvl w:ilvl="6" w:tplc="B87848E8">
      <w:start w:val="1"/>
      <w:numFmt w:val="bullet"/>
      <w:lvlText w:val="●"/>
      <w:lvlJc w:val="left"/>
      <w:pPr>
        <w:ind w:left="5040" w:hanging="360"/>
      </w:pPr>
    </w:lvl>
    <w:lvl w:ilvl="7" w:tplc="5A2A7C9C">
      <w:start w:val="1"/>
      <w:numFmt w:val="bullet"/>
      <w:lvlText w:val="●"/>
      <w:lvlJc w:val="left"/>
      <w:pPr>
        <w:ind w:left="5760" w:hanging="360"/>
      </w:pPr>
    </w:lvl>
    <w:lvl w:ilvl="8" w:tplc="F7CE279E">
      <w:start w:val="1"/>
      <w:numFmt w:val="bullet"/>
      <w:lvlText w:val="●"/>
      <w:lvlJc w:val="left"/>
      <w:pPr>
        <w:ind w:left="6480" w:hanging="360"/>
      </w:pPr>
    </w:lvl>
  </w:abstractNum>
  <w:num w:numId="1" w16cid:durableId="1794205203">
    <w:abstractNumId w:val="1"/>
    <w:lvlOverride w:ilvl="0">
      <w:startOverride w:val="1"/>
    </w:lvlOverride>
  </w:num>
  <w:num w:numId="2" w16cid:durableId="1386026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A63"/>
    <w:rsid w:val="000B4A63"/>
    <w:rsid w:val="00585BDC"/>
    <w:rsid w:val="005A6460"/>
    <w:rsid w:val="00AE19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0332"/>
  <w15:docId w15:val="{F0803470-2597-4D7E-9E2A-80D7D349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2360</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Tarek Omar Pacha</cp:lastModifiedBy>
  <cp:revision>3</cp:revision>
  <dcterms:created xsi:type="dcterms:W3CDTF">2025-12-10T17:30:00Z</dcterms:created>
  <dcterms:modified xsi:type="dcterms:W3CDTF">2025-12-10T17:32:00Z</dcterms:modified>
</cp:coreProperties>
</file>