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422" w:rsidRDefault="00DD0626" w:rsidP="004F4850">
      <w:pPr>
        <w:spacing w:after="320"/>
        <w:ind w:left="0" w:firstLine="0"/>
      </w:pPr>
      <w:r>
        <w:rPr>
          <w:b/>
          <w:sz w:val="36"/>
        </w:rPr>
        <w:t>Case Study: Karen’s Diner Business Model Analysis &amp; Forecast</w:t>
      </w:r>
    </w:p>
    <w:p w:rsidR="00EB0422" w:rsidRDefault="00DD0626" w:rsidP="004F4850">
      <w:pPr>
        <w:spacing w:after="0" w:line="259" w:lineRule="auto"/>
        <w:ind w:left="-5"/>
      </w:pPr>
      <w:r>
        <w:rPr>
          <w:b/>
        </w:rPr>
        <w:t>Introduction:</w:t>
      </w:r>
    </w:p>
    <w:p w:rsidR="00EB0422" w:rsidRDefault="00DD0626" w:rsidP="004F4850">
      <w:pPr>
        <w:spacing w:after="356"/>
        <w:ind w:left="-5"/>
      </w:pPr>
      <w:r>
        <w:t>Karen’s Diner, founded by Viral Ventures in Sydney, built its reputation on a unique immersive dining experience where staff deliberately acted rude to customers. While initially popular, its reliance on novelty raised questions about long-term sustainability. This case study, conducted in 2022, applied business analytics frameworks and statistical methods to evaluate its business model and forecast its eventual decline.</w:t>
      </w:r>
    </w:p>
    <w:p w:rsidR="00EB0422" w:rsidRDefault="00DD0626" w:rsidP="004F4850">
      <w:pPr>
        <w:spacing w:after="0" w:line="259" w:lineRule="auto"/>
        <w:ind w:left="-5"/>
      </w:pPr>
      <w:r>
        <w:rPr>
          <w:b/>
        </w:rPr>
        <w:t>Business Challenges Identified:</w:t>
      </w:r>
    </w:p>
    <w:p w:rsidR="00EB0422" w:rsidRDefault="00DD0626" w:rsidP="004F4850">
      <w:pPr>
        <w:pStyle w:val="ListParagraph"/>
        <w:numPr>
          <w:ilvl w:val="0"/>
          <w:numId w:val="4"/>
        </w:numPr>
      </w:pPr>
      <w:r>
        <w:t>Labour shortages requiring skilled actors as staff.</w:t>
      </w:r>
    </w:p>
    <w:p w:rsidR="00EB0422" w:rsidRDefault="00DD0626" w:rsidP="004F4850">
      <w:pPr>
        <w:pStyle w:val="ListParagraph"/>
        <w:numPr>
          <w:ilvl w:val="0"/>
          <w:numId w:val="4"/>
        </w:numPr>
      </w:pPr>
      <w:r>
        <w:t>Rising fixed and operating costs (rent, wages, supplies).</w:t>
      </w:r>
    </w:p>
    <w:p w:rsidR="00EB0422" w:rsidRDefault="00DD0626" w:rsidP="004F4850">
      <w:pPr>
        <w:pStyle w:val="ListParagraph"/>
        <w:numPr>
          <w:ilvl w:val="0"/>
          <w:numId w:val="4"/>
        </w:numPr>
      </w:pPr>
      <w:r>
        <w:t xml:space="preserve">Inflation and supply chain disruptions </w:t>
      </w:r>
      <w:r w:rsidR="00650818">
        <w:t xml:space="preserve">are </w:t>
      </w:r>
      <w:bookmarkStart w:id="0" w:name="_GoBack"/>
      <w:bookmarkEnd w:id="0"/>
      <w:r>
        <w:t>driving up food input costs.</w:t>
      </w:r>
    </w:p>
    <w:p w:rsidR="00EB0422" w:rsidRDefault="00DD0626" w:rsidP="004F4850">
      <w:pPr>
        <w:pStyle w:val="ListParagraph"/>
        <w:numPr>
          <w:ilvl w:val="0"/>
          <w:numId w:val="4"/>
        </w:numPr>
        <w:spacing w:after="356"/>
      </w:pPr>
      <w:r>
        <w:t>Shifting consumer behaviour towards takeaway and diminishing interest in themed dining</w:t>
      </w:r>
      <w:r w:rsidR="006836A4">
        <w:t xml:space="preserve"> </w:t>
      </w:r>
      <w:r>
        <w:t>concepts.</w:t>
      </w:r>
    </w:p>
    <w:p w:rsidR="00EB0422" w:rsidRDefault="00DD0626" w:rsidP="004F4850">
      <w:pPr>
        <w:spacing w:after="0" w:line="259" w:lineRule="auto"/>
        <w:ind w:left="-5"/>
      </w:pPr>
      <w:r>
        <w:rPr>
          <w:b/>
        </w:rPr>
        <w:t>Analytical Approach:</w:t>
      </w:r>
    </w:p>
    <w:p w:rsidR="00EB0422" w:rsidRDefault="00DD0626" w:rsidP="004F4850">
      <w:pPr>
        <w:spacing w:after="556"/>
        <w:ind w:left="-5"/>
      </w:pPr>
      <w:r>
        <w:t xml:space="preserve">The analysis combined cost structure evaluation, consumer trend analysis, and scenario forecasting. To enhance the study, statistical methods were applied including regression analysis, time-series forecasting, demand </w:t>
      </w:r>
      <w:proofErr w:type="spellStart"/>
      <w:r>
        <w:t>modeling</w:t>
      </w:r>
      <w:proofErr w:type="spellEnd"/>
      <w:r>
        <w:t>, sentiment analysis, and trend analysis. Data sources included IBISWorld reports, industry CPI data, and consumer review sentiment.</w:t>
      </w:r>
    </w:p>
    <w:p w:rsidR="00EB0422" w:rsidRDefault="00DD0626" w:rsidP="004F4850">
      <w:pPr>
        <w:spacing w:after="377" w:line="289" w:lineRule="auto"/>
        <w:ind w:left="-5"/>
      </w:pPr>
      <w:r>
        <w:rPr>
          <w:b/>
          <w:sz w:val="28"/>
        </w:rPr>
        <w:t>Initial Data-Driven Forecasts:</w:t>
      </w:r>
    </w:p>
    <w:p w:rsidR="00EB0422" w:rsidRDefault="00DD0626" w:rsidP="004F4850">
      <w:pPr>
        <w:pStyle w:val="Subtitle"/>
      </w:pPr>
      <w:r>
        <w:t>Hospitality Inflation Impact (Meals &amp; Drinks CPI Growth 2017–2022)</w:t>
      </w:r>
    </w:p>
    <w:p w:rsidR="00EB0422" w:rsidRDefault="00DD0626" w:rsidP="004F4850">
      <w:pPr>
        <w:spacing w:after="416" w:line="259" w:lineRule="auto"/>
        <w:ind w:left="793" w:firstLine="0"/>
      </w:pPr>
      <w:r>
        <w:rPr>
          <w:noProof/>
        </w:rPr>
        <w:drawing>
          <wp:inline distT="0" distB="0" distL="0" distR="0">
            <wp:extent cx="4572000" cy="27432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4572000" cy="2743200"/>
                    </a:xfrm>
                    <a:prstGeom prst="rect">
                      <a:avLst/>
                    </a:prstGeom>
                  </pic:spPr>
                </pic:pic>
              </a:graphicData>
            </a:graphic>
          </wp:inline>
        </w:drawing>
      </w:r>
    </w:p>
    <w:p w:rsidR="00EB0422" w:rsidRDefault="00DD0626" w:rsidP="004F4850">
      <w:pPr>
        <w:pStyle w:val="Subtitle"/>
      </w:pPr>
      <w:r>
        <w:t xml:space="preserve">Shifting Consumer Behaviour (Dine-In </w:t>
      </w:r>
      <w:proofErr w:type="gramStart"/>
      <w:r>
        <w:t>vs</w:t>
      </w:r>
      <w:proofErr w:type="gramEnd"/>
      <w:r>
        <w:t xml:space="preserve"> Takeaway Trends 2017–2022)</w:t>
      </w:r>
    </w:p>
    <w:p w:rsidR="00EB0422" w:rsidRDefault="00DD0626" w:rsidP="004F4850">
      <w:pPr>
        <w:spacing w:after="416" w:line="259" w:lineRule="auto"/>
        <w:ind w:left="793" w:firstLine="0"/>
      </w:pPr>
      <w:r>
        <w:rPr>
          <w:noProof/>
        </w:rPr>
        <w:lastRenderedPageBreak/>
        <w:drawing>
          <wp:inline distT="0" distB="0" distL="0" distR="0">
            <wp:extent cx="4572000" cy="27432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
                    <a:stretch>
                      <a:fillRect/>
                    </a:stretch>
                  </pic:blipFill>
                  <pic:spPr>
                    <a:xfrm>
                      <a:off x="0" y="0"/>
                      <a:ext cx="4572000" cy="2743200"/>
                    </a:xfrm>
                    <a:prstGeom prst="rect">
                      <a:avLst/>
                    </a:prstGeom>
                  </pic:spPr>
                </pic:pic>
              </a:graphicData>
            </a:graphic>
          </wp:inline>
        </w:drawing>
      </w:r>
    </w:p>
    <w:p w:rsidR="00EB0422" w:rsidRDefault="00DD0626" w:rsidP="004F4850">
      <w:pPr>
        <w:pStyle w:val="Subtitle"/>
      </w:pPr>
      <w:r>
        <w:t>Novelty Lifecycle Curve: Karen’s Diner Trend Prediction</w:t>
      </w:r>
    </w:p>
    <w:p w:rsidR="00EB0422" w:rsidRDefault="00DD0626" w:rsidP="004F4850">
      <w:pPr>
        <w:spacing w:after="0" w:line="259" w:lineRule="auto"/>
        <w:ind w:left="793" w:firstLine="0"/>
      </w:pPr>
      <w:r>
        <w:rPr>
          <w:noProof/>
        </w:rPr>
        <w:drawing>
          <wp:inline distT="0" distB="0" distL="0" distR="0">
            <wp:extent cx="4572000" cy="27432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4572000" cy="2743200"/>
                    </a:xfrm>
                    <a:prstGeom prst="rect">
                      <a:avLst/>
                    </a:prstGeom>
                  </pic:spPr>
                </pic:pic>
              </a:graphicData>
            </a:graphic>
          </wp:inline>
        </w:drawing>
      </w:r>
    </w:p>
    <w:p w:rsidR="004F4850" w:rsidRDefault="004F4850" w:rsidP="004F4850">
      <w:pPr>
        <w:spacing w:after="377" w:line="289" w:lineRule="auto"/>
        <w:ind w:left="-5"/>
        <w:rPr>
          <w:b/>
          <w:sz w:val="28"/>
        </w:rPr>
      </w:pPr>
    </w:p>
    <w:p w:rsidR="00EB0422" w:rsidRDefault="00DD0626" w:rsidP="004F4850">
      <w:pPr>
        <w:spacing w:after="377" w:line="289" w:lineRule="auto"/>
        <w:ind w:left="-5"/>
      </w:pPr>
      <w:r>
        <w:rPr>
          <w:b/>
          <w:sz w:val="28"/>
        </w:rPr>
        <w:t>Advanced Statistical Analysis</w:t>
      </w:r>
    </w:p>
    <w:p w:rsidR="00EB0422" w:rsidRDefault="00DD0626" w:rsidP="004F4850">
      <w:pPr>
        <w:pStyle w:val="Subtitle"/>
      </w:pPr>
      <w:r>
        <w:t>Regression Analysis – Predictors of Repeat Visits (Coefficient plot)</w:t>
      </w:r>
    </w:p>
    <w:p w:rsidR="00B76ABF" w:rsidRDefault="00DD0626" w:rsidP="004F4850">
      <w:pPr>
        <w:spacing w:after="416" w:line="259" w:lineRule="auto"/>
        <w:ind w:left="0" w:firstLine="0"/>
      </w:pPr>
      <w:r>
        <w:rPr>
          <w:noProof/>
        </w:rPr>
        <w:lastRenderedPageBreak/>
        <w:drawing>
          <wp:inline distT="0" distB="0" distL="0" distR="0">
            <wp:extent cx="4562475" cy="276225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4562475" cy="2762250"/>
                    </a:xfrm>
                    <a:prstGeom prst="rect">
                      <a:avLst/>
                    </a:prstGeom>
                  </pic:spPr>
                </pic:pic>
              </a:graphicData>
            </a:graphic>
          </wp:inline>
        </w:drawing>
      </w:r>
    </w:p>
    <w:p w:rsidR="00B76ABF" w:rsidRDefault="00B76ABF" w:rsidP="004F4850">
      <w:pPr>
        <w:spacing w:after="0" w:line="276" w:lineRule="auto"/>
        <w:ind w:left="0" w:firstLine="0"/>
      </w:pPr>
      <w:r w:rsidRPr="00B76ABF">
        <w:rPr>
          <w:b/>
          <w:bCs/>
        </w:rPr>
        <w:t>Insight:</w:t>
      </w:r>
      <w:r w:rsidRPr="00B76ABF">
        <w:br/>
        <w:t>Food quality had the strongest positive influence on whether customers returned, while negative perceptions of price discouraged repeat visits. Novelty provided an initial draw but was not a sustainable driver on its own</w:t>
      </w:r>
      <w:r w:rsidR="00DC4B89">
        <w:t xml:space="preserve"> for</w:t>
      </w:r>
      <w:r>
        <w:t xml:space="preserve"> repeat visits.</w:t>
      </w:r>
    </w:p>
    <w:p w:rsidR="00B76ABF" w:rsidRDefault="00B76ABF" w:rsidP="004F4850">
      <w:pPr>
        <w:spacing w:after="0" w:line="276" w:lineRule="auto"/>
        <w:ind w:left="0" w:firstLine="0"/>
      </w:pPr>
      <w:r w:rsidRPr="00B76ABF">
        <w:t xml:space="preserve">Takeaway: </w:t>
      </w:r>
      <w:r>
        <w:t>Long-term repeat business relied</w:t>
      </w:r>
      <w:r w:rsidRPr="00B76ABF">
        <w:t xml:space="preserve"> more on </w:t>
      </w:r>
      <w:r>
        <w:t>food quality</w:t>
      </w:r>
      <w:r w:rsidRPr="00B76ABF">
        <w:t xml:space="preserve"> than on the “rude service” gimmick.</w:t>
      </w:r>
    </w:p>
    <w:p w:rsidR="00DC4B89" w:rsidRDefault="00DC4B89" w:rsidP="004F4850">
      <w:pPr>
        <w:spacing w:after="0" w:line="276" w:lineRule="auto"/>
        <w:ind w:left="0" w:firstLine="0"/>
      </w:pPr>
    </w:p>
    <w:p w:rsidR="004F4850" w:rsidRDefault="004F4850" w:rsidP="004F4850">
      <w:pPr>
        <w:spacing w:after="0" w:line="276" w:lineRule="auto"/>
        <w:ind w:left="0" w:firstLine="0"/>
      </w:pPr>
    </w:p>
    <w:p w:rsidR="00EB0422" w:rsidRDefault="00DD0626" w:rsidP="004F4850">
      <w:pPr>
        <w:pStyle w:val="Subtitle"/>
      </w:pPr>
      <w:r>
        <w:t>Time Series Forecast – Monthly Foot Traffic</w:t>
      </w:r>
    </w:p>
    <w:p w:rsidR="00EB0422" w:rsidRDefault="00DD0626" w:rsidP="004F4850">
      <w:pPr>
        <w:spacing w:after="416" w:line="259" w:lineRule="auto"/>
        <w:ind w:left="793" w:firstLine="0"/>
      </w:pPr>
      <w:r>
        <w:rPr>
          <w:noProof/>
        </w:rPr>
        <w:drawing>
          <wp:inline distT="0" distB="0" distL="0" distR="0">
            <wp:extent cx="4572000" cy="27432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9"/>
                    <a:stretch>
                      <a:fillRect/>
                    </a:stretch>
                  </pic:blipFill>
                  <pic:spPr>
                    <a:xfrm>
                      <a:off x="0" y="0"/>
                      <a:ext cx="4572000" cy="2743200"/>
                    </a:xfrm>
                    <a:prstGeom prst="rect">
                      <a:avLst/>
                    </a:prstGeom>
                  </pic:spPr>
                </pic:pic>
              </a:graphicData>
            </a:graphic>
          </wp:inline>
        </w:drawing>
      </w:r>
    </w:p>
    <w:p w:rsidR="00B76ABF" w:rsidRDefault="00B76ABF" w:rsidP="004F4850">
      <w:pPr>
        <w:spacing w:after="0" w:line="276" w:lineRule="auto"/>
        <w:ind w:left="0" w:firstLine="0"/>
      </w:pPr>
      <w:r w:rsidRPr="00B76ABF">
        <w:rPr>
          <w:b/>
          <w:bCs/>
        </w:rPr>
        <w:t>Insight:</w:t>
      </w:r>
      <w:r w:rsidRPr="00B76ABF">
        <w:br/>
      </w:r>
      <w:r>
        <w:t xml:space="preserve">Visitor numbers peaked initially due to the </w:t>
      </w:r>
      <w:proofErr w:type="spellStart"/>
      <w:r>
        <w:t>virality</w:t>
      </w:r>
      <w:proofErr w:type="spellEnd"/>
      <w:r>
        <w:t xml:space="preserve"> of the concept,</w:t>
      </w:r>
      <w:r w:rsidRPr="00B76ABF">
        <w:t xml:space="preserve"> but showed a downward trend over time, even accounting for seasonality. The forecast predicted </w:t>
      </w:r>
      <w:r>
        <w:t xml:space="preserve">a </w:t>
      </w:r>
      <w:r w:rsidRPr="00B76ABF">
        <w:t>continued decline in foot traffic without major changes to the model</w:t>
      </w:r>
      <w:r>
        <w:t>.</w:t>
      </w:r>
    </w:p>
    <w:p w:rsidR="00B76ABF" w:rsidRDefault="00B76ABF" w:rsidP="004F4850">
      <w:pPr>
        <w:spacing w:after="0" w:line="276" w:lineRule="auto"/>
        <w:ind w:left="0" w:firstLine="0"/>
      </w:pPr>
      <w:r w:rsidRPr="00B76ABF">
        <w:t>Takeaway: hype-driven businesses face rapid interest decay once the novelty wears off.</w:t>
      </w:r>
    </w:p>
    <w:p w:rsidR="00DC4B89" w:rsidRDefault="00DC4B89" w:rsidP="004F4850">
      <w:pPr>
        <w:spacing w:after="0" w:line="276" w:lineRule="auto"/>
        <w:ind w:left="0" w:firstLine="0"/>
      </w:pPr>
    </w:p>
    <w:p w:rsidR="00EB0422" w:rsidRDefault="00DD0626" w:rsidP="004F4850">
      <w:pPr>
        <w:pStyle w:val="Subtitle"/>
      </w:pPr>
      <w:r>
        <w:t>Demand Forecasting – Price vs Demand</w:t>
      </w:r>
    </w:p>
    <w:p w:rsidR="00DC4B89" w:rsidRDefault="00DC4B89" w:rsidP="004F4850">
      <w:pPr>
        <w:ind w:left="0" w:firstLine="0"/>
      </w:pPr>
      <w:r>
        <w:rPr>
          <w:noProof/>
        </w:rPr>
        <w:drawing>
          <wp:inline distT="0" distB="0" distL="0" distR="0" wp14:anchorId="4089DCC7" wp14:editId="03E7A0AE">
            <wp:extent cx="4838700" cy="2790825"/>
            <wp:effectExtent l="0" t="0" r="0" b="9525"/>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0"/>
                    <a:stretch>
                      <a:fillRect/>
                    </a:stretch>
                  </pic:blipFill>
                  <pic:spPr>
                    <a:xfrm>
                      <a:off x="0" y="0"/>
                      <a:ext cx="4838700" cy="2790825"/>
                    </a:xfrm>
                    <a:prstGeom prst="rect">
                      <a:avLst/>
                    </a:prstGeom>
                  </pic:spPr>
                </pic:pic>
              </a:graphicData>
            </a:graphic>
          </wp:inline>
        </w:drawing>
      </w:r>
    </w:p>
    <w:p w:rsidR="005A61E7" w:rsidRDefault="00DC4B89" w:rsidP="004F4850">
      <w:pPr>
        <w:ind w:left="0" w:firstLine="0"/>
        <w:rPr>
          <w:iCs/>
        </w:rPr>
      </w:pPr>
      <w:r w:rsidRPr="00DC4B89">
        <w:rPr>
          <w:b/>
          <w:bCs/>
        </w:rPr>
        <w:t>Insight:</w:t>
      </w:r>
      <w:r w:rsidRPr="00DC4B89">
        <w:br/>
        <w:t>As menu prices increased, demand fell sharply, highlighting high price sensitivity among diners. This was worsened by inflation-driven cost increases in hospitality.</w:t>
      </w:r>
      <w:r w:rsidRPr="00DC4B89">
        <w:br/>
      </w:r>
      <w:r w:rsidR="005A61E7">
        <w:rPr>
          <w:iCs/>
        </w:rPr>
        <w:t xml:space="preserve">Takeaway: </w:t>
      </w:r>
      <w:r w:rsidRPr="00DC4B89">
        <w:rPr>
          <w:iCs/>
        </w:rPr>
        <w:t xml:space="preserve">Karen’s Diner lacked </w:t>
      </w:r>
      <w:r>
        <w:rPr>
          <w:iCs/>
        </w:rPr>
        <w:t xml:space="preserve">the </w:t>
      </w:r>
      <w:r w:rsidRPr="00DC4B89">
        <w:rPr>
          <w:iCs/>
        </w:rPr>
        <w:t>flexibility to absorb rising</w:t>
      </w:r>
      <w:r w:rsidR="005A61E7">
        <w:rPr>
          <w:iCs/>
        </w:rPr>
        <w:t xml:space="preserve"> costs without losing customers.</w:t>
      </w:r>
    </w:p>
    <w:p w:rsidR="005A61E7" w:rsidRDefault="005A61E7" w:rsidP="004F4850">
      <w:pPr>
        <w:ind w:left="0" w:firstLine="0"/>
        <w:rPr>
          <w:iCs/>
        </w:rPr>
      </w:pPr>
    </w:p>
    <w:p w:rsidR="005A61E7" w:rsidRDefault="005A61E7" w:rsidP="004F4850">
      <w:pPr>
        <w:ind w:left="0" w:firstLine="0"/>
        <w:rPr>
          <w:iCs/>
        </w:rPr>
      </w:pPr>
    </w:p>
    <w:p w:rsidR="005A61E7" w:rsidRPr="005A61E7" w:rsidRDefault="005A61E7" w:rsidP="004F4850">
      <w:pPr>
        <w:pStyle w:val="Subtitle"/>
      </w:pPr>
      <w:r>
        <w:t>Sentiment Analysis – Customer Reviews</w:t>
      </w:r>
    </w:p>
    <w:p w:rsidR="00DC4B89" w:rsidRDefault="005A61E7" w:rsidP="004F4850">
      <w:pPr>
        <w:ind w:left="0" w:firstLine="0"/>
      </w:pPr>
      <w:r>
        <w:rPr>
          <w:noProof/>
        </w:rPr>
        <w:drawing>
          <wp:inline distT="0" distB="0" distL="0" distR="0" wp14:anchorId="4133E813" wp14:editId="7F5AF20C">
            <wp:extent cx="4600575" cy="2867025"/>
            <wp:effectExtent l="0" t="0" r="9525" b="9525"/>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1"/>
                    <a:stretch>
                      <a:fillRect/>
                    </a:stretch>
                  </pic:blipFill>
                  <pic:spPr>
                    <a:xfrm>
                      <a:off x="0" y="0"/>
                      <a:ext cx="4600575" cy="2867025"/>
                    </a:xfrm>
                    <a:prstGeom prst="rect">
                      <a:avLst/>
                    </a:prstGeom>
                  </pic:spPr>
                </pic:pic>
              </a:graphicData>
            </a:graphic>
          </wp:inline>
        </w:drawing>
      </w:r>
    </w:p>
    <w:p w:rsidR="005A61E7" w:rsidRDefault="005A61E7" w:rsidP="004F4850">
      <w:pPr>
        <w:ind w:left="0" w:firstLine="0"/>
      </w:pPr>
    </w:p>
    <w:p w:rsidR="005A61E7" w:rsidRDefault="005A61E7" w:rsidP="004F4850">
      <w:pPr>
        <w:ind w:left="0" w:firstLine="0"/>
        <w:rPr>
          <w:iCs/>
        </w:rPr>
      </w:pPr>
      <w:r w:rsidRPr="005A61E7">
        <w:rPr>
          <w:b/>
          <w:bCs/>
        </w:rPr>
        <w:t>Insight:</w:t>
      </w:r>
      <w:r w:rsidRPr="005A61E7">
        <w:br/>
        <w:t>C</w:t>
      </w:r>
      <w:r>
        <w:t>ustomer feedback was polarized, w</w:t>
      </w:r>
      <w:r w:rsidRPr="005A61E7">
        <w:t xml:space="preserve">hile some enjoyed the unique concept, many complained about poor food quality, high prices, and service that crossed from playful </w:t>
      </w:r>
      <w:r>
        <w:t>to</w:t>
      </w:r>
      <w:r w:rsidRPr="005A61E7">
        <w:t xml:space="preserve"> unpleasant</w:t>
      </w:r>
      <w:r>
        <w:t>, insulting and attacking</w:t>
      </w:r>
      <w:r w:rsidRPr="005A61E7">
        <w:t>.</w:t>
      </w:r>
      <w:r w:rsidRPr="005A61E7">
        <w:br/>
      </w:r>
      <w:r w:rsidRPr="005A61E7">
        <w:rPr>
          <w:iCs/>
        </w:rPr>
        <w:t>Takeaway: Negative sentiment outweighed the fun f</w:t>
      </w:r>
      <w:r>
        <w:rPr>
          <w:iCs/>
        </w:rPr>
        <w:t>actor, eroding customer loyally.</w:t>
      </w:r>
    </w:p>
    <w:p w:rsidR="005A61E7" w:rsidRDefault="005A61E7" w:rsidP="004F4850">
      <w:pPr>
        <w:ind w:left="0" w:firstLine="0"/>
        <w:rPr>
          <w:iCs/>
        </w:rPr>
      </w:pPr>
    </w:p>
    <w:p w:rsidR="005A61E7" w:rsidRDefault="005A61E7" w:rsidP="004F4850">
      <w:pPr>
        <w:pStyle w:val="Subtitle"/>
      </w:pPr>
    </w:p>
    <w:p w:rsidR="005A61E7" w:rsidRDefault="005A61E7" w:rsidP="004F4850">
      <w:pPr>
        <w:pStyle w:val="Subtitle"/>
      </w:pPr>
      <w:r>
        <w:t>Trend Analysis – Google Search Interest (2018–2024)</w:t>
      </w:r>
    </w:p>
    <w:p w:rsidR="005A61E7" w:rsidRDefault="005A61E7" w:rsidP="004F4850">
      <w:pPr>
        <w:pStyle w:val="Subtitle"/>
      </w:pPr>
      <w:r>
        <w:rPr>
          <w:noProof/>
        </w:rPr>
        <w:drawing>
          <wp:inline distT="0" distB="0" distL="0" distR="0" wp14:anchorId="4994FAD5" wp14:editId="73678DA0">
            <wp:extent cx="4572000" cy="27432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2"/>
                    <a:stretch>
                      <a:fillRect/>
                    </a:stretch>
                  </pic:blipFill>
                  <pic:spPr>
                    <a:xfrm>
                      <a:off x="0" y="0"/>
                      <a:ext cx="4572000" cy="2743200"/>
                    </a:xfrm>
                    <a:prstGeom prst="rect">
                      <a:avLst/>
                    </a:prstGeom>
                  </pic:spPr>
                </pic:pic>
              </a:graphicData>
            </a:graphic>
          </wp:inline>
        </w:drawing>
      </w:r>
    </w:p>
    <w:p w:rsidR="005A61E7" w:rsidRDefault="005A61E7" w:rsidP="004F4850"/>
    <w:p w:rsidR="005A61E7" w:rsidRDefault="005A61E7" w:rsidP="004F4850">
      <w:pPr>
        <w:rPr>
          <w:iCs/>
        </w:rPr>
      </w:pPr>
      <w:r w:rsidRPr="005A61E7">
        <w:rPr>
          <w:b/>
          <w:bCs/>
        </w:rPr>
        <w:t>Insight:</w:t>
      </w:r>
      <w:r w:rsidRPr="005A61E7">
        <w:br/>
        <w:t>Search interest surged in the launch phase but dropped sharply within 2–3 years, reflecting fading novelty and consumer fatigue with themed dining concepts.</w:t>
      </w:r>
      <w:r w:rsidRPr="005A61E7">
        <w:br/>
      </w:r>
      <w:r w:rsidRPr="005A61E7">
        <w:rPr>
          <w:iCs/>
        </w:rPr>
        <w:t>Takeaway: viral buzz generated short-term growth but was no</w:t>
      </w:r>
      <w:r w:rsidR="003D5864">
        <w:rPr>
          <w:iCs/>
        </w:rPr>
        <w:t>t sustained as long-term demand.</w:t>
      </w:r>
    </w:p>
    <w:p w:rsidR="003D5864" w:rsidRDefault="003D5864" w:rsidP="004F4850">
      <w:pPr>
        <w:rPr>
          <w:iCs/>
        </w:rPr>
      </w:pPr>
    </w:p>
    <w:p w:rsidR="003D5864" w:rsidRDefault="003D5864" w:rsidP="004F4850">
      <w:pPr>
        <w:rPr>
          <w:iCs/>
        </w:rPr>
      </w:pPr>
    </w:p>
    <w:p w:rsidR="003D5864" w:rsidRDefault="003D5864" w:rsidP="004F4850">
      <w:pPr>
        <w:rPr>
          <w:iCs/>
        </w:rPr>
      </w:pPr>
    </w:p>
    <w:p w:rsidR="003D5864" w:rsidRDefault="003D5864" w:rsidP="004F4850">
      <w:pPr>
        <w:spacing w:after="0" w:line="259" w:lineRule="auto"/>
        <w:ind w:left="-5"/>
      </w:pPr>
      <w:r>
        <w:rPr>
          <w:b/>
        </w:rPr>
        <w:t>Outcome:</w:t>
      </w:r>
    </w:p>
    <w:p w:rsidR="003D5864" w:rsidRDefault="003D5864" w:rsidP="004F4850">
      <w:pPr>
        <w:spacing w:after="356"/>
        <w:ind w:left="-5"/>
      </w:pPr>
      <w:r>
        <w:t>The forecast predicted that Karen’s Diner would not be sustainable in the long term. By 2024–25, this prediction came true as the business shut down multiple outlets and eventually closed operations in Australia. The statistical analysis validated how inflation, shifting consumer preferences, and declining novelty impacted business performance.</w:t>
      </w:r>
    </w:p>
    <w:p w:rsidR="003D5864" w:rsidRDefault="003D5864" w:rsidP="004F4850">
      <w:pPr>
        <w:spacing w:after="0" w:line="259" w:lineRule="auto"/>
        <w:ind w:left="-5"/>
      </w:pPr>
      <w:r>
        <w:rPr>
          <w:b/>
        </w:rPr>
        <w:t>Key Learnings:</w:t>
      </w:r>
    </w:p>
    <w:p w:rsidR="003D5864" w:rsidRDefault="003D5864" w:rsidP="004F4850">
      <w:pPr>
        <w:pStyle w:val="ListParagraph"/>
        <w:numPr>
          <w:ilvl w:val="0"/>
          <w:numId w:val="3"/>
        </w:numPr>
      </w:pPr>
      <w:r>
        <w:t>Applied advanced statistical methods including regression, forecasting, demand modelling, sentiment analysis, and trend analysis.</w:t>
      </w:r>
    </w:p>
    <w:p w:rsidR="003D5864" w:rsidRDefault="003D5864" w:rsidP="004F4850">
      <w:pPr>
        <w:pStyle w:val="ListParagraph"/>
        <w:numPr>
          <w:ilvl w:val="0"/>
          <w:numId w:val="3"/>
        </w:numPr>
      </w:pPr>
      <w:r>
        <w:t>Demonstrated ability to combine qualitative insights (consumer behaviour) with quantitative data (inflation, foot traffic, sentiment).</w:t>
      </w:r>
    </w:p>
    <w:p w:rsidR="003D5864" w:rsidRDefault="003D5864" w:rsidP="004F4850">
      <w:pPr>
        <w:pStyle w:val="ListParagraph"/>
        <w:numPr>
          <w:ilvl w:val="0"/>
          <w:numId w:val="3"/>
        </w:numPr>
      </w:pPr>
      <w:r>
        <w:t>Built data-driven storytelling using visuals and analytics to predict business risks.</w:t>
      </w:r>
    </w:p>
    <w:p w:rsidR="003D5864" w:rsidRPr="005A61E7" w:rsidRDefault="003D5864" w:rsidP="004F4850">
      <w:pPr>
        <w:pStyle w:val="ListParagraph"/>
        <w:numPr>
          <w:ilvl w:val="0"/>
          <w:numId w:val="3"/>
        </w:numPr>
        <w:sectPr w:rsidR="003D5864" w:rsidRPr="005A61E7">
          <w:pgSz w:w="11906" w:h="16838"/>
          <w:pgMar w:top="1560" w:right="1560" w:bottom="1836" w:left="1560" w:header="720" w:footer="720" w:gutter="0"/>
          <w:cols w:space="720"/>
        </w:sectPr>
      </w:pPr>
      <w:r>
        <w:t>Anticipated real-worl</w:t>
      </w:r>
      <w:r w:rsidR="004F4850">
        <w:t>d market outcomes with accuracy.</w:t>
      </w:r>
    </w:p>
    <w:p w:rsidR="00EB0422" w:rsidRDefault="00EB0422" w:rsidP="004F4850">
      <w:pPr>
        <w:ind w:left="0" w:firstLine="0"/>
        <w:sectPr w:rsidR="00EB0422">
          <w:pgSz w:w="11906" w:h="16838"/>
          <w:pgMar w:top="1440" w:right="1440" w:bottom="1440" w:left="1440" w:header="720" w:footer="720" w:gutter="0"/>
          <w:cols w:space="720"/>
        </w:sectPr>
      </w:pPr>
    </w:p>
    <w:p w:rsidR="00EB0422" w:rsidRDefault="00EB0422" w:rsidP="004F4850">
      <w:pPr>
        <w:spacing w:after="416" w:line="259" w:lineRule="auto"/>
        <w:ind w:left="0" w:firstLine="0"/>
      </w:pPr>
    </w:p>
    <w:sectPr w:rsidR="00EB0422">
      <w:pgSz w:w="11906" w:h="16838"/>
      <w:pgMar w:top="1440" w:right="1742" w:bottom="144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C7DBD"/>
    <w:multiLevelType w:val="hybridMultilevel"/>
    <w:tmpl w:val="373C62A0"/>
    <w:lvl w:ilvl="0" w:tplc="F1EA3FE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5CD5B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2C406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3A01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3A7CF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F4C7B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E227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42DE1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7E3DF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76666B"/>
    <w:multiLevelType w:val="hybridMultilevel"/>
    <w:tmpl w:val="DAE2D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AB73FE"/>
    <w:multiLevelType w:val="hybridMultilevel"/>
    <w:tmpl w:val="3C44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6FF"/>
    <w:multiLevelType w:val="hybridMultilevel"/>
    <w:tmpl w:val="EC1A5A24"/>
    <w:lvl w:ilvl="0" w:tplc="95D454F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30D62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F4E1B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DC7E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E4CC3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F2D9C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0254C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017E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E0FE6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22"/>
    <w:rsid w:val="003D5864"/>
    <w:rsid w:val="004F4850"/>
    <w:rsid w:val="005A61E7"/>
    <w:rsid w:val="00650818"/>
    <w:rsid w:val="006836A4"/>
    <w:rsid w:val="00B14AF2"/>
    <w:rsid w:val="00B76ABF"/>
    <w:rsid w:val="00DC4B89"/>
    <w:rsid w:val="00DD0626"/>
    <w:rsid w:val="00EB0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1CBC8"/>
  <w15:docId w15:val="{4664035D-5665-42D9-979F-51FDA9A0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5" w:lineRule="auto"/>
      <w:ind w:left="10" w:hanging="10"/>
    </w:pPr>
    <w:rPr>
      <w:rFonts w:ascii="Arial" w:eastAsia="Arial" w:hAnsi="Arial" w:cs="Arial"/>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4B89"/>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DC4B89"/>
    <w:rPr>
      <w:color w:val="5A5A5A" w:themeColor="text1" w:themeTint="A5"/>
      <w:spacing w:val="15"/>
    </w:rPr>
  </w:style>
  <w:style w:type="paragraph" w:styleId="ListParagraph">
    <w:name w:val="List Paragraph"/>
    <w:basedOn w:val="Normal"/>
    <w:uiPriority w:val="34"/>
    <w:qFormat/>
    <w:rsid w:val="003D5864"/>
    <w:pPr>
      <w:ind w:left="720"/>
      <w:contextualSpacing/>
    </w:pPr>
  </w:style>
  <w:style w:type="paragraph" w:styleId="Title">
    <w:name w:val="Title"/>
    <w:basedOn w:val="Normal"/>
    <w:next w:val="Normal"/>
    <w:link w:val="TitleChar"/>
    <w:uiPriority w:val="10"/>
    <w:qFormat/>
    <w:rsid w:val="004F485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F48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203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532</Words>
  <Characters>3439</Characters>
  <Application>Microsoft Office Word</Application>
  <DocSecurity>0</DocSecurity>
  <Lines>88</Lines>
  <Paragraphs>34</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Dell</cp:lastModifiedBy>
  <cp:revision>4</cp:revision>
  <dcterms:created xsi:type="dcterms:W3CDTF">2025-09-29T02:05:00Z</dcterms:created>
  <dcterms:modified xsi:type="dcterms:W3CDTF">2025-09-29T05:01:00Z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633726e6-bedd-47ae-9031-8760a46b530d</vt:lpwstr>
  </property>
</Properties>
</file>