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Factores Facilitadores: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Estructura en Dupla y División Clara: Trabajar en un equipo de dos personas con roles definidos (un integrante enfocado en desarrollo Full-Stack/DevOps/Mobile y el otro en arquitectura, especificaciones de QA y documentación de ingeniería) ha evitado duplicidad de esfuerzos.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Uso de Tecnologías Abiertas y Sandboxes: La integración de credenciales de prueba públicas en Transbank Webpay Plus y la madurez del framework Django REST Framework han acelerado la construcción del core transaccional.</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Arquitectura Monorepo: Centralizar el backend (Python/Django) y la aplicación móvil (React Native/Expo) en un mismo repositorio facilita el control de versiones y el consumo de APIs.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Factores Dificultadores: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Conflictos de repositorios anidados en Git: Al inicializar el proyecto móvil con Expo, se generó automáticamente un submódulo .git interno que bloqueó temporalmente el seguimiento de archivos en el repositorio principal.</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t xml:space="preserve">Falta de hardware físico permanente para pruebas AIoT: La dificultad para realizar pruebas continuas en terreno de la lectura de patentes vehiculares mediante cámaras físicas.</w:t>
            </w: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A">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B">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C">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Resolución Técnica de Git: Solucionamos la colisión de repositorios ejecutando la desindexación de la caché de Git (git rm --cached </w:t>
            </w:r>
            <w:r w:rsidDel="00000000" w:rsidR="00000000" w:rsidRPr="00000000">
              <w:rPr>
                <w:rtl w:val="0"/>
              </w:rPr>
              <w:t xml:space="preserve">mobile_app</w:t>
            </w:r>
            <w:r w:rsidDel="00000000" w:rsidR="00000000" w:rsidRPr="00000000">
              <w:rPr>
                <w:rtl w:val="0"/>
              </w:rPr>
              <w:t xml:space="preserve">) y eliminando la carpeta .git interna del cliente móvil para integrar la app bajo la arquitectura </w:t>
            </w:r>
            <w:r w:rsidDel="00000000" w:rsidR="00000000" w:rsidRPr="00000000">
              <w:rPr>
                <w:rtl w:val="0"/>
              </w:rPr>
              <w:t xml:space="preserve">monorepo</w:t>
            </w: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Simulación de Visión Computacional (AIoT): Para suplir la falta de hardware en vivo en el día a día, alimentamos el pipeline de visión por computador utilizando datasets y streams de video pregrabados con patentes vehiculares, permitiendo calibrar los algoritmos localmente antes de las pruebas de integración finales.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Aislamiento en Pruebas Financieras y Reservas: Frente al riesgo de condiciones de carrera en el agendamiento de espacios o pagos con la pasarela bancaria, implementamos transacciones atómicas (@transaction.atomic) en PostgreSQL y stubs/mocks en la suite de pruebas unitarias con Pytest.</w:t>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Evaluamos nuestro trabajo de forma muy positiva, alcanzando un grado de madurez técnica que supera el estándar de un CRUD básico.</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Aspectos Destacados:</w:t>
            </w:r>
          </w:p>
          <w:p w:rsidR="00000000" w:rsidDel="00000000" w:rsidP="00000000" w:rsidRDefault="00000000" w:rsidRPr="00000000" w14:paraId="00000034">
            <w:pPr>
              <w:rPr/>
            </w:pPr>
            <w:r w:rsidDel="00000000" w:rsidR="00000000" w:rsidRPr="00000000">
              <w:rPr>
                <w:rtl w:val="0"/>
              </w:rPr>
              <w:t xml:space="preserve">Diseño de un modelo Multi-Tenant seguro con aislamiento de datos por condominio en PostgreSQL (Row Level Security).</w:t>
            </w:r>
          </w:p>
          <w:p w:rsidR="00000000" w:rsidDel="00000000" w:rsidP="00000000" w:rsidRDefault="00000000" w:rsidRPr="00000000" w14:paraId="00000035">
            <w:pPr>
              <w:rPr/>
            </w:pPr>
            <w:r w:rsidDel="00000000" w:rsidR="00000000" w:rsidRPr="00000000">
              <w:rPr>
                <w:rtl w:val="0"/>
              </w:rPr>
              <w:t xml:space="preserve">Desarrollo de la app móvil dual para residentes (generación de pases QR) y conserjes (escáner QR y bitácora digital).</w:t>
            </w:r>
          </w:p>
          <w:p w:rsidR="00000000" w:rsidDel="00000000" w:rsidP="00000000" w:rsidRDefault="00000000" w:rsidRPr="00000000" w14:paraId="00000036">
            <w:pPr>
              <w:rPr/>
            </w:pPr>
            <w:r w:rsidDel="00000000" w:rsidR="00000000" w:rsidRPr="00000000">
              <w:rPr>
                <w:rtl w:val="0"/>
              </w:rPr>
              <w:t xml:space="preserve">Inclusión de un motor de IA Generativa (RAG) para resolver dudas del reglamento interno de copropiedad (Ley N° 21.442).</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Oportunidades de Mejora:</w:t>
            </w:r>
          </w:p>
          <w:p w:rsidR="00000000" w:rsidDel="00000000" w:rsidP="00000000" w:rsidRDefault="00000000" w:rsidRPr="00000000" w14:paraId="00000039">
            <w:pPr>
              <w:rPr/>
            </w:pPr>
            <w:r w:rsidDel="00000000" w:rsidR="00000000" w:rsidRPr="00000000">
              <w:rPr>
                <w:rtl w:val="0"/>
              </w:rPr>
              <w:t xml:space="preserve">Aumentar la cobertura de pruebas de integración automatizadas E2E (End-to-End) sobre las vistas del cliente móvil.</w:t>
            </w:r>
          </w:p>
          <w:p w:rsidR="00000000" w:rsidDel="00000000" w:rsidP="00000000" w:rsidRDefault="00000000" w:rsidRPr="00000000" w14:paraId="0000003A">
            <w:pPr>
              <w:rPr/>
            </w:pPr>
            <w:r w:rsidDel="00000000" w:rsidR="00000000" w:rsidRPr="00000000">
              <w:rPr>
                <w:rtl w:val="0"/>
              </w:rPr>
              <w:t xml:space="preserve">Agilizar el registro y actualización de los contratos de API OpenAPI/Swagger a medida que se agregan nuevos endpoints para el bot de soporte de </w:t>
            </w:r>
            <w:r w:rsidDel="00000000" w:rsidR="00000000" w:rsidRPr="00000000">
              <w:rPr>
                <w:rtl w:val="0"/>
              </w:rPr>
              <w:t xml:space="preserve">DeptoGest</w:t>
            </w:r>
            <w:r w:rsidDel="00000000" w:rsidR="00000000" w:rsidRPr="00000000">
              <w:rPr>
                <w:rtl w:val="0"/>
              </w:rPr>
              <w:t xml:space="preserve">.</w:t>
            </w:r>
          </w:p>
          <w:p w:rsidR="00000000" w:rsidDel="00000000" w:rsidP="00000000" w:rsidRDefault="00000000" w:rsidRPr="00000000" w14:paraId="0000003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E">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F">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Inquietud Técnica/Académica: Nos gustaría consultar a la comisión evaluadora sobre la mejor modalidad de demostración en vivo para la evaluación final: ¿Es preferible presentar la lectura vehicular por visión computacional (AIoT) utilizando un stream de video en vivo pregrabado para garantizar estabilidad en la presentación, o se exige montar el hardware físico con cámaras en el taller?</w:t>
            </w:r>
          </w:p>
          <w:p w:rsidR="00000000" w:rsidDel="00000000" w:rsidP="00000000" w:rsidRDefault="00000000" w:rsidRPr="00000000" w14:paraId="00000042">
            <w:pPr>
              <w:rPr/>
            </w:pPr>
            <w:r w:rsidDel="00000000" w:rsidR="00000000" w:rsidRPr="00000000">
              <w:rPr>
                <w:rtl w:val="0"/>
              </w:rPr>
              <w:t xml:space="preserve">Pregunta para el Docente: Considerando que nuestro software contempla un modelo de mantenimiento post-entrega y un bot interactivo de asistencia (</w:t>
            </w:r>
            <w:r w:rsidDel="00000000" w:rsidR="00000000" w:rsidRPr="00000000">
              <w:rPr>
                <w:rtl w:val="0"/>
              </w:rPr>
              <w:t xml:space="preserve">DeptoGest</w:t>
            </w:r>
            <w:r w:rsidDel="00000000" w:rsidR="00000000" w:rsidRPr="00000000">
              <w:rPr>
                <w:rtl w:val="0"/>
              </w:rPr>
              <w:t xml:space="preserve">), ¿es conveniente detallar el Plan de Soporte y SLA como un anexo formal dentro del informe final de Capstone?</w:t>
            </w:r>
          </w:p>
          <w:p w:rsidR="00000000" w:rsidDel="00000000" w:rsidP="00000000" w:rsidRDefault="00000000" w:rsidRPr="00000000" w14:paraId="0000004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7">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48">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49">
            <w:pPr>
              <w:jc w:val="both"/>
              <w:rPr>
                <w:color w:val="767171"/>
                <w:sz w:val="24"/>
                <w:szCs w:val="24"/>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No consideramos necesario hacer una reestructuración drástica de las responsabilidades principales, ya que la división en la pareja de trabajo ha resultado altamente eficiente. Sin embargo, asignamos las siguientes nuevas micro-actividades:</w:t>
            </w:r>
          </w:p>
          <w:p w:rsidR="00000000" w:rsidDel="00000000" w:rsidP="00000000" w:rsidRDefault="00000000" w:rsidRPr="00000000" w14:paraId="0000004B">
            <w:pPr>
              <w:numPr>
                <w:ilvl w:val="0"/>
                <w:numId w:val="2"/>
              </w:numPr>
              <w:ind w:left="720" w:hanging="360"/>
            </w:pPr>
            <w:r w:rsidDel="00000000" w:rsidR="00000000" w:rsidRPr="00000000">
              <w:rPr>
                <w:rtl w:val="0"/>
              </w:rPr>
              <w:t xml:space="preserve">Gabriela Antúnez (Programación/DevOps): Asignación de la programación de los consumidores para notificaciones push en tiempo real (WebSockets) y el ajuste de la interfaz del escáner en la app del conserje.</w:t>
            </w:r>
          </w:p>
          <w:p w:rsidR="00000000" w:rsidDel="00000000" w:rsidP="00000000" w:rsidRDefault="00000000" w:rsidRPr="00000000" w14:paraId="0000004C">
            <w:pPr>
              <w:numPr>
                <w:ilvl w:val="0"/>
                <w:numId w:val="2"/>
              </w:numPr>
              <w:ind w:left="720" w:hanging="360"/>
            </w:pPr>
            <w:r w:rsidDel="00000000" w:rsidR="00000000" w:rsidRPr="00000000">
              <w:rPr>
                <w:rtl w:val="0"/>
              </w:rPr>
              <w:t xml:space="preserve">Ariel Oñate (Arquitectura/QA/Documentación): Asignación de la construcción de la suite de pruebas Pytest para los endpoints móviles de escaneo QR y la redacción de la guía de entrenamiento de la base vectorial del asistente RAG (Ley 21.442).</w:t>
            </w:r>
          </w:p>
        </w:tc>
      </w:tr>
    </w:tbl>
    <w:p w:rsidR="00000000" w:rsidDel="00000000" w:rsidP="00000000" w:rsidRDefault="00000000" w:rsidRPr="00000000" w14:paraId="0000004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F">
            <w:pPr>
              <w:rPr>
                <w:b w:val="1"/>
                <w:bCs w:val="1"/>
                <w:color w:val="767171"/>
                <w:sz w:val="24"/>
                <w:szCs w:val="24"/>
              </w:rPr>
            </w:pPr>
            <w:bookmarkStart w:colFirst="0" w:colLast="0" w:name="_heading=h.tpm1mpdfrpxt"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50">
            <w:pPr>
              <w:jc w:val="both"/>
              <w:rPr>
                <w:color w:val="767171"/>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51">
            <w:pPr>
              <w:jc w:val="both"/>
              <w:rPr>
                <w:color w:val="767171"/>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Evaluamos el trabajo grupal como excelente, caracterizado por un alto nivel de compromiso, autogestión y complementariedad técnica.</w:t>
            </w:r>
          </w:p>
          <w:p w:rsidR="00000000" w:rsidDel="00000000" w:rsidP="00000000" w:rsidRDefault="00000000" w:rsidRPr="00000000" w14:paraId="00000053">
            <w:pPr>
              <w:numPr>
                <w:ilvl w:val="0"/>
                <w:numId w:val="1"/>
              </w:numPr>
              <w:ind w:left="720" w:hanging="360"/>
            </w:pPr>
            <w:r w:rsidDel="00000000" w:rsidR="00000000" w:rsidRPr="00000000">
              <w:rPr>
                <w:rtl w:val="0"/>
              </w:rPr>
              <w:t xml:space="preserve">Aspectos Positivos a Destacar:</w:t>
            </w:r>
          </w:p>
          <w:p w:rsidR="00000000" w:rsidDel="00000000" w:rsidP="00000000" w:rsidRDefault="00000000" w:rsidRPr="00000000" w14:paraId="00000054">
            <w:pPr>
              <w:numPr>
                <w:ilvl w:val="1"/>
                <w:numId w:val="1"/>
              </w:numPr>
              <w:ind w:left="1440" w:hanging="360"/>
            </w:pPr>
            <w:r w:rsidDel="00000000" w:rsidR="00000000" w:rsidRPr="00000000">
              <w:rPr>
                <w:rtl w:val="0"/>
              </w:rPr>
              <w:t xml:space="preserve">Comunicación Fluida y Sincronizada: Mantenemos reuniones de coordinación periódicas y seguimiento de tareas mediante repositorios compartidos en GitHub.</w:t>
            </w:r>
          </w:p>
          <w:p w:rsidR="00000000" w:rsidDel="00000000" w:rsidP="00000000" w:rsidRDefault="00000000" w:rsidRPr="00000000" w14:paraId="00000055">
            <w:pPr>
              <w:numPr>
                <w:ilvl w:val="1"/>
                <w:numId w:val="1"/>
              </w:numPr>
              <w:ind w:left="1440" w:hanging="360"/>
            </w:pPr>
            <w:r w:rsidDel="00000000" w:rsidR="00000000" w:rsidRPr="00000000">
              <w:rPr>
                <w:rtl w:val="0"/>
              </w:rPr>
              <w:t xml:space="preserve">Complementariedad de Habilidades: Se combina el dominio en desarrollo de código limpio (Clean Code) con el rigor metodológico para la documentación de ingeniería y el aseguramiento de calidad.</w:t>
            </w:r>
          </w:p>
          <w:p w:rsidR="00000000" w:rsidDel="00000000" w:rsidP="00000000" w:rsidRDefault="00000000" w:rsidRPr="00000000" w14:paraId="00000056">
            <w:pPr>
              <w:numPr>
                <w:ilvl w:val="0"/>
                <w:numId w:val="1"/>
              </w:numPr>
              <w:ind w:left="720" w:hanging="360"/>
            </w:pPr>
            <w:r w:rsidDel="00000000" w:rsidR="00000000" w:rsidRPr="00000000">
              <w:rPr>
                <w:rtl w:val="0"/>
              </w:rPr>
              <w:t xml:space="preserve">Aspectos a Mejorar:</w:t>
            </w:r>
          </w:p>
          <w:p w:rsidR="00000000" w:rsidDel="00000000" w:rsidP="00000000" w:rsidRDefault="00000000" w:rsidRPr="00000000" w14:paraId="00000057">
            <w:pPr>
              <w:numPr>
                <w:ilvl w:val="1"/>
                <w:numId w:val="1"/>
              </w:numPr>
              <w:ind w:left="1440" w:hanging="360"/>
            </w:pPr>
            <w:r w:rsidDel="00000000" w:rsidR="00000000" w:rsidRPr="00000000">
              <w:rPr>
                <w:rtl w:val="0"/>
              </w:rPr>
              <w:t xml:space="preserve">Establecer minutas escritas breves al término de cada sesión de revisión de código (code review) para registrar acuerdos sobre modificaciones de esquemas en la base de datos de forma más estructurada.</w:t>
            </w:r>
          </w:p>
        </w:tc>
      </w:tr>
    </w:tbl>
    <w:p w:rsidR="00000000" w:rsidDel="00000000" w:rsidP="00000000" w:rsidRDefault="00000000" w:rsidRPr="00000000" w14:paraId="0000005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5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rtl w:val="0"/>
            </w:rPr>
            <w:t xml:space="preserve">PTR 7862</w:t>
          </w:r>
          <w:r w:rsidDel="00000000" w:rsidR="00000000" w:rsidRPr="00000000">
            <w:rPr>
              <w:rtl w:val="0"/>
            </w:rPr>
          </w:r>
        </w:p>
        <w:p w:rsidR="00000000" w:rsidDel="00000000" w:rsidP="00000000" w:rsidRDefault="00000000" w:rsidRPr="00000000" w14:paraId="0000006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6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CL"/>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xq+5cAdD+l0VL2w0rcw3H6gi6w==">CgMxLjAyDmgudHBtMW1wZGZycHh0OAByITFXYVFvT3g5OGwyV2V1ZFN1VjhwTWhTeWF5cG5MLWU0LQ==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