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bookmarkStart w:colFirst="0" w:colLast="0" w:name="_yxqor5cdmwne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ESPECIFICACIÓN DE REQUERIMIENTOS DE SOFTWARE (SRS) - IEEE 830</w:t>
      </w:r>
    </w:p>
    <w:p w:rsidR="00000000" w:rsidDel="00000000" w:rsidP="00000000" w:rsidRDefault="00000000" w:rsidRPr="00000000" w14:paraId="00000002">
      <w:pPr>
        <w:pStyle w:val="Heading1"/>
        <w:rPr>
          <w:rFonts w:ascii="Arial" w:cs="Arial" w:eastAsia="Arial" w:hAnsi="Arial"/>
        </w:rPr>
      </w:pPr>
      <w:bookmarkStart w:colFirst="0" w:colLast="0" w:name="_gxudvnr6oii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Arial" w:cs="Arial" w:eastAsia="Arial" w:hAnsi="Arial"/>
        </w:rPr>
      </w:pPr>
      <w:bookmarkStart w:colFirst="0" w:colLast="0" w:name="_fn52pfhvxbh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Arial" w:cs="Arial" w:eastAsia="Arial" w:hAnsi="Arial"/>
        </w:rPr>
      </w:pPr>
      <w:bookmarkStart w:colFirst="0" w:colLast="0" w:name="_kft5lf10t555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Proyecto: </w:t>
      </w:r>
      <w:r w:rsidDel="00000000" w:rsidR="00000000" w:rsidRPr="00000000">
        <w:rPr>
          <w:rFonts w:ascii="Arial" w:cs="Arial" w:eastAsia="Arial" w:hAnsi="Arial"/>
          <w:rtl w:val="0"/>
        </w:rPr>
        <w:t xml:space="preserve">LifeBetter</w:t>
      </w:r>
      <w:r w:rsidDel="00000000" w:rsidR="00000000" w:rsidRPr="00000000">
        <w:rPr>
          <w:rFonts w:ascii="Arial" w:cs="Arial" w:eastAsia="Arial" w:hAnsi="Arial"/>
          <w:rtl w:val="0"/>
        </w:rPr>
        <w:t xml:space="preserve"> AIoT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Duoc UC - Escuela de Informática y Telecomunicaciones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Capstone (</w:t>
      </w:r>
      <w:r w:rsidDel="00000000" w:rsidR="00000000" w:rsidRPr="00000000">
        <w:rPr>
          <w:rtl w:val="0"/>
        </w:rPr>
        <w:t xml:space="preserve">PTY 4614</w:t>
      </w:r>
      <w:r w:rsidDel="00000000" w:rsidR="00000000" w:rsidRPr="00000000">
        <w:rPr>
          <w:rtl w:val="0"/>
        </w:rPr>
        <w:t xml:space="preserve">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Autores: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G</w:t>
      </w:r>
      <w:r w:rsidDel="00000000" w:rsidR="00000000" w:rsidRPr="00000000">
        <w:rPr>
          <w:rtl w:val="0"/>
        </w:rPr>
        <w:t xml:space="preserve">abriela Antúnez - Líder de Arquitectura, Modelado y Backend, Ariel Oñate - Líder de Procesos, UI/UX y Gestión.</w:t>
        <w:br w:type="textWrapping"/>
        <w:t xml:space="preserve">Versión: 1.0</w:t>
        <w:br w:type="textWrapping"/>
        <w:t xml:space="preserve">Fecha: 05 Septiembre 2026</w:t>
      </w:r>
    </w:p>
    <w:p w:rsidR="00000000" w:rsidDel="00000000" w:rsidP="00000000" w:rsidRDefault="00000000" w:rsidRPr="00000000" w14:paraId="00000019">
      <w:pPr>
        <w:pStyle w:val="Heading2"/>
        <w:rPr>
          <w:rFonts w:ascii="Arial" w:cs="Arial" w:eastAsia="Arial" w:hAnsi="Arial"/>
        </w:rPr>
      </w:pPr>
      <w:bookmarkStart w:colFirst="0" w:colLast="0" w:name="_vx8hx2dfkpaq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CONTROL DE VERSIONES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530"/>
        <w:gridCol w:w="2250"/>
        <w:gridCol w:w="4185"/>
        <w:tblGridChange w:id="0">
          <w:tblGrid>
            <w:gridCol w:w="975"/>
            <w:gridCol w:w="1530"/>
            <w:gridCol w:w="2250"/>
            <w:gridCol w:w="41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a237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Versión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1a237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  <w:color w:val="1a237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Autores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  <w:color w:val="1a237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Descripción de Cambios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2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05/09/2026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2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Gabriela Antúnez, Ariel Oñate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2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Elaboración inicial del documento de especificación bajo estándares IEEE 830 e ISO/IEC/IEEE 29148.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>
          <w:rFonts w:ascii="Arial" w:cs="Arial" w:eastAsia="Arial" w:hAnsi="Arial"/>
          <w:sz w:val="32"/>
          <w:szCs w:val="32"/>
        </w:rPr>
      </w:pPr>
      <w:bookmarkStart w:colFirst="0" w:colLast="0" w:name="_5n8014yxfgdb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rFonts w:ascii="Arial" w:cs="Arial" w:eastAsia="Arial" w:hAnsi="Arial"/>
          <w:sz w:val="28"/>
          <w:szCs w:val="28"/>
        </w:rPr>
      </w:pPr>
      <w:bookmarkStart w:colFirst="0" w:colLast="0" w:name="_umk7b05igwl6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1.1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El presente documento tiene como propósito definir la especificación formal de requisitos funcionales y no funcionales para guiar la construcción, pruebas y certificación de la plataforma </w:t>
      </w:r>
      <w:r w:rsidDel="00000000" w:rsidR="00000000" w:rsidRPr="00000000">
        <w:rPr>
          <w:rtl w:val="0"/>
        </w:rPr>
        <w:t xml:space="preserve">LifeBetter</w:t>
      </w:r>
      <w:r w:rsidDel="00000000" w:rsidR="00000000" w:rsidRPr="00000000">
        <w:rPr>
          <w:rtl w:val="0"/>
        </w:rPr>
        <w:t xml:space="preserve"> AIoT. Este documento servirá como base técnica para el equipo de desarrollo y como contrato de alcance para los stakeholders.</w:t>
      </w:r>
    </w:p>
    <w:p w:rsidR="00000000" w:rsidDel="00000000" w:rsidP="00000000" w:rsidRDefault="00000000" w:rsidRPr="00000000" w14:paraId="00000044">
      <w:pPr>
        <w:pStyle w:val="Heading2"/>
        <w:rPr>
          <w:rFonts w:ascii="Arial" w:cs="Arial" w:eastAsia="Arial" w:hAnsi="Arial"/>
        </w:rPr>
      </w:pPr>
      <w:bookmarkStart w:colFirst="0" w:colLast="0" w:name="_a3jhy2f33iuj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1.2 Alcance del Producto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LifeBetter</w:t>
      </w:r>
      <w:r w:rsidDel="00000000" w:rsidR="00000000" w:rsidRPr="00000000">
        <w:rPr>
          <w:rtl w:val="0"/>
        </w:rPr>
        <w:t xml:space="preserve"> AIoT es un ecosistema web y móvil multi-tenant diseñado para la administración habitacional moderna. Incluye módulos de finanzas para el pago de gastos comunes, control de acceso mediante códigos QR y tecnologías AIoT para la lectura de patentes vehiculares. Además, incorpora una bitácora digital y un asistente normativo basado en IA generativa para asegurar el cumplimiento de la Ley N° 21.442 de Copropiedad Inmobiliaria en Chile.</w:t>
      </w:r>
    </w:p>
    <w:p w:rsidR="00000000" w:rsidDel="00000000" w:rsidP="00000000" w:rsidRDefault="00000000" w:rsidRPr="00000000" w14:paraId="00000046">
      <w:pPr>
        <w:pStyle w:val="Heading2"/>
        <w:rPr>
          <w:rFonts w:ascii="Arial" w:cs="Arial" w:eastAsia="Arial" w:hAnsi="Arial"/>
        </w:rPr>
      </w:pPr>
      <w:bookmarkStart w:colFirst="0" w:colLast="0" w:name="_9n82lzuzrw6v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1.3 Definiciones, Acrónimos y Abreviaturas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AIoT:</w:t>
      </w:r>
      <w:r w:rsidDel="00000000" w:rsidR="00000000" w:rsidRPr="00000000">
        <w:rPr>
          <w:rtl w:val="0"/>
        </w:rPr>
        <w:t xml:space="preserve"> Artificial Intelligence of Things (Inteligencia Artificial de las Cosas).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RAG:</w:t>
      </w:r>
      <w:r w:rsidDel="00000000" w:rsidR="00000000" w:rsidRPr="00000000">
        <w:rPr>
          <w:rtl w:val="0"/>
        </w:rPr>
        <w:t xml:space="preserve"> Retrieval-Augmented Generation (Generación Aumentada por Recuperación).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RLS:</w:t>
      </w:r>
      <w:r w:rsidDel="00000000" w:rsidR="00000000" w:rsidRPr="00000000">
        <w:rPr>
          <w:rtl w:val="0"/>
        </w:rPr>
        <w:t xml:space="preserve"> Row-Level Security (Seguridad a Nivel de Fila).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RBAC:</w:t>
      </w:r>
      <w:r w:rsidDel="00000000" w:rsidR="00000000" w:rsidRPr="00000000">
        <w:rPr>
          <w:rtl w:val="0"/>
        </w:rPr>
        <w:t xml:space="preserve"> Role-Based Access Control (Control de Acceso Basado en Roles).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BDD:</w:t>
      </w:r>
      <w:r w:rsidDel="00000000" w:rsidR="00000000" w:rsidRPr="00000000">
        <w:rPr>
          <w:rtl w:val="0"/>
        </w:rPr>
        <w:t xml:space="preserve"> Behavior-Driven Development (Desarrollo Guiado por Comportamiento).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OWASP:</w:t>
      </w:r>
      <w:r w:rsidDel="00000000" w:rsidR="00000000" w:rsidRPr="00000000">
        <w:rPr>
          <w:rtl w:val="0"/>
        </w:rPr>
        <w:t xml:space="preserve"> Open Web Application Security Project (Proyecto de Seguridad de Aplicaciones Web Abiertas).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DRF:</w:t>
      </w:r>
      <w:r w:rsidDel="00000000" w:rsidR="00000000" w:rsidRPr="00000000">
        <w:rPr>
          <w:rtl w:val="0"/>
        </w:rPr>
        <w:t xml:space="preserve"> Django REST Framework (Marco de Trabajo REST para Django).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QR:</w:t>
      </w:r>
      <w:r w:rsidDel="00000000" w:rsidR="00000000" w:rsidRPr="00000000">
        <w:rPr>
          <w:rtl w:val="0"/>
        </w:rPr>
        <w:t xml:space="preserve"> Quick Response code (Código de Respuesta Rápida).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LPR/ALPR:</w:t>
      </w:r>
      <w:r w:rsidDel="00000000" w:rsidR="00000000" w:rsidRPr="00000000">
        <w:rPr>
          <w:rtl w:val="0"/>
        </w:rPr>
        <w:t xml:space="preserve"> License Plate Recognition / Automatic License Plate Recognition (Reconocimiento de Patentes / Reconocimiento Automático de Patentes).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SRS:</w:t>
      </w:r>
      <w:r w:rsidDel="00000000" w:rsidR="00000000" w:rsidRPr="00000000">
        <w:rPr>
          <w:rtl w:val="0"/>
        </w:rPr>
        <w:t xml:space="preserve"> Software Requirements Specification (Especificación de Requerimientos de Software).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MVP:</w:t>
      </w:r>
      <w:r w:rsidDel="00000000" w:rsidR="00000000" w:rsidRPr="00000000">
        <w:rPr>
          <w:rtl w:val="0"/>
        </w:rPr>
        <w:t xml:space="preserve"> Minimum Viable Product (Producto Mínimo Viable).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MoSCoW:</w:t>
      </w:r>
      <w:r w:rsidDel="00000000" w:rsidR="00000000" w:rsidRPr="00000000">
        <w:rPr>
          <w:rtl w:val="0"/>
        </w:rPr>
        <w:t xml:space="preserve"> Method for prioritization (Must, Should, Could, Won't) (Método de priorización).</w:t>
      </w:r>
    </w:p>
    <w:p w:rsidR="00000000" w:rsidDel="00000000" w:rsidP="00000000" w:rsidRDefault="00000000" w:rsidRPr="00000000" w14:paraId="00000053">
      <w:pPr>
        <w:pStyle w:val="Heading2"/>
        <w:rPr>
          <w:rFonts w:ascii="Arial" w:cs="Arial" w:eastAsia="Arial" w:hAnsi="Arial"/>
        </w:rPr>
      </w:pPr>
      <w:bookmarkStart w:colFirst="0" w:colLast="0" w:name="_xcau9vnxe3ws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1.4 Referencias y Bibliografía Obligatoria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IEEE Std 830-1998: IEEE Recommended Practice for Software Requirements Specifications.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ISO/IEC/IEEE 29148:2018: Systems and software engineering — Life cycle processes — Requirements engineering.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ISO/IEC 25010:2011: Systems and software engineering — Systems and software Quality Requirements and Evaluation (SQuaRE).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Sommerville, I. Ingeniería de Software (9° ed.).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Pressman, R. Ingeniería del Software: Un enfoque práctico (7° ed.).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PMBOK 6° y 7° ed. (Project Management Institute).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Ley N° 21.442 de Copropiedad Inmobiliaria de Chile.</w:t>
      </w:r>
    </w:p>
    <w:p w:rsidR="00000000" w:rsidDel="00000000" w:rsidP="00000000" w:rsidRDefault="00000000" w:rsidRPr="00000000" w14:paraId="0000005B">
      <w:pPr>
        <w:pStyle w:val="Heading2"/>
        <w:rPr>
          <w:rFonts w:ascii="Arial" w:cs="Arial" w:eastAsia="Arial" w:hAnsi="Arial"/>
        </w:rPr>
      </w:pPr>
      <w:bookmarkStart w:colFirst="0" w:colLast="0" w:name="_3rj71jh7oljp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1.5 Resumen del Documento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Este documento se organiza en cinco secciones principales: Introducción; Descripción General, que detalla la arquitectura y perfiles; Requerimientos Específicos, que lista las funcionalidades y atributos de calidad; Matriz de Historias de Usuario, con criterios de aceptación en formato Gherkin; y finalmente la Matriz de Trazabilidad para el seguimiento del desarrollo.</w:t>
      </w:r>
    </w:p>
    <w:p w:rsidR="00000000" w:rsidDel="00000000" w:rsidP="00000000" w:rsidRDefault="00000000" w:rsidRPr="00000000" w14:paraId="0000005D">
      <w:pPr>
        <w:pStyle w:val="Heading1"/>
        <w:rPr>
          <w:rFonts w:ascii="Arial" w:cs="Arial" w:eastAsia="Arial" w:hAnsi="Arial"/>
        </w:rPr>
      </w:pPr>
      <w:bookmarkStart w:colFirst="0" w:colLast="0" w:name="_korat34swomt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2. DESCRIPCIÓN GENERAL DEL PRODUCTO</w:t>
      </w:r>
    </w:p>
    <w:p w:rsidR="00000000" w:rsidDel="00000000" w:rsidP="00000000" w:rsidRDefault="00000000" w:rsidRPr="00000000" w14:paraId="0000005E">
      <w:pPr>
        <w:pStyle w:val="Heading2"/>
        <w:rPr>
          <w:rFonts w:ascii="Arial" w:cs="Arial" w:eastAsia="Arial" w:hAnsi="Arial"/>
        </w:rPr>
      </w:pPr>
      <w:bookmarkStart w:colFirst="0" w:colLast="0" w:name="_bgkt1twzcmou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2.1 Perspectiva del Producto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LifeBetter</w:t>
      </w:r>
      <w:r w:rsidDel="00000000" w:rsidR="00000000" w:rsidRPr="00000000">
        <w:rPr>
          <w:rtl w:val="0"/>
        </w:rPr>
        <w:t xml:space="preserve"> AIoT opera bajo una arquitectura distribuida y desacoplada siguiendo la filosofía API-First. El backend utiliza Django REST Framework con una base de datos PostgreSQL configurada para aislamiento multi-tenant. El frontend se divide en una plataforma web administrativa y aplicaciones móviles nativas o híbridas para residentes y personal de seguridad. El componente de visión artificial se despliega como un módulo de borde (Edge computing) para procesamiento local de imágenes.</w:t>
      </w:r>
    </w:p>
    <w:p w:rsidR="00000000" w:rsidDel="00000000" w:rsidP="00000000" w:rsidRDefault="00000000" w:rsidRPr="00000000" w14:paraId="00000060">
      <w:pPr>
        <w:pStyle w:val="Heading2"/>
        <w:rPr>
          <w:rFonts w:ascii="Arial" w:cs="Arial" w:eastAsia="Arial" w:hAnsi="Arial"/>
        </w:rPr>
      </w:pPr>
      <w:bookmarkStart w:colFirst="0" w:colLast="0" w:name="_xum79gm0b6p7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2.2 Funcionalidades Principales del Sistema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Financiera:</w:t>
      </w:r>
      <w:r w:rsidDel="00000000" w:rsidR="00000000" w:rsidRPr="00000000">
        <w:rPr>
          <w:rtl w:val="0"/>
        </w:rPr>
        <w:t xml:space="preserve"> Liquidación automática de gastos comunes e integración con Webpay Plus.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de Accesos:</w:t>
      </w:r>
      <w:r w:rsidDel="00000000" w:rsidR="00000000" w:rsidRPr="00000000">
        <w:rPr>
          <w:rtl w:val="0"/>
        </w:rPr>
        <w:t xml:space="preserve"> Gestión de visitas mediante códigos QR y reconocimiento automático de patentes (LPR).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Operativa:</w:t>
      </w:r>
      <w:r w:rsidDel="00000000" w:rsidR="00000000" w:rsidRPr="00000000">
        <w:rPr>
          <w:rtl w:val="0"/>
        </w:rPr>
        <w:t xml:space="preserve"> Centralización de novedades en bitácora digital, reserva de amenidades y comunicación vecinal.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Soporte Normativo:</w:t>
      </w:r>
      <w:r w:rsidDel="00000000" w:rsidR="00000000" w:rsidRPr="00000000">
        <w:rPr>
          <w:rtl w:val="0"/>
        </w:rPr>
        <w:t xml:space="preserve"> Consultas legales asistidas por IA sobre la normativa vigente de copropiedad.</w:t>
      </w:r>
    </w:p>
    <w:p w:rsidR="00000000" w:rsidDel="00000000" w:rsidP="00000000" w:rsidRDefault="00000000" w:rsidRPr="00000000" w14:paraId="00000065">
      <w:pPr>
        <w:pStyle w:val="Heading2"/>
        <w:rPr>
          <w:rFonts w:ascii="Arial" w:cs="Arial" w:eastAsia="Arial" w:hAnsi="Arial"/>
        </w:rPr>
      </w:pPr>
      <w:bookmarkStart w:colFirst="0" w:colLast="0" w:name="_4dk12fye0axu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2.3 Perfiles de Usuario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Residente / Copropietario:</w:t>
      </w:r>
      <w:r w:rsidDel="00000000" w:rsidR="00000000" w:rsidRPr="00000000">
        <w:rPr>
          <w:rtl w:val="0"/>
        </w:rPr>
        <w:t xml:space="preserve"> Gestiona pagos, genera invitaciones QR y reserva espacios.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Conserje / Personal de Seguridad:</w:t>
      </w:r>
      <w:r w:rsidDel="00000000" w:rsidR="00000000" w:rsidRPr="00000000">
        <w:rPr>
          <w:rtl w:val="0"/>
        </w:rPr>
        <w:t xml:space="preserve"> Opera el control de acceso, bitácora y validación de visitas.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 de Edificio:</w:t>
      </w:r>
      <w:r w:rsidDel="00000000" w:rsidR="00000000" w:rsidRPr="00000000">
        <w:rPr>
          <w:rtl w:val="0"/>
        </w:rPr>
        <w:t xml:space="preserve"> Gestiona finanzas, personal y configuraciones de la comunidad.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Superadministrador del SaaS:</w:t>
      </w:r>
      <w:r w:rsidDel="00000000" w:rsidR="00000000" w:rsidRPr="00000000">
        <w:rPr>
          <w:rtl w:val="0"/>
        </w:rPr>
        <w:t xml:space="preserve"> Gestión global de comunidades, facturación del servicio y mantenimiento.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Visita:</w:t>
      </w:r>
      <w:r w:rsidDel="00000000" w:rsidR="00000000" w:rsidRPr="00000000">
        <w:rPr>
          <w:rtl w:val="0"/>
        </w:rPr>
        <w:t xml:space="preserve"> Recibe y utiliza credenciales QR para el acceso.</w:t>
      </w:r>
    </w:p>
    <w:p w:rsidR="00000000" w:rsidDel="00000000" w:rsidP="00000000" w:rsidRDefault="00000000" w:rsidRPr="00000000" w14:paraId="0000006B">
      <w:pPr>
        <w:pStyle w:val="Heading2"/>
        <w:rPr>
          <w:rFonts w:ascii="Arial" w:cs="Arial" w:eastAsia="Arial" w:hAnsi="Arial"/>
        </w:rPr>
      </w:pPr>
      <w:bookmarkStart w:colFirst="0" w:colLast="0" w:name="_wp2ek068ub25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2.4 Restricciones Generales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Uso de cámara integrada para prototipado de visión computacional.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Pagos:</w:t>
      </w:r>
      <w:r w:rsidDel="00000000" w:rsidR="00000000" w:rsidRPr="00000000">
        <w:rPr>
          <w:rtl w:val="0"/>
        </w:rPr>
        <w:t xml:space="preserve"> Integración limitada al ambiente Sandbox de Transbank Webpay Plus.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Licenciamiento:</w:t>
      </w:r>
      <w:r w:rsidDel="00000000" w:rsidR="00000000" w:rsidRPr="00000000">
        <w:rPr>
          <w:rtl w:val="0"/>
        </w:rPr>
        <w:t xml:space="preserve"> Uso mandatorio de tecnologías Open Source.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Legal:</w:t>
      </w:r>
      <w:r w:rsidDel="00000000" w:rsidR="00000000" w:rsidRPr="00000000">
        <w:rPr>
          <w:rtl w:val="0"/>
        </w:rPr>
        <w:t xml:space="preserve"> Cumplimiento mandatorio de la Ley N° 21.442.</w:t>
      </w:r>
    </w:p>
    <w:p w:rsidR="00000000" w:rsidDel="00000000" w:rsidP="00000000" w:rsidRDefault="00000000" w:rsidRPr="00000000" w14:paraId="00000070">
      <w:pPr>
        <w:pStyle w:val="Heading2"/>
        <w:rPr>
          <w:rFonts w:ascii="Arial" w:cs="Arial" w:eastAsia="Arial" w:hAnsi="Arial"/>
        </w:rPr>
      </w:pPr>
      <w:bookmarkStart w:colFirst="0" w:colLast="0" w:name="_qw29z8fcinr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2.5 Supuestos y Dependencias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 asume disponibilidad constante de conexión a internet para la sincronización de la nube, funcionamiento del motor relacional PostgreSQL y disponibilidad de los servicios externos de autenticación y pasarelas de pago.</w:t>
      </w:r>
    </w:p>
    <w:p w:rsidR="00000000" w:rsidDel="00000000" w:rsidP="00000000" w:rsidRDefault="00000000" w:rsidRPr="00000000" w14:paraId="00000072">
      <w:pPr>
        <w:pStyle w:val="Heading2"/>
        <w:rPr>
          <w:rFonts w:ascii="Arial" w:cs="Arial" w:eastAsia="Arial" w:hAnsi="Arial"/>
        </w:rPr>
      </w:pPr>
      <w:bookmarkStart w:colFirst="0" w:colLast="0" w:name="_tzyoo4pgtlq2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3. REQUERIMIENTOS ESPECÍFICOS DEL SISTEMA</w:t>
      </w:r>
    </w:p>
    <w:p w:rsidR="00000000" w:rsidDel="00000000" w:rsidP="00000000" w:rsidRDefault="00000000" w:rsidRPr="00000000" w14:paraId="00000073">
      <w:pPr>
        <w:pStyle w:val="Heading3"/>
        <w:rPr>
          <w:rFonts w:ascii="Arial" w:cs="Arial" w:eastAsia="Arial" w:hAnsi="Arial"/>
        </w:rPr>
      </w:pPr>
      <w:bookmarkStart w:colFirst="0" w:colLast="0" w:name="_43cda5ddpnte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3.1 Requerimientos Funcionales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1590"/>
        <w:gridCol w:w="1110"/>
        <w:gridCol w:w="1875"/>
        <w:gridCol w:w="1740"/>
        <w:gridCol w:w="1395"/>
        <w:gridCol w:w="1710"/>
        <w:tblGridChange w:id="0">
          <w:tblGrid>
            <w:gridCol w:w="615"/>
            <w:gridCol w:w="1590"/>
            <w:gridCol w:w="1110"/>
            <w:gridCol w:w="1875"/>
            <w:gridCol w:w="1740"/>
            <w:gridCol w:w="1395"/>
            <w:gridCol w:w="17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color w:val="1a237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  <w:color w:val="1a237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color w:val="1a237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Prioridad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color w:val="1a237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color w:val="1a237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Entradas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1a237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Salidas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  <w:color w:val="1a237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237e"/>
                <w:sz w:val="20"/>
                <w:szCs w:val="20"/>
                <w:rtl w:val="0"/>
              </w:rPr>
              <w:t xml:space="preserve">Criterio de Éxito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RF-01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Autenticación RBAC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Control de acceso basado en roles con JWT.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Credenciales de usuario.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Token JWT válido.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Acceso denegado a rutas no autorizadas.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RF-02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Multi-Tenancy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Aislamiento lógico de datos por comunidad.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ID de comunidad.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Datos filtrados por tenant.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Usuario A no ve datos de Comunidad B.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RF-03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Prorrateo Gastos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Cálculo automatizado por alícuota.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Gastos totales y porcentaje dominio.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Monto a pagar por unidad.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Cálculo exacto según Ley 21.442.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RF-04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Emisión de PDF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colillas de cobro digitales.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Datos de liquidación.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Archivo PDF / Vista Web.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PDF generado con desglose correcto.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RF-05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Pagos Webpay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Procesamiento vía SDK Transbank.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Datos de tarjeta / monto.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Comprobante de pago.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Transacción exitosa en Sandbox.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RF-06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Conciliación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Trazabilidad de transacciones de pago.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Respuesta de pasarela.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Registro contable actualizado.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El estado de cuenta refleja el pago.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RF-07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QR Dinámicos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Generación de códigos temporales.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Datos visita y vigencia.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Imagen código QR.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QR expira tras su uso o tiempo.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RF-08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Escaneo QR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Validación en conserjería.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Lectura de código.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Resultado de validación.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B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Registro automático de entradas.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RF-09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Visita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Alerta automática al residente.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Evento de acceso.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Push / SMS / Email.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Residente recibe aviso en &lt; 5s.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RF-10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LPR AIoT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Detección óptica de patentes.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Stream de video cámara.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Texto de la patente.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Precisión &gt; 90% en caracteres.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RF-11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Verificación Patente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Cruce contra padrón y visitas.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Texto patente detectada.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Autorización de acceso.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El portón abre </w:t>
            </w:r>
            <w:r w:rsidDel="00000000" w:rsidR="00000000" w:rsidRPr="00000000">
              <w:rPr>
                <w:rtl w:val="0"/>
              </w:rPr>
              <w:t xml:space="preserve">si la patente</w:t>
            </w:r>
            <w:r w:rsidDel="00000000" w:rsidR="00000000" w:rsidRPr="00000000">
              <w:rPr>
                <w:rtl w:val="0"/>
              </w:rPr>
              <w:t xml:space="preserve"> es válida.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RF-12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Auto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Alerta de llegada de vehículo.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Match en BD de patentes.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al residente.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Aviso de llegada de auto específico.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RF-13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Reserva Espacios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Gestión de amenidades sin solape.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Fecha, hora y espacio.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 reserva.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No permite doble reserva a la misma hora.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RF-14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Bitácora Digital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Registro de eventos en conserjería.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Texto del evento / Firma.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Entrada en log digital.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Trazabilidad inalterable de turnos.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RF-15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Foro y Reclamos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Canal de comunicación comunitaria.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Post / Sugerencia / Reclamo.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Hilo de discusión / Ticket.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Interacción moderada por admin.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RF-16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Métricas anuales y morosidad.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Datos históricos.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Gráficos y KPI gerenciales.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clara de recaudación.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RF-17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Asistente RAG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IA para consultas de copropiedad.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Pregunta del usuario.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Respuesta basada en la ley.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Respuesta veraz según Ley 21.442.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>
          <w:rFonts w:ascii="Arial" w:cs="Arial" w:eastAsia="Arial" w:hAnsi="Arial"/>
        </w:rPr>
      </w:pPr>
      <w:bookmarkStart w:colFirst="0" w:colLast="0" w:name="_sjatl5a1es0s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3.2 Requerimientos No Funcionales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RNF-01 (Confidencialidad):</w:t>
      </w:r>
      <w:r w:rsidDel="00000000" w:rsidR="00000000" w:rsidRPr="00000000">
        <w:rPr>
          <w:rtl w:val="0"/>
        </w:rPr>
        <w:t xml:space="preserve"> Cifrado TLS 1.3 en tránsito y almacenamiento de contraseñas con Argon2.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RNF-02 (Integridad):</w:t>
      </w:r>
      <w:r w:rsidDel="00000000" w:rsidR="00000000" w:rsidRPr="00000000">
        <w:rPr>
          <w:rtl w:val="0"/>
        </w:rPr>
        <w:t xml:space="preserve"> Garantía de transacciones ACID en PostgreSQL para procesos financieros.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RNF-03 (Rendimiento API):</w:t>
      </w:r>
      <w:r w:rsidDel="00000000" w:rsidR="00000000" w:rsidRPr="00000000">
        <w:rPr>
          <w:rtl w:val="0"/>
        </w:rPr>
        <w:t xml:space="preserve"> Tiempo de respuesta menor a 300 ms en el percentil 95.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RNF-04 (Inferencia Visión):</w:t>
      </w:r>
      <w:r w:rsidDel="00000000" w:rsidR="00000000" w:rsidRPr="00000000">
        <w:rPr>
          <w:rtl w:val="0"/>
        </w:rPr>
        <w:t xml:space="preserve"> Reconocimiento de patentes en menos de 2.0 segundos.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RNF-05 (Fiabilidad):</w:t>
      </w:r>
      <w:r w:rsidDel="00000000" w:rsidR="00000000" w:rsidRPr="00000000">
        <w:rPr>
          <w:rtl w:val="0"/>
        </w:rPr>
        <w:t xml:space="preserve"> Disponibilidad del 99.5% con manejo de excepciones y reintentos.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RNF-06 (Mantenibilidad):</w:t>
      </w:r>
      <w:r w:rsidDel="00000000" w:rsidR="00000000" w:rsidRPr="00000000">
        <w:rPr>
          <w:rtl w:val="0"/>
        </w:rPr>
        <w:t xml:space="preserve"> Cobertura de pruebas Pytest &gt; 75% y adhesión a Clean Code.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RNF-07 (Usabilidad):</w:t>
      </w:r>
      <w:r w:rsidDel="00000000" w:rsidR="00000000" w:rsidRPr="00000000">
        <w:rPr>
          <w:rtl w:val="0"/>
        </w:rPr>
        <w:t xml:space="preserve"> Curva de aprendizaje para conserjes inferior a 15 minutos.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RNF-08 (Portabilidad):</w:t>
      </w:r>
      <w:r w:rsidDel="00000000" w:rsidR="00000000" w:rsidRPr="00000000">
        <w:rPr>
          <w:rtl w:val="0"/>
        </w:rPr>
        <w:t xml:space="preserve"> Despliegue en contenedores Docker para compatibilidad multi-entorno.</w:t>
      </w:r>
    </w:p>
    <w:p w:rsidR="00000000" w:rsidDel="00000000" w:rsidP="00000000" w:rsidRDefault="00000000" w:rsidRPr="00000000" w14:paraId="000000FD">
      <w:pPr>
        <w:pStyle w:val="Heading1"/>
        <w:rPr>
          <w:rFonts w:ascii="Arial" w:cs="Arial" w:eastAsia="Arial" w:hAnsi="Arial"/>
        </w:rPr>
      </w:pPr>
      <w:bookmarkStart w:colFirst="0" w:colLast="0" w:name="_hu7lw4w756kg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4. CATÁLOGO DE HISTORIAS DE USUARIO (RESUMEN EJECUTIVO Y REFERENCIA A PLANILLA OFICIAL)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El proyecto LifeBetter AIoT cuenta con un backlog formal de 50 Historias de Usuario completas con criterios de aceptación BDD (Gherkin: Dado, Cuando, Entonces) detalladas en la planilla de cálculo de respaldo alojada en Google Drive. Este documento servirá como referencia técnica para la implementación detallada de cada funcionalidad.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25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/>
      </w:pPr>
      <w:r w:rsidDel="00000000" w:rsidR="00000000" w:rsidRPr="00000000">
        <w:rPr>
          <w:rtl w:val="0"/>
        </w:rPr>
        <w:t xml:space="preserve">Figura 2: Matriz Completa de Historias de Usuario y Criterios de Aceptación BDD (50 Historias - Google Sheets)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Nota: Planilla oficial interactiva disponible en Google Drive bajo el título: Historias de usuario (Google Sheets).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jc w:val="center"/>
        <w:rPr>
          <w:rFonts w:ascii="Arial" w:cs="Arial" w:eastAsia="Arial" w:hAnsi="Arial"/>
        </w:rPr>
      </w:pPr>
      <w:bookmarkStart w:colFirst="0" w:colLast="0" w:name="_wyt6vayhbytl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Tabla de Síntesis del Catálogo de 50 Historias de Usuario por Épica y Rol</w:t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2400"/>
        <w:gridCol w:w="3000"/>
        <w:gridCol w:w="1000"/>
        <w:tblGridChange w:id="0">
          <w:tblGrid>
            <w:gridCol w:w="3600"/>
            <w:gridCol w:w="2400"/>
            <w:gridCol w:w="30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Épica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ID Historias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Cant.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Épica 1: Autenticación, Perfiles y Seguridad RBAC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HU-LB-013 a HU-LB-017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Usuario, Administrador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Épica 2: Finanzas, Gastos Comunes y Pasarela Webpay Plus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HU-LB-018 a HU-LB-029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Residente, Administrador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Épica 3: Control de Accesos, Pases QR y Visitas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HU-LB-003, HU-LB-008, HU-LB-009, HU-LB-030 a HU-LB-036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Residente, Visita, Conserje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Épica 4: Visión Computacional AIoT y Control Vehicular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HU-LB-001, HU-LB-037 a HU-LB-040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Conserje, Administrador, Residente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Épica 5: Operaciones, Conserjería y Bitácora Digital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HU-LB-006, HU-LB-007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Conserje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Épica 6: Amenidades, Espacios Comunes y Convivencia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HU-LB-002, HU-LB-004, HU-LB-005, HU-LB-041 a HU-LB-046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Residente, Conserje, Administrador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Épica 7: Asistente Normativo IA (RAG), Analítica y SaaS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HU-LB-010, HU-LB-011, HU-LB-012, HU-LB-047 a HU-LB-050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Administrador, Comité, Superadmin, Residente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12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Total Historias de Usuario: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>
          <w:rFonts w:ascii="Arial" w:cs="Arial" w:eastAsia="Arial" w:hAnsi="Arial"/>
        </w:rPr>
      </w:pPr>
      <w:bookmarkStart w:colFirst="0" w:colLast="0" w:name="_k1icxplwu07d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5. MATRIZ DE TRAZABILIDAD DE REQUERIMIENTOS</w:t>
      </w:r>
    </w:p>
    <w:p w:rsidR="00000000" w:rsidDel="00000000" w:rsidP="00000000" w:rsidRDefault="00000000" w:rsidRPr="00000000" w14:paraId="0000012C">
      <w:pPr>
        <w:rPr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0"/>
        <w:gridCol w:w="2400"/>
        <w:gridCol w:w="2000"/>
        <w:gridCol w:w="1200"/>
        <w:gridCol w:w="2400"/>
        <w:tblGridChange w:id="0">
          <w:tblGrid>
            <w:gridCol w:w="2000"/>
            <w:gridCol w:w="2400"/>
            <w:gridCol w:w="2000"/>
            <w:gridCol w:w="12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12E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Requerimiento (RF)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12F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 de Usuario (HU)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130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 Vinculado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131">
            <w:pPr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Incr.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  <w:shd w:fill="e8eaf6" w:val="clear"/>
          </w:tcPr>
          <w:p w:rsidR="00000000" w:rsidDel="00000000" w:rsidP="00000000" w:rsidRDefault="00000000" w:rsidRPr="00000000" w14:paraId="00000132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33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RF-01, RF-02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34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HU-LB-013 a HU-LB-017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35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RNF-01, RNF-08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36">
            <w:pPr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37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Gabriela Antúnez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38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RF-03, RF-04, RF-05, RF-06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39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HU-LB-018 a HU-LB-029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3A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RNF-02, RNF-05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3B">
            <w:pPr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3C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Gabriela Antúnez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3D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RF-07, RF-08, RF-09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3E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HU-LB-003, 008, 009, 030-036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3F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RNF-05, RNF-07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40">
            <w:pPr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41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Ariel Oñate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42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RF-10, RF-11, RF-12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43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HU-LB-001, 037-040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44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RNF-04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45">
            <w:pPr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46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Gabriela Antúnez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47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RF-13, RF-15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48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HU-LB-002, 004, 005, 041-046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49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RNF-03, RNF-06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4A">
            <w:pPr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4B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Ariel Oñate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4C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RF-14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4D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HU-LB-006, HU-LB-007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4E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RNF-07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4F">
            <w:pPr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50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Ariel Oñate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51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RF-16, RF-17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52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HU-LB-010-012, 047-050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53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RNF-03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54">
            <w:pPr>
              <w:jc w:val="center"/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e0e0e0" w:space="0" w:sz="8" w:val="single"/>
              <w:left w:color="e0e0e0" w:space="0" w:sz="8" w:val="single"/>
              <w:bottom w:color="e0e0e0" w:space="0" w:sz="8" w:val="single"/>
              <w:right w:color="e0e0e0" w:space="0" w:sz="8" w:val="single"/>
            </w:tcBorders>
          </w:tcPr>
          <w:p w:rsidR="00000000" w:rsidDel="00000000" w:rsidP="00000000" w:rsidRDefault="00000000" w:rsidRPr="00000000" w14:paraId="00000155">
            <w:pPr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333333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Gabriela Antúnez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spacing w:line="240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3952875</wp:posOffset>
          </wp:positionH>
          <wp:positionV relativeFrom="paragraph">
            <wp:posOffset>-152399</wp:posOffset>
          </wp:positionV>
          <wp:extent cx="1996440" cy="428625"/>
          <wp:effectExtent b="0" l="0" r="0" t="0"/>
          <wp:wrapNone/>
          <wp:docPr descr="http://www.duoc.cl/normasgraficas/normasgraficas/marca-duoc/6logo-fondo-transparente/fondo-transparente.png" id="3" name="image2.png"/>
          <a:graphic>
            <a:graphicData uri="http://schemas.openxmlformats.org/drawingml/2006/picture">
              <pic:pic>
                <pic:nvPicPr>
                  <pic:cNvPr descr="http://www.duoc.cl/normasgraficas/normasgraficas/marca-duoc/6logo-fondo-transparente/fondo-transparente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96440" cy="4286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2"/>
        <w:szCs w:val="22"/>
        <w:lang w:val="es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88" w:lineRule="auto"/>
    </w:pPr>
    <w:rPr>
      <w:rFonts w:ascii="Lexend" w:cs="Lexend" w:eastAsia="Lexend" w:hAnsi="Lexend"/>
      <w:b w:val="1"/>
      <w:bCs w:val="1"/>
      <w:color w:val="1a237e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88" w:lineRule="auto"/>
    </w:pPr>
    <w:rPr>
      <w:rFonts w:ascii="Lexend" w:cs="Lexend" w:eastAsia="Lexend" w:hAnsi="Lexend"/>
      <w:b w:val="1"/>
      <w:bCs w:val="1"/>
      <w:color w:val="283593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Lexend" w:cs="Lexend" w:eastAsia="Lexend" w:hAnsi="Lexend"/>
      <w:b w:val="1"/>
      <w:bCs w:val="1"/>
      <w:i w:val="0"/>
      <w:iCs w:val="0"/>
      <w:color w:val="3949a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exend" w:cs="Lexend" w:eastAsia="Lexend" w:hAnsi="Lexend"/>
      <w:b w:val="1"/>
      <w:bCs w:val="1"/>
      <w:i w:val="0"/>
      <w:iCs w:val="0"/>
      <w:color w:val="1a237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Lexend" w:cs="Lexend" w:eastAsia="Lexend" w:hAnsi="Lexend"/>
      <w:b w:val="0"/>
      <w:bCs w:val="0"/>
      <w:i w:val="0"/>
      <w:iCs w:val="0"/>
      <w:color w:val="5c6bc0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