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7uebabil8y96"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60.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55"/>
        <w:gridCol w:w="7605"/>
        <w:tblGridChange w:id="0">
          <w:tblGrid>
            <w:gridCol w:w="2055"/>
            <w:gridCol w:w="7605"/>
          </w:tblGrid>
        </w:tblGridChange>
      </w:tblGrid>
      <w:tr>
        <w:trPr>
          <w:cantSplit w:val="0"/>
          <w:tblHeader w:val="0"/>
        </w:trPr>
        <w:tc>
          <w:tcPr>
            <w:vAlign w:val="center"/>
          </w:tcPr>
          <w:p w:rsidR="00000000" w:rsidDel="00000000" w:rsidP="00000000" w:rsidRDefault="00000000" w:rsidRPr="00000000" w14:paraId="0000000D">
            <w:pPr>
              <w:rPr>
                <w:b w:val="1"/>
                <w:bCs w:val="1"/>
                <w:color w:val="1f3864"/>
              </w:rPr>
            </w:pPr>
            <w:r w:rsidDel="00000000" w:rsidR="00000000" w:rsidRPr="00000000">
              <w:rPr>
                <w:b w:val="1"/>
                <w:bCs w:val="1"/>
                <w:color w:val="1f3864"/>
                <w:rtl w:val="0"/>
              </w:rPr>
              <w:t xml:space="preserve">Resumen de avance proyecto APT</w:t>
            </w:r>
          </w:p>
        </w:tc>
        <w:tc>
          <w:tcPr/>
          <w:p w:rsidR="00000000" w:rsidDel="00000000" w:rsidP="00000000" w:rsidRDefault="00000000" w:rsidRPr="00000000" w14:paraId="0000000E">
            <w:pPr>
              <w:spacing w:after="0" w:line="240" w:lineRule="auto"/>
              <w:rPr/>
            </w:pPr>
            <w:r w:rsidDel="00000000" w:rsidR="00000000" w:rsidRPr="00000000">
              <w:rPr>
                <w:rtl w:val="0"/>
              </w:rPr>
              <w:t xml:space="preserve">Durante las Fases 1 y 2, se consolidó la arquitectura documental y el diseño de ingeniería del proyecto LifeBetter AIoT, los cuales se encuentran formalizados y respaldados en el repositorio institucional (</w:t>
            </w:r>
            <w:hyperlink r:id="rId8">
              <w:r w:rsidDel="00000000" w:rsidR="00000000" w:rsidRPr="00000000">
                <w:rPr>
                  <w:color w:val="1155cc"/>
                  <w:u w:val="single"/>
                  <w:rtl w:val="0"/>
                </w:rPr>
                <w:t xml:space="preserve">https://github.com/Ela04/Capstone</w:t>
              </w:r>
            </w:hyperlink>
            <w:r w:rsidDel="00000000" w:rsidR="00000000" w:rsidRPr="00000000">
              <w:rPr>
                <w:rtl w:val="0"/>
              </w:rPr>
              <w:t xml:space="preserve">).</w:t>
              <w:br w:type="textWrapping"/>
              <w:br w:type="textWrapping"/>
              <w:t xml:space="preserve">En este frente, se formalizó la especificación de requerimientos bajo el estándar IEEE 830, el mapa de procesos comparativo AS-IS vs. TO-BE para la sustitución de planillas Excel, la matriz de 50 historias de usuario estructuradas en formato </w:t>
            </w:r>
            <w:r w:rsidDel="00000000" w:rsidR="00000000" w:rsidRPr="00000000">
              <w:rPr>
                <w:rtl w:val="0"/>
              </w:rPr>
              <w:t xml:space="preserve">BDD</w:t>
            </w:r>
            <w:r w:rsidDel="00000000" w:rsidR="00000000" w:rsidRPr="00000000">
              <w:rPr>
                <w:rtl w:val="0"/>
              </w:rPr>
              <w:t xml:space="preserve">/Excel con criterios de aceptación detallados, el modelado relacional en PostgreSQL bajo un esquema Multi-Tenant con aislamiento Row Level Security (RLS), y la planificación temporal de 20 semanas en Carta Gantt mediante un modelo de desarrollo incremental coordinado en dupla.</w:t>
            </w:r>
          </w:p>
          <w:p w:rsidR="00000000" w:rsidDel="00000000" w:rsidP="00000000" w:rsidRDefault="00000000" w:rsidRPr="00000000" w14:paraId="0000000F">
            <w:pPr>
              <w:spacing w:after="0" w:line="240" w:lineRule="auto"/>
              <w:rPr/>
            </w:pPr>
            <w:r w:rsidDel="00000000" w:rsidR="00000000" w:rsidRPr="00000000">
              <w:rPr>
                <w:rtl w:val="0"/>
              </w:rPr>
            </w:r>
          </w:p>
          <w:p w:rsidR="00000000" w:rsidDel="00000000" w:rsidP="00000000" w:rsidRDefault="00000000" w:rsidRPr="00000000" w14:paraId="00000010">
            <w:pPr>
              <w:spacing w:after="0" w:line="240" w:lineRule="auto"/>
              <w:rPr/>
            </w:pPr>
            <w:r w:rsidDel="00000000" w:rsidR="00000000" w:rsidRPr="00000000">
              <w:rPr>
                <w:rtl w:val="0"/>
              </w:rPr>
              <w:t xml:space="preserve">En el ámbito del desarrollo de software y construcción de código, los avances están totalmente operativos e integrados en el repositorio principal (</w:t>
            </w:r>
            <w:hyperlink r:id="rId9">
              <w:r w:rsidDel="00000000" w:rsidR="00000000" w:rsidRPr="00000000">
                <w:rPr>
                  <w:color w:val="1155cc"/>
                  <w:u w:val="single"/>
                  <w:rtl w:val="0"/>
                </w:rPr>
                <w:t xml:space="preserve">https://github.com/Ela04/LifeBetter_Project</w:t>
              </w:r>
            </w:hyperlink>
            <w:r w:rsidDel="00000000" w:rsidR="00000000" w:rsidRPr="00000000">
              <w:rPr>
                <w:rtl w:val="0"/>
              </w:rPr>
              <w:t xml:space="preserve">).</w:t>
              <w:br w:type="textWrapping"/>
              <w:br w:type="textWrapping"/>
              <w:t xml:space="preserve"> Se re-</w:t>
            </w:r>
            <w:r w:rsidDel="00000000" w:rsidR="00000000" w:rsidRPr="00000000">
              <w:rPr>
                <w:rtl w:val="0"/>
              </w:rPr>
              <w:t xml:space="preserve">arquitecturó</w:t>
            </w:r>
            <w:r w:rsidDel="00000000" w:rsidR="00000000" w:rsidRPr="00000000">
              <w:rPr>
                <w:rtl w:val="0"/>
              </w:rPr>
              <w:t xml:space="preserve"> el sistema bajo una estructura Mono Repo basada en Python 3.12, Django 5, Django REST Framework y PostgreSQL con Docker, implementando un modelo de usuarios personalizado (Custom User) con control de acceso basado en roles (RBAC).</w:t>
              <w:br w:type="textWrapping"/>
              <w:br w:type="textWrapping"/>
              <w:t xml:space="preserve">A nivel funcional, se programó el motor algorítmico de prorrateo de gastos comunes por alícuotas, la integración transaccional con la pasarela de pagos Transbank Webpay Plus SDK (incluyendo conciliación por Webhooks y procesamiento atómico), la suite de pruebas automatizadas con Pytest, el cliente móvil nativo en React Native/Expo equipado con lector de códigos QR (expo-camera) para accesos en conserjería, el prototipado del módulo AIoT de visión computacional para lectura de patentes vehiculares y el asistente de IA </w:t>
              <w:br w:type="textWrapping"/>
              <w:t xml:space="preserve">Generativa (RAG) para consultas sobre la Ley N° 21.442 de Copropiedad Inmobiliaria.</w:t>
            </w:r>
          </w:p>
        </w:tc>
      </w:tr>
      <w:tr>
        <w:trPr>
          <w:cantSplit w:val="0"/>
          <w:trHeight w:val="1247" w:hRule="atLeast"/>
          <w:tblHeader w:val="0"/>
        </w:trPr>
        <w:tc>
          <w:tcPr>
            <w:vAlign w:val="center"/>
          </w:tcPr>
          <w:p w:rsidR="00000000" w:rsidDel="00000000" w:rsidP="00000000" w:rsidRDefault="00000000" w:rsidRPr="00000000" w14:paraId="00000011">
            <w:pPr>
              <w:rPr>
                <w:b w:val="1"/>
                <w:bCs w:val="1"/>
                <w:color w:val="1f3864"/>
              </w:rPr>
            </w:pPr>
            <w:r w:rsidDel="00000000" w:rsidR="00000000" w:rsidRPr="00000000">
              <w:rPr>
                <w:b w:val="1"/>
                <w:bCs w:val="1"/>
                <w:color w:val="1f3864"/>
                <w:rtl w:val="0"/>
              </w:rPr>
              <w:t xml:space="preserve">Objetivos</w:t>
            </w:r>
          </w:p>
        </w:tc>
        <w:tc>
          <w:tcPr>
            <w:vAlign w:val="center"/>
          </w:tcPr>
          <w:p w:rsidR="00000000" w:rsidDel="00000000" w:rsidP="00000000" w:rsidRDefault="00000000" w:rsidRPr="00000000" w14:paraId="00000012">
            <w:pPr>
              <w:spacing w:after="0" w:line="240" w:lineRule="auto"/>
              <w:rPr/>
            </w:pPr>
            <w:r w:rsidDel="00000000" w:rsidR="00000000" w:rsidRPr="00000000">
              <w:rPr>
                <w:rtl w:val="0"/>
              </w:rPr>
              <w:t xml:space="preserve">Desarrollar e implementar la plataforma distribuida LifeBetter AIoT para automatizar, transparentar y optimizar la gestión financiera, administrativa y de seguridad en comunidades residenciales, erradicando los errores contables en Excel y la fricción operacional en portería bajo la Ley 21.442, mediante una arquitectura desacoplada basada en un backend Django REST Framework, base de datos PostgreSQL Multi-Tenant, aplicación móvil nativa con códigos QR dinámicos, hardware AIoT de visión computacional y un asistente normativo con IA Generativa (RAG).</w:t>
            </w:r>
          </w:p>
        </w:tc>
      </w:tr>
      <w:tr>
        <w:trPr>
          <w:cantSplit w:val="0"/>
          <w:trHeight w:val="939" w:hRule="atLeast"/>
          <w:tblHeader w:val="0"/>
        </w:trPr>
        <w:tc>
          <w:tcPr>
            <w:vAlign w:val="center"/>
          </w:tcPr>
          <w:p w:rsidR="00000000" w:rsidDel="00000000" w:rsidP="00000000" w:rsidRDefault="00000000" w:rsidRPr="00000000" w14:paraId="00000013">
            <w:pPr>
              <w:rPr>
                <w:b w:val="1"/>
                <w:bCs w:val="1"/>
                <w:color w:val="1f3864"/>
              </w:rPr>
            </w:pPr>
            <w:r w:rsidDel="00000000" w:rsidR="00000000" w:rsidRPr="00000000">
              <w:rPr>
                <w:b w:val="1"/>
                <w:bCs w:val="1"/>
                <w:color w:val="1f3864"/>
                <w:rtl w:val="0"/>
              </w:rPr>
              <w:t xml:space="preserve">Metodología</w:t>
            </w:r>
          </w:p>
        </w:tc>
        <w:tc>
          <w:tcPr>
            <w:vAlign w:val="center"/>
          </w:tcPr>
          <w:p w:rsidR="00000000" w:rsidDel="00000000" w:rsidP="00000000" w:rsidRDefault="00000000" w:rsidRPr="00000000" w14:paraId="00000014">
            <w:pPr>
              <w:spacing w:after="0" w:line="240" w:lineRule="auto"/>
              <w:rPr>
                <w:b w:val="1"/>
                <w:bCs w:val="1"/>
              </w:rPr>
            </w:pPr>
            <w:r w:rsidDel="00000000" w:rsidR="00000000" w:rsidRPr="00000000">
              <w:rPr>
                <w:b w:val="1"/>
                <w:bCs w:val="1"/>
                <w:rtl w:val="0"/>
              </w:rPr>
              <w:t xml:space="preserve">Incremental</w:t>
            </w:r>
          </w:p>
        </w:tc>
      </w:tr>
      <w:tr>
        <w:trPr>
          <w:cantSplit w:val="0"/>
          <w:trHeight w:val="2377" w:hRule="atLeast"/>
          <w:tblHeader w:val="0"/>
        </w:trPr>
        <w:tc>
          <w:tcPr>
            <w:vAlign w:val="center"/>
          </w:tcPr>
          <w:p w:rsidR="00000000" w:rsidDel="00000000" w:rsidP="00000000" w:rsidRDefault="00000000" w:rsidRPr="00000000" w14:paraId="00000015">
            <w:pPr>
              <w:rPr>
                <w:b w:val="1"/>
                <w:bCs w:val="1"/>
                <w:color w:val="1f3864"/>
              </w:rPr>
            </w:pPr>
            <w:r w:rsidDel="00000000" w:rsidR="00000000" w:rsidRPr="00000000">
              <w:rPr>
                <w:b w:val="1"/>
                <w:bCs w:val="1"/>
                <w:color w:val="1f3864"/>
                <w:rtl w:val="0"/>
              </w:rPr>
              <w:t xml:space="preserve">Evidencias de avance</w:t>
            </w:r>
          </w:p>
        </w:tc>
        <w:tc>
          <w:tcPr>
            <w:vAlign w:val="center"/>
          </w:tcPr>
          <w:p w:rsidR="00000000" w:rsidDel="00000000" w:rsidP="00000000" w:rsidRDefault="00000000" w:rsidRPr="00000000" w14:paraId="00000016">
            <w:pPr>
              <w:spacing w:after="0" w:line="240" w:lineRule="auto"/>
              <w:rPr>
                <w:b w:val="1"/>
                <w:bCs w:val="1"/>
              </w:rPr>
            </w:pPr>
            <w:r w:rsidDel="00000000" w:rsidR="00000000" w:rsidRPr="00000000">
              <w:rPr>
                <w:b w:val="1"/>
                <w:bCs w:val="1"/>
                <w:rtl w:val="0"/>
              </w:rPr>
              <w:t xml:space="preserve">Evidencia 1: Repositorio Oficial de Código Fuente y Arquitectura Monorepo (GitHub)</w:t>
            </w:r>
          </w:p>
          <w:p w:rsidR="00000000" w:rsidDel="00000000" w:rsidP="00000000" w:rsidRDefault="00000000" w:rsidRPr="00000000" w14:paraId="00000017">
            <w:pPr>
              <w:spacing w:after="0" w:line="240" w:lineRule="auto"/>
              <w:rPr/>
            </w:pPr>
            <w:r w:rsidDel="00000000" w:rsidR="00000000" w:rsidRPr="00000000">
              <w:rPr>
                <w:rtl w:val="0"/>
              </w:rPr>
            </w:r>
          </w:p>
          <w:p w:rsidR="00000000" w:rsidDel="00000000" w:rsidP="00000000" w:rsidRDefault="00000000" w:rsidRPr="00000000" w14:paraId="00000018">
            <w:pPr>
              <w:spacing w:after="0" w:line="240" w:lineRule="auto"/>
              <w:rPr/>
            </w:pPr>
            <w:r w:rsidDel="00000000" w:rsidR="00000000" w:rsidRPr="00000000">
              <w:rPr>
                <w:rtl w:val="0"/>
              </w:rPr>
              <w:t xml:space="preserve">Descripción: Repositorio centralizado </w:t>
            </w:r>
            <w:hyperlink r:id="rId10">
              <w:r w:rsidDel="00000000" w:rsidR="00000000" w:rsidRPr="00000000">
                <w:rPr>
                  <w:color w:val="1155cc"/>
                  <w:u w:val="single"/>
                  <w:rtl w:val="0"/>
                </w:rPr>
                <w:t xml:space="preserve">https://github.com/Ela04/LifeBetter_Project</w:t>
              </w:r>
            </w:hyperlink>
            <w:r w:rsidDel="00000000" w:rsidR="00000000" w:rsidRPr="00000000">
              <w:rPr>
                <w:rtl w:val="0"/>
              </w:rPr>
              <w:t xml:space="preserve">, </w:t>
            </w:r>
            <w:r w:rsidDel="00000000" w:rsidR="00000000" w:rsidRPr="00000000">
              <w:rPr>
                <w:rtl w:val="0"/>
              </w:rPr>
              <w:t xml:space="preserve">que contiene la estructura completa del sistema: backend modular en Python 3.12 y Django 5 con Django REST Framework (DRF), base de datos relacional PostgreSQL, configuración de infraestructura mediante Docker / Docker Compose y la aplicación móvil nativa en React Native/Expo.</w:t>
            </w:r>
          </w:p>
          <w:p w:rsidR="00000000" w:rsidDel="00000000" w:rsidP="00000000" w:rsidRDefault="00000000" w:rsidRPr="00000000" w14:paraId="00000019">
            <w:pPr>
              <w:spacing w:after="0" w:line="240" w:lineRule="auto"/>
              <w:rPr/>
            </w:pPr>
            <w:r w:rsidDel="00000000" w:rsidR="00000000" w:rsidRPr="00000000">
              <w:rPr>
                <w:rtl w:val="0"/>
              </w:rPr>
            </w:r>
          </w:p>
          <w:p w:rsidR="00000000" w:rsidDel="00000000" w:rsidP="00000000" w:rsidRDefault="00000000" w:rsidRPr="00000000" w14:paraId="0000001A">
            <w:pPr>
              <w:spacing w:after="0" w:line="240" w:lineRule="auto"/>
              <w:rPr/>
            </w:pPr>
            <w:r w:rsidDel="00000000" w:rsidR="00000000" w:rsidRPr="00000000">
              <w:rPr>
                <w:rtl w:val="0"/>
              </w:rPr>
              <w:t xml:space="preserve">Demuestra la construcción física y funcional de la solución. Evidencia el desacoplamiento entre servicios Web y Móviles, la exposición de la API RESTful y el avance directo en los módulos de autenticación RBAC, prorrateo financiero, integración con Transbank Webpay Plus y el módulo móvil de escaneo QR (expo-camera) para conserjería.</w:t>
            </w:r>
          </w:p>
          <w:p w:rsidR="00000000" w:rsidDel="00000000" w:rsidP="00000000" w:rsidRDefault="00000000" w:rsidRPr="00000000" w14:paraId="0000001B">
            <w:pPr>
              <w:spacing w:after="0" w:line="240" w:lineRule="auto"/>
              <w:rPr/>
            </w:pPr>
            <w:r w:rsidDel="00000000" w:rsidR="00000000" w:rsidRPr="00000000">
              <w:rPr>
                <w:rtl w:val="0"/>
              </w:rPr>
            </w:r>
          </w:p>
          <w:p w:rsidR="00000000" w:rsidDel="00000000" w:rsidP="00000000" w:rsidRDefault="00000000" w:rsidRPr="00000000" w14:paraId="0000001C">
            <w:pPr>
              <w:spacing w:after="0" w:line="240" w:lineRule="auto"/>
              <w:rPr>
                <w:b w:val="1"/>
                <w:bCs w:val="1"/>
              </w:rPr>
            </w:pPr>
            <w:r w:rsidDel="00000000" w:rsidR="00000000" w:rsidRPr="00000000">
              <w:rPr>
                <w:b w:val="1"/>
                <w:bCs w:val="1"/>
                <w:rtl w:val="0"/>
              </w:rPr>
              <w:t xml:space="preserve">Evidencia 2: Suite de Pruebas Automatizadas (Pytest) y Pipeline de CI/CD (GitHub Actions)</w:t>
            </w:r>
          </w:p>
          <w:p w:rsidR="00000000" w:rsidDel="00000000" w:rsidP="00000000" w:rsidRDefault="00000000" w:rsidRPr="00000000" w14:paraId="0000001D">
            <w:pPr>
              <w:spacing w:after="0" w:line="240" w:lineRule="auto"/>
              <w:rPr/>
            </w:pPr>
            <w:r w:rsidDel="00000000" w:rsidR="00000000" w:rsidRPr="00000000">
              <w:rPr>
                <w:rtl w:val="0"/>
              </w:rPr>
            </w:r>
          </w:p>
          <w:p w:rsidR="00000000" w:rsidDel="00000000" w:rsidP="00000000" w:rsidRDefault="00000000" w:rsidRPr="00000000" w14:paraId="0000001E">
            <w:pPr>
              <w:spacing w:after="0" w:line="240" w:lineRule="auto"/>
              <w:rPr/>
            </w:pPr>
            <w:r w:rsidDel="00000000" w:rsidR="00000000" w:rsidRPr="00000000">
              <w:rPr>
                <w:rtl w:val="0"/>
              </w:rPr>
              <w:t xml:space="preserve">Módulo de pruebas unitarias e integrales escritas en Pytest (pytest-django) junto al flujo de integración continua .github/workflows/django.yml que ejecuta automáticamente la batería de tests en cada push o pull request.</w:t>
            </w:r>
          </w:p>
          <w:p w:rsidR="00000000" w:rsidDel="00000000" w:rsidP="00000000" w:rsidRDefault="00000000" w:rsidRPr="00000000" w14:paraId="0000001F">
            <w:pPr>
              <w:spacing w:after="0" w:line="240" w:lineRule="auto"/>
              <w:rPr/>
            </w:pPr>
            <w:r w:rsidDel="00000000" w:rsidR="00000000" w:rsidRPr="00000000">
              <w:rPr>
                <w:rtl w:val="0"/>
              </w:rPr>
            </w:r>
          </w:p>
          <w:p w:rsidR="00000000" w:rsidDel="00000000" w:rsidP="00000000" w:rsidRDefault="00000000" w:rsidRPr="00000000" w14:paraId="00000020">
            <w:pPr>
              <w:spacing w:after="0" w:line="240" w:lineRule="auto"/>
              <w:rPr/>
            </w:pPr>
            <w:r w:rsidDel="00000000" w:rsidR="00000000" w:rsidRPr="00000000">
              <w:rPr>
                <w:rtl w:val="0"/>
              </w:rPr>
              <w:t xml:space="preserve">Comprueba la estabilidad de la lógica de negocio crítica: verificación del cálculo exacto de alícuotas en el motor de prorrateo de gastos comunes, validación de no traslape en la reserva de quinchos/espacios comunes y sanitización alfanumérica de órdenes de compra con la pasarela Transbank.</w:t>
            </w:r>
          </w:p>
          <w:p w:rsidR="00000000" w:rsidDel="00000000" w:rsidP="00000000" w:rsidRDefault="00000000" w:rsidRPr="00000000" w14:paraId="00000021">
            <w:pPr>
              <w:spacing w:after="0" w:line="240" w:lineRule="auto"/>
              <w:rPr/>
            </w:pPr>
            <w:r w:rsidDel="00000000" w:rsidR="00000000" w:rsidRPr="00000000">
              <w:rPr>
                <w:rtl w:val="0"/>
              </w:rPr>
            </w:r>
          </w:p>
          <w:p w:rsidR="00000000" w:rsidDel="00000000" w:rsidP="00000000" w:rsidRDefault="00000000" w:rsidRPr="00000000" w14:paraId="00000022">
            <w:pPr>
              <w:spacing w:after="0" w:line="240" w:lineRule="auto"/>
              <w:rPr>
                <w:b w:val="1"/>
                <w:bCs w:val="1"/>
              </w:rPr>
            </w:pPr>
            <w:r w:rsidDel="00000000" w:rsidR="00000000" w:rsidRPr="00000000">
              <w:rPr>
                <w:b w:val="1"/>
                <w:bCs w:val="1"/>
                <w:rtl w:val="0"/>
              </w:rPr>
              <w:t xml:space="preserve">Evidencia 3: Matriz de 50 Historias de Usuario en Formato BDD (Excel) y Documento IEEE830</w:t>
            </w:r>
          </w:p>
          <w:p w:rsidR="00000000" w:rsidDel="00000000" w:rsidP="00000000" w:rsidRDefault="00000000" w:rsidRPr="00000000" w14:paraId="00000023">
            <w:pPr>
              <w:spacing w:after="0" w:line="240" w:lineRule="auto"/>
              <w:rPr/>
            </w:pPr>
            <w:r w:rsidDel="00000000" w:rsidR="00000000" w:rsidRPr="00000000">
              <w:rPr>
                <w:rtl w:val="0"/>
              </w:rPr>
            </w:r>
          </w:p>
          <w:p w:rsidR="00000000" w:rsidDel="00000000" w:rsidP="00000000" w:rsidRDefault="00000000" w:rsidRPr="00000000" w14:paraId="00000024">
            <w:pPr>
              <w:spacing w:after="0" w:line="240" w:lineRule="auto"/>
              <w:rPr/>
            </w:pPr>
            <w:r w:rsidDel="00000000" w:rsidR="00000000" w:rsidRPr="00000000">
              <w:rPr>
                <w:rtl w:val="0"/>
              </w:rPr>
              <w:t xml:space="preserve">Matriz ágil detallada que especifica 50 Historias de Usuario en formato BDD (Dado que... Cuando... Entonces...) mapeando a todos los actores del ecosistema (Administrador, Residente, Conserje, Visita, Personal de Aseo/Mantenimiento, Comité y Soporte </w:t>
            </w:r>
            <w:r w:rsidDel="00000000" w:rsidR="00000000" w:rsidRPr="00000000">
              <w:rPr>
                <w:rtl w:val="0"/>
              </w:rPr>
              <w:t xml:space="preserve">DeptoGest</w:t>
            </w:r>
            <w:r w:rsidDel="00000000" w:rsidR="00000000" w:rsidRPr="00000000">
              <w:rPr>
                <w:rtl w:val="0"/>
              </w:rPr>
              <w:t xml:space="preserve">).</w:t>
            </w:r>
          </w:p>
          <w:p w:rsidR="00000000" w:rsidDel="00000000" w:rsidP="00000000" w:rsidRDefault="00000000" w:rsidRPr="00000000" w14:paraId="00000025">
            <w:pPr>
              <w:spacing w:after="0" w:line="240" w:lineRule="auto"/>
              <w:rPr/>
            </w:pPr>
            <w:r w:rsidDel="00000000" w:rsidR="00000000" w:rsidRPr="00000000">
              <w:rPr>
                <w:rtl w:val="0"/>
              </w:rPr>
            </w:r>
          </w:p>
          <w:p w:rsidR="00000000" w:rsidDel="00000000" w:rsidP="00000000" w:rsidRDefault="00000000" w:rsidRPr="00000000" w14:paraId="00000026">
            <w:pPr>
              <w:spacing w:after="0" w:line="240" w:lineRule="auto"/>
              <w:rPr/>
            </w:pPr>
            <w:r w:rsidDel="00000000" w:rsidR="00000000" w:rsidRPr="00000000">
              <w:rPr>
                <w:rtl w:val="0"/>
              </w:rPr>
              <w:t xml:space="preserve">Acredita la cobertura completa del alcance operacional y legal bajo la Ley N° 21.442 de Copropiedad Inmobiliaria en Chile, asegurando que cada funcionalidad programada responda a un requerimiento de negocio validado.</w:t>
            </w:r>
          </w:p>
          <w:p w:rsidR="00000000" w:rsidDel="00000000" w:rsidP="00000000" w:rsidRDefault="00000000" w:rsidRPr="00000000" w14:paraId="00000027">
            <w:pPr>
              <w:spacing w:after="0" w:line="240" w:lineRule="auto"/>
              <w:rPr/>
            </w:pPr>
            <w:r w:rsidDel="00000000" w:rsidR="00000000" w:rsidRPr="00000000">
              <w:rPr>
                <w:rtl w:val="0"/>
              </w:rPr>
            </w:r>
          </w:p>
          <w:p w:rsidR="00000000" w:rsidDel="00000000" w:rsidP="00000000" w:rsidRDefault="00000000" w:rsidRPr="00000000" w14:paraId="00000028">
            <w:pPr>
              <w:spacing w:after="0" w:line="240" w:lineRule="auto"/>
              <w:rPr>
                <w:b w:val="1"/>
                <w:bCs w:val="1"/>
              </w:rPr>
            </w:pPr>
            <w:r w:rsidDel="00000000" w:rsidR="00000000" w:rsidRPr="00000000">
              <w:rPr>
                <w:b w:val="1"/>
                <w:bCs w:val="1"/>
                <w:rtl w:val="0"/>
              </w:rPr>
              <w:t xml:space="preserve">Evidencia 4: Script DDL y Modelado de Base de Datos Relacional Multi-Tenant (PostgreSQL)</w:t>
            </w:r>
          </w:p>
          <w:p w:rsidR="00000000" w:rsidDel="00000000" w:rsidP="00000000" w:rsidRDefault="00000000" w:rsidRPr="00000000" w14:paraId="00000029">
            <w:pPr>
              <w:spacing w:after="0" w:line="240" w:lineRule="auto"/>
              <w:rPr>
                <w:b w:val="1"/>
                <w:bCs w:val="1"/>
              </w:rPr>
            </w:pPr>
            <w:r w:rsidDel="00000000" w:rsidR="00000000" w:rsidRPr="00000000">
              <w:rPr>
                <w:rtl w:val="0"/>
              </w:rPr>
            </w:r>
          </w:p>
          <w:p w:rsidR="00000000" w:rsidDel="00000000" w:rsidP="00000000" w:rsidRDefault="00000000" w:rsidRPr="00000000" w14:paraId="0000002A">
            <w:pPr>
              <w:spacing w:after="0" w:line="240" w:lineRule="auto"/>
              <w:rPr/>
            </w:pPr>
            <w:r w:rsidDel="00000000" w:rsidR="00000000" w:rsidRPr="00000000">
              <w:rPr>
                <w:rtl w:val="0"/>
              </w:rPr>
              <w:t xml:space="preserve">Modelo de datos relacional diseñado en Oracle Data Modeler e implementado mediante scripts DDL de PostgreSQL, incorporando el esquema de aislamiento por condominio mediante políticas de Row Level Security (RLS).</w:t>
            </w:r>
          </w:p>
          <w:p w:rsidR="00000000" w:rsidDel="00000000" w:rsidP="00000000" w:rsidRDefault="00000000" w:rsidRPr="00000000" w14:paraId="0000002B">
            <w:pPr>
              <w:spacing w:after="0" w:line="240" w:lineRule="auto"/>
              <w:rPr/>
            </w:pPr>
            <w:r w:rsidDel="00000000" w:rsidR="00000000" w:rsidRPr="00000000">
              <w:rPr>
                <w:rtl w:val="0"/>
              </w:rPr>
            </w:r>
          </w:p>
          <w:p w:rsidR="00000000" w:rsidDel="00000000" w:rsidP="00000000" w:rsidRDefault="00000000" w:rsidRPr="00000000" w14:paraId="0000002C">
            <w:pPr>
              <w:spacing w:after="0" w:line="240" w:lineRule="auto"/>
              <w:rPr/>
            </w:pPr>
            <w:r w:rsidDel="00000000" w:rsidR="00000000" w:rsidRPr="00000000">
              <w:rPr>
                <w:rtl w:val="0"/>
              </w:rPr>
              <w:t xml:space="preserve">Garantiza la integridad referencial, la escalabilidad del almacenamiento y la trazabilidad financiera inmutable necesaria para erradicar las ineficiencias y descalces de las planillas manuales en Excel.</w:t>
              <w:br w:type="textWrapping"/>
            </w:r>
          </w:p>
          <w:p w:rsidR="00000000" w:rsidDel="00000000" w:rsidP="00000000" w:rsidRDefault="00000000" w:rsidRPr="00000000" w14:paraId="0000002D">
            <w:pPr>
              <w:spacing w:after="0" w:line="240" w:lineRule="auto"/>
              <w:rPr/>
            </w:pPr>
            <w:r w:rsidDel="00000000" w:rsidR="00000000" w:rsidRPr="00000000">
              <w:rPr>
                <w:rtl w:val="0"/>
              </w:rPr>
              <w:t xml:space="preserve">El resguardo de la calidad técnica del proyecto LifeBetter AIoT se fundamenta en los siguientes estándares de la industria informática:</w:t>
            </w:r>
          </w:p>
          <w:p w:rsidR="00000000" w:rsidDel="00000000" w:rsidP="00000000" w:rsidRDefault="00000000" w:rsidRPr="00000000" w14:paraId="0000002E">
            <w:pPr>
              <w:spacing w:after="0" w:line="240" w:lineRule="auto"/>
              <w:rPr/>
            </w:pPr>
            <w:r w:rsidDel="00000000" w:rsidR="00000000" w:rsidRPr="00000000">
              <w:rPr>
                <w:rtl w:val="0"/>
              </w:rPr>
            </w:r>
          </w:p>
          <w:p w:rsidR="00000000" w:rsidDel="00000000" w:rsidP="00000000" w:rsidRDefault="00000000" w:rsidRPr="00000000" w14:paraId="0000002F">
            <w:pPr>
              <w:spacing w:after="0" w:line="240" w:lineRule="auto"/>
              <w:rPr/>
            </w:pPr>
            <w:r w:rsidDel="00000000" w:rsidR="00000000" w:rsidRPr="00000000">
              <w:rPr>
                <w:rtl w:val="0"/>
              </w:rPr>
              <w:t xml:space="preserve">Ciberseguridad y Protección de Datos (OWASP Top 10 &amp; Ley 21.442):</w:t>
            </w:r>
          </w:p>
          <w:p w:rsidR="00000000" w:rsidDel="00000000" w:rsidP="00000000" w:rsidRDefault="00000000" w:rsidRPr="00000000" w14:paraId="00000030">
            <w:pPr>
              <w:spacing w:after="0" w:line="240" w:lineRule="auto"/>
              <w:rPr/>
            </w:pPr>
            <w:r w:rsidDel="00000000" w:rsidR="00000000" w:rsidRPr="00000000">
              <w:rPr>
                <w:rtl w:val="0"/>
              </w:rPr>
            </w:r>
          </w:p>
          <w:p w:rsidR="00000000" w:rsidDel="00000000" w:rsidP="00000000" w:rsidRDefault="00000000" w:rsidRPr="00000000" w14:paraId="00000031">
            <w:pPr>
              <w:numPr>
                <w:ilvl w:val="0"/>
                <w:numId w:val="4"/>
              </w:numPr>
              <w:spacing w:after="0" w:line="240" w:lineRule="auto"/>
              <w:ind w:left="720" w:hanging="360"/>
              <w:rPr>
                <w:u w:val="none"/>
              </w:rPr>
            </w:pPr>
            <w:r w:rsidDel="00000000" w:rsidR="00000000" w:rsidRPr="00000000">
              <w:rPr>
                <w:rtl w:val="0"/>
              </w:rPr>
              <w:t xml:space="preserve">Manejo Seguro de Secretos: Separación estricta de variables de entorno sensibles (claves secretas de Django, tokens de API y credenciales de BD) en archivos .env ignorados por Git mediante .gitignore estricto (cumplimiento del principio Twelve-Factor App).</w:t>
            </w:r>
          </w:p>
          <w:p w:rsidR="00000000" w:rsidDel="00000000" w:rsidP="00000000" w:rsidRDefault="00000000" w:rsidRPr="00000000" w14:paraId="00000032">
            <w:pPr>
              <w:numPr>
                <w:ilvl w:val="0"/>
                <w:numId w:val="4"/>
              </w:numPr>
              <w:spacing w:after="0" w:line="240" w:lineRule="auto"/>
              <w:ind w:left="720" w:hanging="360"/>
              <w:rPr>
                <w:u w:val="none"/>
              </w:rPr>
            </w:pPr>
            <w:r w:rsidDel="00000000" w:rsidR="00000000" w:rsidRPr="00000000">
              <w:rPr>
                <w:rtl w:val="0"/>
              </w:rPr>
              <w:t xml:space="preserve">Aislamiento de Datos Multi-Tenant: Uso de Row Level Security (RLS) en PostgreSQL para asegurar que los registros de un condominio sean inaccesibles para usuarios de otro.</w:t>
            </w:r>
          </w:p>
          <w:p w:rsidR="00000000" w:rsidDel="00000000" w:rsidP="00000000" w:rsidRDefault="00000000" w:rsidRPr="00000000" w14:paraId="00000033">
            <w:pPr>
              <w:numPr>
                <w:ilvl w:val="0"/>
                <w:numId w:val="4"/>
              </w:numPr>
              <w:spacing w:after="0" w:line="240" w:lineRule="auto"/>
              <w:ind w:left="720" w:hanging="360"/>
              <w:rPr>
                <w:u w:val="none"/>
              </w:rPr>
            </w:pPr>
            <w:r w:rsidDel="00000000" w:rsidR="00000000" w:rsidRPr="00000000">
              <w:rPr>
                <w:rtl w:val="0"/>
              </w:rPr>
              <w:t xml:space="preserve">Autenticación y Autorización Robustas: Implementación de Custom User Model con Control de Acceso Basado en Roles (RBAC) y tokens JWT para el cliente móvil.</w:t>
            </w:r>
          </w:p>
          <w:p w:rsidR="00000000" w:rsidDel="00000000" w:rsidP="00000000" w:rsidRDefault="00000000" w:rsidRPr="00000000" w14:paraId="00000034">
            <w:pPr>
              <w:spacing w:after="0" w:line="240" w:lineRule="auto"/>
              <w:rPr/>
            </w:pPr>
            <w:r w:rsidDel="00000000" w:rsidR="00000000" w:rsidRPr="00000000">
              <w:rPr>
                <w:rtl w:val="0"/>
              </w:rPr>
            </w:r>
          </w:p>
          <w:p w:rsidR="00000000" w:rsidDel="00000000" w:rsidP="00000000" w:rsidRDefault="00000000" w:rsidRPr="00000000" w14:paraId="00000035">
            <w:pPr>
              <w:spacing w:after="0" w:line="240" w:lineRule="auto"/>
              <w:rPr/>
            </w:pPr>
            <w:r w:rsidDel="00000000" w:rsidR="00000000" w:rsidRPr="00000000">
              <w:rPr>
                <w:rtl w:val="0"/>
              </w:rPr>
              <w:t xml:space="preserve">Integridad Transaccional Financiera y Control Concurrente:</w:t>
            </w:r>
          </w:p>
          <w:p w:rsidR="00000000" w:rsidDel="00000000" w:rsidP="00000000" w:rsidRDefault="00000000" w:rsidRPr="00000000" w14:paraId="00000036">
            <w:pPr>
              <w:spacing w:after="0" w:line="240" w:lineRule="auto"/>
              <w:rPr/>
            </w:pPr>
            <w:r w:rsidDel="00000000" w:rsidR="00000000" w:rsidRPr="00000000">
              <w:rPr>
                <w:rtl w:val="0"/>
              </w:rPr>
            </w:r>
          </w:p>
          <w:p w:rsidR="00000000" w:rsidDel="00000000" w:rsidP="00000000" w:rsidRDefault="00000000" w:rsidRPr="00000000" w14:paraId="00000037">
            <w:pPr>
              <w:numPr>
                <w:ilvl w:val="0"/>
                <w:numId w:val="1"/>
              </w:numPr>
              <w:spacing w:after="0" w:line="240" w:lineRule="auto"/>
              <w:ind w:left="720" w:hanging="360"/>
              <w:rPr>
                <w:u w:val="none"/>
              </w:rPr>
            </w:pPr>
            <w:r w:rsidDel="00000000" w:rsidR="00000000" w:rsidRPr="00000000">
              <w:rPr>
                <w:rtl w:val="0"/>
              </w:rPr>
              <w:t xml:space="preserve">Transacciones Atómicas: Aplicación de decoradores @transaction.atomic en las operaciones de cobro y pago con Transbank Webpay Plus, garantizando que el estado de las boletas se actualice de forma "todo o nada", previniendo inconsistencias en caso de fallos de red.</w:t>
            </w:r>
          </w:p>
          <w:p w:rsidR="00000000" w:rsidDel="00000000" w:rsidP="00000000" w:rsidRDefault="00000000" w:rsidRPr="00000000" w14:paraId="00000038">
            <w:pPr>
              <w:numPr>
                <w:ilvl w:val="0"/>
                <w:numId w:val="1"/>
              </w:numPr>
              <w:spacing w:after="0" w:line="240" w:lineRule="auto"/>
              <w:ind w:left="720" w:hanging="360"/>
              <w:rPr>
                <w:u w:val="none"/>
              </w:rPr>
            </w:pPr>
            <w:r w:rsidDel="00000000" w:rsidR="00000000" w:rsidRPr="00000000">
              <w:rPr>
                <w:rtl w:val="0"/>
              </w:rPr>
              <w:t xml:space="preserve">Restricciones a Nivel de Base de Datos: Uso de Check Constraint y validaciones en el modelo ORM para evitar dobles reservas (race conditions) en el agendamiento de espacios comunes.</w:t>
            </w:r>
          </w:p>
          <w:p w:rsidR="00000000" w:rsidDel="00000000" w:rsidP="00000000" w:rsidRDefault="00000000" w:rsidRPr="00000000" w14:paraId="00000039">
            <w:pPr>
              <w:spacing w:after="0" w:line="240" w:lineRule="auto"/>
              <w:rPr/>
            </w:pPr>
            <w:r w:rsidDel="00000000" w:rsidR="00000000" w:rsidRPr="00000000">
              <w:rPr>
                <w:rtl w:val="0"/>
              </w:rPr>
            </w:r>
          </w:p>
          <w:p w:rsidR="00000000" w:rsidDel="00000000" w:rsidP="00000000" w:rsidRDefault="00000000" w:rsidRPr="00000000" w14:paraId="0000003A">
            <w:pPr>
              <w:spacing w:after="0" w:line="240" w:lineRule="auto"/>
              <w:rPr/>
            </w:pPr>
            <w:r w:rsidDel="00000000" w:rsidR="00000000" w:rsidRPr="00000000">
              <w:rPr>
                <w:rtl w:val="0"/>
              </w:rPr>
              <w:t xml:space="preserve">Calidad de Código y Mantenibilidad (Clean Code &amp; PEP 8):</w:t>
            </w:r>
          </w:p>
          <w:p w:rsidR="00000000" w:rsidDel="00000000" w:rsidP="00000000" w:rsidRDefault="00000000" w:rsidRPr="00000000" w14:paraId="0000003B">
            <w:pPr>
              <w:spacing w:after="0" w:line="240" w:lineRule="auto"/>
              <w:rPr/>
            </w:pPr>
            <w:r w:rsidDel="00000000" w:rsidR="00000000" w:rsidRPr="00000000">
              <w:rPr>
                <w:rtl w:val="0"/>
              </w:rPr>
            </w:r>
          </w:p>
          <w:p w:rsidR="00000000" w:rsidDel="00000000" w:rsidP="00000000" w:rsidRDefault="00000000" w:rsidRPr="00000000" w14:paraId="0000003C">
            <w:pPr>
              <w:numPr>
                <w:ilvl w:val="0"/>
                <w:numId w:val="3"/>
              </w:numPr>
              <w:spacing w:after="0" w:line="240" w:lineRule="auto"/>
              <w:ind w:left="720" w:hanging="360"/>
              <w:rPr>
                <w:u w:val="none"/>
              </w:rPr>
            </w:pPr>
            <w:r w:rsidDel="00000000" w:rsidR="00000000" w:rsidRPr="00000000">
              <w:rPr>
                <w:rtl w:val="0"/>
              </w:rPr>
              <w:t xml:space="preserve">Uso de arquitectura modular en Django (separación por apps de dominio: users, condo, expenses, payments, amenities).</w:t>
            </w:r>
          </w:p>
          <w:p w:rsidR="00000000" w:rsidDel="00000000" w:rsidP="00000000" w:rsidRDefault="00000000" w:rsidRPr="00000000" w14:paraId="0000003D">
            <w:pPr>
              <w:numPr>
                <w:ilvl w:val="0"/>
                <w:numId w:val="3"/>
              </w:numPr>
              <w:spacing w:after="0" w:line="240" w:lineRule="auto"/>
              <w:ind w:left="720" w:hanging="360"/>
              <w:rPr>
                <w:u w:val="none"/>
              </w:rPr>
            </w:pPr>
            <w:r w:rsidDel="00000000" w:rsidR="00000000" w:rsidRPr="00000000">
              <w:rPr>
                <w:rtl w:val="0"/>
              </w:rPr>
              <w:t xml:space="preserve">Optimizaciones en consultas del ORM (select_related y </w:t>
            </w:r>
            <w:r w:rsidDel="00000000" w:rsidR="00000000" w:rsidRPr="00000000">
              <w:rPr>
                <w:rtl w:val="0"/>
              </w:rPr>
              <w:t xml:space="preserve">prefetch related</w:t>
            </w:r>
            <w:r w:rsidDel="00000000" w:rsidR="00000000" w:rsidRPr="00000000">
              <w:rPr>
                <w:rtl w:val="0"/>
              </w:rPr>
              <w:t xml:space="preserve">) para prevenir cuellos de botella de rendimiento tipo N+1.</w:t>
            </w:r>
          </w:p>
          <w:p w:rsidR="00000000" w:rsidDel="00000000" w:rsidP="00000000" w:rsidRDefault="00000000" w:rsidRPr="00000000" w14:paraId="0000003E">
            <w:pPr>
              <w:spacing w:after="0" w:line="240" w:lineRule="auto"/>
              <w:rPr/>
            </w:pPr>
            <w:r w:rsidDel="00000000" w:rsidR="00000000" w:rsidRPr="00000000">
              <w:rPr>
                <w:rtl w:val="0"/>
              </w:rPr>
            </w:r>
          </w:p>
          <w:p w:rsidR="00000000" w:rsidDel="00000000" w:rsidP="00000000" w:rsidRDefault="00000000" w:rsidRPr="00000000" w14:paraId="0000003F">
            <w:pPr>
              <w:spacing w:after="0" w:line="240" w:lineRule="auto"/>
              <w:rPr/>
            </w:pPr>
            <w:r w:rsidDel="00000000" w:rsidR="00000000" w:rsidRPr="00000000">
              <w:rPr>
                <w:rtl w:val="0"/>
              </w:rPr>
              <w:t xml:space="preserve">Aseguramiento de Calidad Continuo (QA / CI-CD):</w:t>
            </w:r>
          </w:p>
          <w:p w:rsidR="00000000" w:rsidDel="00000000" w:rsidP="00000000" w:rsidRDefault="00000000" w:rsidRPr="00000000" w14:paraId="00000040">
            <w:pPr>
              <w:spacing w:after="0" w:line="240" w:lineRule="auto"/>
              <w:rPr/>
            </w:pPr>
            <w:r w:rsidDel="00000000" w:rsidR="00000000" w:rsidRPr="00000000">
              <w:rPr>
                <w:rtl w:val="0"/>
              </w:rPr>
            </w:r>
          </w:p>
          <w:p w:rsidR="00000000" w:rsidDel="00000000" w:rsidP="00000000" w:rsidRDefault="00000000" w:rsidRPr="00000000" w14:paraId="00000041">
            <w:pPr>
              <w:numPr>
                <w:ilvl w:val="0"/>
                <w:numId w:val="2"/>
              </w:numPr>
              <w:spacing w:after="0" w:line="240" w:lineRule="auto"/>
              <w:ind w:left="720" w:hanging="360"/>
              <w:rPr>
                <w:u w:val="none"/>
              </w:rPr>
            </w:pPr>
            <w:r w:rsidDel="00000000" w:rsidR="00000000" w:rsidRPr="00000000">
              <w:rPr>
                <w:rtl w:val="0"/>
              </w:rPr>
              <w:t xml:space="preserve">Ejecución de pruebas automatizadas con Pytest simulando integraciones externas mediante Mocks, permitiendo validar el sistema sin depender de servidores de terceros ni conexiones a Internet.</w:t>
            </w:r>
          </w:p>
          <w:p w:rsidR="00000000" w:rsidDel="00000000" w:rsidP="00000000" w:rsidRDefault="00000000" w:rsidRPr="00000000" w14:paraId="00000042">
            <w:pPr>
              <w:spacing w:after="0" w:line="240" w:lineRule="auto"/>
              <w:rPr/>
            </w:pPr>
            <w:r w:rsidDel="00000000" w:rsidR="00000000" w:rsidRPr="00000000">
              <w:rPr>
                <w:rtl w:val="0"/>
              </w:rPr>
            </w:r>
          </w:p>
          <w:p w:rsidR="00000000" w:rsidDel="00000000" w:rsidP="00000000" w:rsidRDefault="00000000" w:rsidRPr="00000000" w14:paraId="00000043">
            <w:pPr>
              <w:spacing w:after="0" w:line="240" w:lineRule="auto"/>
              <w:rPr/>
            </w:pPr>
            <w:r w:rsidDel="00000000" w:rsidR="00000000" w:rsidRPr="00000000">
              <w:rPr>
                <w:rtl w:val="0"/>
              </w:rPr>
              <w:t xml:space="preserve">Para efectos de revisión por parte del equipo docente, se adjuntan y citan las siguientes evidencias directas:</w:t>
            </w:r>
          </w:p>
          <w:p w:rsidR="00000000" w:rsidDel="00000000" w:rsidP="00000000" w:rsidRDefault="00000000" w:rsidRPr="00000000" w14:paraId="00000044">
            <w:pPr>
              <w:spacing w:after="0" w:line="240" w:lineRule="auto"/>
              <w:rPr/>
            </w:pPr>
            <w:r w:rsidDel="00000000" w:rsidR="00000000" w:rsidRPr="00000000">
              <w:rPr>
                <w:rtl w:val="0"/>
              </w:rPr>
            </w:r>
          </w:p>
          <w:p w:rsidR="00000000" w:rsidDel="00000000" w:rsidP="00000000" w:rsidRDefault="00000000" w:rsidRPr="00000000" w14:paraId="00000045">
            <w:pPr>
              <w:spacing w:after="0" w:line="240" w:lineRule="auto"/>
              <w:rPr/>
            </w:pPr>
            <w:r w:rsidDel="00000000" w:rsidR="00000000" w:rsidRPr="00000000">
              <w:rPr>
                <w:rtl w:val="0"/>
              </w:rPr>
              <w:t xml:space="preserve">Enlace al Repositorio de Código fuente Backend, Móvil, Dockerfile y CI/CD: </w:t>
            </w:r>
            <w:hyperlink r:id="rId11">
              <w:r w:rsidDel="00000000" w:rsidR="00000000" w:rsidRPr="00000000">
                <w:rPr>
                  <w:color w:val="1155cc"/>
                  <w:u w:val="single"/>
                  <w:rtl w:val="0"/>
                </w:rPr>
                <w:t xml:space="preserve">https://github.com/Ela04/LifeBetter_Project</w:t>
              </w:r>
            </w:hyperlink>
            <w:r w:rsidDel="00000000" w:rsidR="00000000" w:rsidRPr="00000000">
              <w:rPr>
                <w:rtl w:val="0"/>
              </w:rPr>
              <w:br w:type="textWrapping"/>
            </w:r>
          </w:p>
          <w:p w:rsidR="00000000" w:rsidDel="00000000" w:rsidP="00000000" w:rsidRDefault="00000000" w:rsidRPr="00000000" w14:paraId="00000046">
            <w:pPr>
              <w:spacing w:after="0" w:line="240" w:lineRule="auto"/>
              <w:rPr/>
            </w:pPr>
            <w:r w:rsidDel="00000000" w:rsidR="00000000" w:rsidRPr="00000000">
              <w:rPr>
                <w:rtl w:val="0"/>
              </w:rPr>
              <w:t xml:space="preserve">Enlace al Repositorio de Documentación (Historias de Usuario, Diagramas IEEE830 y Matriz BDD): </w:t>
            </w:r>
            <w:hyperlink r:id="rId12">
              <w:r w:rsidDel="00000000" w:rsidR="00000000" w:rsidRPr="00000000">
                <w:rPr>
                  <w:color w:val="1155cc"/>
                  <w:u w:val="single"/>
                  <w:rtl w:val="0"/>
                </w:rPr>
                <w:t xml:space="preserve">https://github.com/Ela04/Capstone</w:t>
              </w:r>
            </w:hyperlink>
            <w:r w:rsidDel="00000000" w:rsidR="00000000" w:rsidRPr="00000000">
              <w:rPr>
                <w:rtl w:val="0"/>
              </w:rPr>
            </w:r>
          </w:p>
        </w:tc>
      </w:tr>
    </w:tbl>
    <w:p w:rsidR="00000000" w:rsidDel="00000000" w:rsidP="00000000" w:rsidRDefault="00000000" w:rsidRPr="00000000" w14:paraId="00000047">
      <w:pPr>
        <w:rPr>
          <w:color w:val="595959"/>
          <w:sz w:val="24"/>
          <w:szCs w:val="24"/>
        </w:rPr>
      </w:pPr>
      <w:r w:rsidDel="00000000" w:rsidR="00000000" w:rsidRPr="00000000">
        <w:rPr>
          <w:rtl w:val="0"/>
        </w:rPr>
      </w:r>
    </w:p>
    <w:sdt>
      <w:sdtPr>
        <w:lock w:val="contentLocked"/>
        <w:id w:val="997321252"/>
        <w:tag w:val="goog_rdk_0"/>
      </w:sdtPr>
      <w:sdtContent>
        <w:tbl>
          <w:tblPr>
            <w:tblStyle w:val="Table3"/>
            <w:tblW w:w="937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375"/>
            <w:tblGridChange w:id="0">
              <w:tblGrid>
                <w:gridCol w:w="9375"/>
              </w:tblGrid>
            </w:tblGridChange>
          </w:tblGrid>
          <w:tr>
            <w:trPr>
              <w:cantSplit w:val="0"/>
              <w:trHeight w:val="440" w:hRule="atLeast"/>
              <w:tblHeader w:val="0"/>
            </w:trPr>
            <w:tc>
              <w:tcPr>
                <w:vAlign w:val="center"/>
              </w:tcPr>
              <w:p w:rsidR="00000000" w:rsidDel="00000000" w:rsidP="00000000" w:rsidRDefault="00000000" w:rsidRPr="00000000" w14:paraId="00000048">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49">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Examina cuidadosamente tu plan de trabajo, enfocándose especialmente en la columna de estado de avance y ajustes</w:t>
                </w:r>
              </w:p>
            </w:tc>
          </w:tr>
        </w:tbl>
      </w:sdtContent>
    </w:sdt>
    <w:p w:rsidR="00000000" w:rsidDel="00000000" w:rsidP="00000000" w:rsidRDefault="00000000" w:rsidRPr="00000000" w14:paraId="0000004A">
      <w:pPr>
        <w:rPr>
          <w:color w:val="595959"/>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-352424</wp:posOffset>
            </wp:positionH>
            <wp:positionV relativeFrom="paragraph">
              <wp:posOffset>257175</wp:posOffset>
            </wp:positionV>
            <wp:extent cx="5942175" cy="2045499"/>
            <wp:effectExtent b="0" l="0" r="0" t="0"/>
            <wp:wrapTopAndBottom distB="114300" distT="114300"/>
            <wp:docPr id="2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2175" cy="2045499"/>
                    </a:xfrm>
                    <a:prstGeom prst="rect"/>
                    <a:ln/>
                  </pic:spPr>
                </pic:pic>
              </a:graphicData>
            </a:graphic>
          </wp:anchor>
        </w:drawing>
      </w:r>
    </w:p>
    <w:p w:rsidR="00000000" w:rsidDel="00000000" w:rsidP="00000000" w:rsidRDefault="00000000" w:rsidRPr="00000000" w14:paraId="0000004B">
      <w:pPr>
        <w:spacing w:after="0" w:line="300" w:lineRule="auto"/>
        <w:ind w:left="-425.19685039370086" w:firstLine="0"/>
        <w:jc w:val="center"/>
        <w:rPr>
          <w:color w:val="548dd4"/>
        </w:rPr>
      </w:pPr>
      <w:r w:rsidDel="00000000" w:rsidR="00000000" w:rsidRPr="00000000">
        <w:rPr>
          <w:color w:val="548dd4"/>
          <w:rtl w:val="0"/>
        </w:rPr>
        <w:t xml:space="preserve">Figura 1: Plan de Trabajo - LifeBetter Fase 2( Google Sheets)</w:t>
      </w:r>
    </w:p>
    <w:p w:rsidR="00000000" w:rsidDel="00000000" w:rsidP="00000000" w:rsidRDefault="00000000" w:rsidRPr="00000000" w14:paraId="0000004C">
      <w:pPr>
        <w:spacing w:after="0" w:line="300" w:lineRule="auto"/>
        <w:jc w:val="center"/>
        <w:rPr>
          <w:color w:val="595959"/>
          <w:sz w:val="24"/>
          <w:szCs w:val="24"/>
        </w:rPr>
      </w:pPr>
      <w:r w:rsidDel="00000000" w:rsidR="00000000" w:rsidRPr="00000000">
        <w:rPr>
          <w:color w:val="548dd4"/>
          <w:rtl w:val="0"/>
        </w:rPr>
        <w:t xml:space="preserve">Nota: Planilla oficial interactiva disponible en repositorio Github bajo el título: Plan de Trabajo - LifeBetter Fase 2.</w:t>
      </w:r>
      <w:r w:rsidDel="00000000" w:rsidR="00000000" w:rsidRPr="00000000">
        <w:rPr>
          <w:rtl w:val="0"/>
        </w:rPr>
      </w:r>
    </w:p>
    <w:p w:rsidR="00000000" w:rsidDel="00000000" w:rsidP="00000000" w:rsidRDefault="00000000" w:rsidRPr="00000000" w14:paraId="0000004D">
      <w:pPr>
        <w:rPr>
          <w:color w:val="595959"/>
          <w:sz w:val="24"/>
          <w:szCs w:val="24"/>
        </w:rPr>
      </w:pPr>
      <w:r w:rsidDel="00000000" w:rsidR="00000000" w:rsidRPr="00000000">
        <w:rPr>
          <w:rtl w:val="0"/>
        </w:rPr>
      </w:r>
    </w:p>
    <w:p w:rsidR="00000000" w:rsidDel="00000000" w:rsidP="00000000" w:rsidRDefault="00000000" w:rsidRPr="00000000" w14:paraId="0000004E">
      <w:pPr>
        <w:rPr>
          <w:color w:val="595959"/>
          <w:sz w:val="24"/>
          <w:szCs w:val="24"/>
        </w:rPr>
      </w:pPr>
      <w:r w:rsidDel="00000000" w:rsidR="00000000" w:rsidRPr="00000000">
        <w:rPr>
          <w:rtl w:val="0"/>
        </w:rPr>
      </w:r>
    </w:p>
    <w:p w:rsidR="00000000" w:rsidDel="00000000" w:rsidP="00000000" w:rsidRDefault="00000000" w:rsidRPr="00000000" w14:paraId="0000004F">
      <w:pPr>
        <w:rPr>
          <w:color w:val="595959"/>
          <w:sz w:val="24"/>
          <w:szCs w:val="24"/>
        </w:rPr>
      </w:pPr>
      <w:r w:rsidDel="00000000" w:rsidR="00000000" w:rsidRPr="00000000">
        <w:rPr>
          <w:rtl w:val="0"/>
        </w:rPr>
      </w:r>
    </w:p>
    <w:p w:rsidR="00000000" w:rsidDel="00000000" w:rsidP="00000000" w:rsidRDefault="00000000" w:rsidRPr="00000000" w14:paraId="00000050">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1">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abordarás</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los obstáculos. Por último, señala los ajustes que realizaste al plan de trabajo a partir de este análisis.</w:t>
            </w:r>
          </w:p>
        </w:tc>
      </w:tr>
    </w:tbl>
    <w:p w:rsidR="00000000" w:rsidDel="00000000" w:rsidP="00000000" w:rsidRDefault="00000000" w:rsidRPr="00000000" w14:paraId="00000053">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54">
            <w:pPr>
              <w:spacing w:after="0" w:line="240" w:lineRule="auto"/>
              <w:rPr>
                <w:b w:val="1"/>
                <w:bCs w:val="1"/>
              </w:rPr>
            </w:pPr>
            <w:r w:rsidDel="00000000" w:rsidR="00000000" w:rsidRPr="00000000">
              <w:rPr>
                <w:rtl w:val="0"/>
              </w:rPr>
              <w:t xml:space="preserve">Factores que han facilitado y/o dificultado el desarrollo de mi plan de trabajo: </w:t>
              <w:br w:type="textWrapping"/>
              <w:br w:type="textWrapping"/>
            </w:r>
            <w:r w:rsidDel="00000000" w:rsidR="00000000" w:rsidRPr="00000000">
              <w:rPr>
                <w:b w:val="1"/>
                <w:bCs w:val="1"/>
                <w:rtl w:val="0"/>
              </w:rPr>
              <w:t xml:space="preserve">Factores Facilitadores</w:t>
            </w:r>
          </w:p>
          <w:p w:rsidR="00000000" w:rsidDel="00000000" w:rsidP="00000000" w:rsidRDefault="00000000" w:rsidRPr="00000000" w14:paraId="00000055">
            <w:pPr>
              <w:spacing w:after="0" w:line="240" w:lineRule="auto"/>
              <w:rPr/>
            </w:pPr>
            <w:r w:rsidDel="00000000" w:rsidR="00000000" w:rsidRPr="00000000">
              <w:rPr>
                <w:rtl w:val="0"/>
              </w:rPr>
              <w:t xml:space="preserve">La división clara de responsabilidades en el equipo (un integrante enfocado en el desarrollo Full-Stack, DevOps e infraestructura, y el otro en arquitectura de software, aseguramiento de calidad con Pytest y documentación formal de ingeniería) permitió paralelizar el trabajo sin duplicidad de esfuerzos ni cuellos de botella operativos.</w:t>
            </w:r>
          </w:p>
          <w:p w:rsidR="00000000" w:rsidDel="00000000" w:rsidP="00000000" w:rsidRDefault="00000000" w:rsidRPr="00000000" w14:paraId="00000056">
            <w:pPr>
              <w:spacing w:after="0" w:line="240" w:lineRule="auto"/>
              <w:rPr/>
            </w:pPr>
            <w:r w:rsidDel="00000000" w:rsidR="00000000" w:rsidRPr="00000000">
              <w:rPr>
                <w:rtl w:val="0"/>
              </w:rPr>
              <w:br w:type="textWrapping"/>
              <w:t xml:space="preserve"> El uso de Python 3.12, Django 5, Django REST Framework y PostgreSQL con aislamiento Row Level Security (RLS) proporcionó una base sólida y estandarizada que aceleró la construcción del núcleo transaccional SaaS.</w:t>
            </w:r>
          </w:p>
          <w:p w:rsidR="00000000" w:rsidDel="00000000" w:rsidP="00000000" w:rsidRDefault="00000000" w:rsidRPr="00000000" w14:paraId="00000057">
            <w:pPr>
              <w:spacing w:after="0" w:line="240" w:lineRule="auto"/>
              <w:rPr/>
            </w:pPr>
            <w:r w:rsidDel="00000000" w:rsidR="00000000" w:rsidRPr="00000000">
              <w:rPr>
                <w:rtl w:val="0"/>
              </w:rPr>
            </w:r>
          </w:p>
          <w:p w:rsidR="00000000" w:rsidDel="00000000" w:rsidP="00000000" w:rsidRDefault="00000000" w:rsidRPr="00000000" w14:paraId="00000058">
            <w:pPr>
              <w:spacing w:after="0" w:line="240" w:lineRule="auto"/>
              <w:rPr/>
            </w:pPr>
            <w:r w:rsidDel="00000000" w:rsidR="00000000" w:rsidRPr="00000000">
              <w:rPr>
                <w:rtl w:val="0"/>
              </w:rPr>
              <w:t xml:space="preserve">La disponibilidad de credenciales públicas de integración en el entorno de pruebas de Transbank Webpay Plus permite programar y certificar las transacciones financieras sin depender de contratos comerciales previos.</w:t>
            </w:r>
          </w:p>
          <w:p w:rsidR="00000000" w:rsidDel="00000000" w:rsidP="00000000" w:rsidRDefault="00000000" w:rsidRPr="00000000" w14:paraId="00000059">
            <w:pPr>
              <w:spacing w:after="0" w:line="240" w:lineRule="auto"/>
              <w:rPr/>
            </w:pPr>
            <w:r w:rsidDel="00000000" w:rsidR="00000000" w:rsidRPr="00000000">
              <w:rPr>
                <w:rtl w:val="0"/>
              </w:rPr>
            </w:r>
          </w:p>
          <w:p w:rsidR="00000000" w:rsidDel="00000000" w:rsidP="00000000" w:rsidRDefault="00000000" w:rsidRPr="00000000" w14:paraId="0000005A">
            <w:pPr>
              <w:spacing w:after="0" w:line="240" w:lineRule="auto"/>
              <w:rPr/>
            </w:pPr>
            <w:r w:rsidDel="00000000" w:rsidR="00000000" w:rsidRPr="00000000">
              <w:rPr>
                <w:rtl w:val="0"/>
              </w:rPr>
              <w:t xml:space="preserve">Centralizar el backend y la aplicación móvil en un único repositorio gestionado mediante pipelines de GitHub Actions aseguró la ejecución automática de pruebas unitarias ante cada modificación de código.</w:t>
            </w:r>
          </w:p>
          <w:p w:rsidR="00000000" w:rsidDel="00000000" w:rsidP="00000000" w:rsidRDefault="00000000" w:rsidRPr="00000000" w14:paraId="0000005B">
            <w:pPr>
              <w:spacing w:after="0" w:line="240" w:lineRule="auto"/>
              <w:rPr/>
            </w:pPr>
            <w:r w:rsidDel="00000000" w:rsidR="00000000" w:rsidRPr="00000000">
              <w:rPr>
                <w:rtl w:val="0"/>
              </w:rPr>
            </w:r>
          </w:p>
          <w:p w:rsidR="00000000" w:rsidDel="00000000" w:rsidP="00000000" w:rsidRDefault="00000000" w:rsidRPr="00000000" w14:paraId="0000005C">
            <w:pPr>
              <w:spacing w:after="0" w:line="240" w:lineRule="auto"/>
              <w:rPr>
                <w:b w:val="1"/>
                <w:bCs w:val="1"/>
              </w:rPr>
            </w:pPr>
            <w:r w:rsidDel="00000000" w:rsidR="00000000" w:rsidRPr="00000000">
              <w:rPr>
                <w:b w:val="1"/>
                <w:bCs w:val="1"/>
                <w:rtl w:val="0"/>
              </w:rPr>
              <w:t xml:space="preserve">Factores Dificultadores y Acciones Tomadas</w:t>
            </w:r>
          </w:p>
          <w:p w:rsidR="00000000" w:rsidDel="00000000" w:rsidP="00000000" w:rsidRDefault="00000000" w:rsidRPr="00000000" w14:paraId="0000005D">
            <w:pPr>
              <w:spacing w:after="0" w:line="240" w:lineRule="auto"/>
              <w:rPr/>
            </w:pPr>
            <w:r w:rsidDel="00000000" w:rsidR="00000000" w:rsidRPr="00000000">
              <w:rPr>
                <w:rtl w:val="0"/>
              </w:rPr>
              <w:t xml:space="preserve">Conflictos por Repositorios Git Anidados en el Cliente Móvil, al inicializar el proyecto móvil con Expo, se generó automáticamente un submundo de control de versiones (.git interno) que bloqueó el seguimiento de archivos en el repositorio principal del proyecto.La acción tomada fue que se ejecutó la desindexación de la caché mediante git rm --cached, se eliminó el repositorio secundario y se unificó todo el código bajo una arquitectura limpia tipo </w:t>
            </w:r>
            <w:r w:rsidDel="00000000" w:rsidR="00000000" w:rsidRPr="00000000">
              <w:rPr>
                <w:rtl w:val="0"/>
              </w:rPr>
              <w:t xml:space="preserve">Monorepo</w:t>
            </w:r>
            <w:r w:rsidDel="00000000" w:rsidR="00000000" w:rsidRPr="00000000">
              <w:rPr>
                <w:rtl w:val="0"/>
              </w:rPr>
              <w:t xml:space="preserve">.</w:t>
            </w:r>
          </w:p>
          <w:p w:rsidR="00000000" w:rsidDel="00000000" w:rsidP="00000000" w:rsidRDefault="00000000" w:rsidRPr="00000000" w14:paraId="0000005E">
            <w:pPr>
              <w:spacing w:after="0" w:line="240" w:lineRule="auto"/>
              <w:rPr/>
            </w:pPr>
            <w:r w:rsidDel="00000000" w:rsidR="00000000" w:rsidRPr="00000000">
              <w:rPr>
                <w:rtl w:val="0"/>
              </w:rPr>
            </w:r>
          </w:p>
          <w:p w:rsidR="00000000" w:rsidDel="00000000" w:rsidP="00000000" w:rsidRDefault="00000000" w:rsidRPr="00000000" w14:paraId="0000005F">
            <w:pPr>
              <w:spacing w:after="0" w:line="240" w:lineRule="auto"/>
              <w:rPr/>
            </w:pPr>
            <w:r w:rsidDel="00000000" w:rsidR="00000000" w:rsidRPr="00000000">
              <w:rPr>
                <w:rtl w:val="0"/>
              </w:rPr>
              <w:t xml:space="preserve">Dependiendo del hardware físico en módulos AIoT, la dificultad fue la limitación temporal para realizar pruebas continuas de visión computacional y lectura de patentes vehiculares operando directamente con cámaras físicas en terreno. La acción tomada fue que se alimentó el pipeline de procesamiento de imagen con streams de video pregrabados y datasets locales, permitiendo calibrar los algoritmos de reconocimiento óptico de manera aislada antes de las pruebas de integración presenciales.</w:t>
            </w:r>
          </w:p>
          <w:p w:rsidR="00000000" w:rsidDel="00000000" w:rsidP="00000000" w:rsidRDefault="00000000" w:rsidRPr="00000000" w14:paraId="00000060">
            <w:pPr>
              <w:spacing w:after="0" w:line="240" w:lineRule="auto"/>
              <w:rPr/>
            </w:pPr>
            <w:r w:rsidDel="00000000" w:rsidR="00000000" w:rsidRPr="00000000">
              <w:rPr>
                <w:rtl w:val="0"/>
              </w:rPr>
            </w:r>
          </w:p>
          <w:p w:rsidR="00000000" w:rsidDel="00000000" w:rsidP="00000000" w:rsidRDefault="00000000" w:rsidRPr="00000000" w14:paraId="00000061">
            <w:pPr>
              <w:spacing w:after="0" w:line="240" w:lineRule="auto"/>
              <w:rPr>
                <w:rFonts w:ascii="Calibri" w:cs="Calibri" w:eastAsia="Calibri" w:hAnsi="Calibri"/>
                <w:i w:val="1"/>
                <w:iCs w:val="1"/>
                <w:color w:val="548dd4"/>
                <w:sz w:val="20"/>
                <w:szCs w:val="20"/>
              </w:rPr>
            </w:pPr>
            <w:r w:rsidDel="00000000" w:rsidR="00000000" w:rsidRPr="00000000">
              <w:rPr>
                <w:rtl w:val="0"/>
              </w:rPr>
              <w:t xml:space="preserve">Riesgo de Condiciones de Concurrencia (Race Conditions), aquí la dificultad fue la posibilidad de solapamiento en reservas simultáneas de espacios comunes o desincronización en el estado de pagos ante fallos de red. La acción tomada fue que se incorporaron decoradores de transacciones atómicas (@transaction.atomic) en Django junto con restricciones a nivel de base de datos (</w:t>
            </w:r>
            <w:r w:rsidDel="00000000" w:rsidR="00000000" w:rsidRPr="00000000">
              <w:rPr>
                <w:rtl w:val="0"/>
              </w:rPr>
              <w:t xml:space="preserve">CheckConstraint</w:t>
            </w:r>
            <w:r w:rsidDel="00000000" w:rsidR="00000000" w:rsidRPr="00000000">
              <w:rPr>
                <w:rtl w:val="0"/>
              </w:rPr>
              <w:t xml:space="preserve">), garantizando que la persistencia sea totalmente consistente ("todo o nada").</w:t>
            </w:r>
            <w:r w:rsidDel="00000000" w:rsidR="00000000" w:rsidRPr="00000000">
              <w:rPr>
                <w:rtl w:val="0"/>
              </w:rPr>
            </w:r>
          </w:p>
        </w:tc>
      </w:tr>
    </w:tbl>
    <w:p w:rsidR="00000000" w:rsidDel="00000000" w:rsidP="00000000" w:rsidRDefault="00000000" w:rsidRPr="00000000" w14:paraId="00000062">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63">
            <w:pPr>
              <w:jc w:val="both"/>
              <w:rPr/>
            </w:pPr>
            <w:r w:rsidDel="00000000" w:rsidR="00000000" w:rsidRPr="00000000">
              <w:rPr>
                <w:b w:val="1"/>
                <w:bCs w:val="1"/>
                <w:rtl w:val="0"/>
              </w:rPr>
              <w:t xml:space="preserve">Actividades ajustadas o eliminadas:</w:t>
            </w:r>
            <w:r w:rsidDel="00000000" w:rsidR="00000000" w:rsidRPr="00000000">
              <w:rPr>
                <w:rtl w:val="0"/>
              </w:rPr>
              <w:br w:type="textWrapping"/>
              <w:t xml:space="preserve">Ampliación del Alcance en la Aplicación Móvil (Módulo Conserjería):</w:t>
            </w:r>
          </w:p>
          <w:p w:rsidR="00000000" w:rsidDel="00000000" w:rsidP="00000000" w:rsidRDefault="00000000" w:rsidRPr="00000000" w14:paraId="00000064">
            <w:pPr>
              <w:jc w:val="both"/>
              <w:rPr/>
            </w:pPr>
            <w:r w:rsidDel="00000000" w:rsidR="00000000" w:rsidRPr="00000000">
              <w:rPr>
                <w:rtl w:val="0"/>
              </w:rPr>
              <w:t xml:space="preserve">Ajustada ya que originalmente concebida sólo para la autogestión del residente, la planificación se ajustó para incorporar un módulo dedicado a la consejería, permitiendo el escaneo en tiempo real de pases QR temporales, recepción fotográfica de encomiendas y bitácora de novedades. Al realizar este cambio eleva sustancialmente la propuesta de valor del sistema, resolviendo la fricción operativa directamente en portería y automatizando el registro inmutable de accesos.</w:t>
            </w:r>
          </w:p>
          <w:p w:rsidR="00000000" w:rsidDel="00000000" w:rsidP="00000000" w:rsidRDefault="00000000" w:rsidRPr="00000000" w14:paraId="00000065">
            <w:pPr>
              <w:jc w:val="both"/>
              <w:rPr/>
            </w:pPr>
            <w:r w:rsidDel="00000000" w:rsidR="00000000" w:rsidRPr="00000000">
              <w:rPr>
                <w:rtl w:val="0"/>
              </w:rPr>
              <w:t xml:space="preserve">Incorporación de Inteligencia Artificial Generativa (RAG) y Bot de Asistencia:</w:t>
            </w:r>
          </w:p>
          <w:p w:rsidR="00000000" w:rsidDel="00000000" w:rsidP="00000000" w:rsidRDefault="00000000" w:rsidRPr="00000000" w14:paraId="00000066">
            <w:pPr>
              <w:jc w:val="both"/>
              <w:rPr>
                <w:rFonts w:ascii="Calibri" w:cs="Calibri" w:eastAsia="Calibri" w:hAnsi="Calibri"/>
                <w:i w:val="1"/>
                <w:iCs w:val="1"/>
                <w:sz w:val="20"/>
                <w:szCs w:val="20"/>
              </w:rPr>
            </w:pPr>
            <w:r w:rsidDel="00000000" w:rsidR="00000000" w:rsidRPr="00000000">
              <w:rPr>
                <w:rtl w:val="0"/>
              </w:rPr>
              <w:t xml:space="preserve">Ajustada ya que integró formalmente el desarrollo de un asistente conversacional basado en RAG (Retrieval-Augmented Generation) acoplado a una base vectorial para interpretar la Ley N° 21.442 de Copropiedad Inmobiliaria y el reglamento interno del condominio. Esto responde a la necesidad de otorgar respuestas normativas precisas e instantáneas a los copropietarios, diferenciando el software de soluciones CRUD tradicionales.</w:t>
            </w:r>
            <w:r w:rsidDel="00000000" w:rsidR="00000000" w:rsidRPr="00000000">
              <w:rPr>
                <w:rtl w:val="0"/>
              </w:rPr>
            </w:r>
          </w:p>
        </w:tc>
      </w:tr>
    </w:tbl>
    <w:p w:rsidR="00000000" w:rsidDel="00000000" w:rsidP="00000000" w:rsidRDefault="00000000" w:rsidRPr="00000000" w14:paraId="00000067">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8">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69">
            <w:pPr>
              <w:spacing w:after="0" w:line="240" w:lineRule="auto"/>
              <w:rPr>
                <w:b w:val="1"/>
                <w:bCs w:val="1"/>
              </w:rPr>
            </w:pPr>
            <w:r w:rsidDel="00000000" w:rsidR="00000000" w:rsidRPr="00000000">
              <w:rPr>
                <w:b w:val="1"/>
                <w:bCs w:val="1"/>
                <w:rtl w:val="0"/>
              </w:rPr>
              <w:t xml:space="preserve">Actividades que no has iniciado o están retrasadas: </w:t>
            </w:r>
          </w:p>
          <w:p w:rsidR="00000000" w:rsidDel="00000000" w:rsidP="00000000" w:rsidRDefault="00000000" w:rsidRPr="00000000" w14:paraId="0000006A">
            <w:pPr>
              <w:spacing w:after="0" w:line="240" w:lineRule="auto"/>
              <w:rPr/>
            </w:pPr>
            <w:r w:rsidDel="00000000" w:rsidR="00000000" w:rsidRPr="00000000">
              <w:rPr>
                <w:rtl w:val="0"/>
              </w:rPr>
              <w:t xml:space="preserve">Despliegue Final a Producción en la Nube (AWS / Azure) y Redacción de Manuales de Usuario Finales:</w:t>
            </w:r>
          </w:p>
          <w:p w:rsidR="00000000" w:rsidDel="00000000" w:rsidP="00000000" w:rsidRDefault="00000000" w:rsidRPr="00000000" w14:paraId="0000006B">
            <w:pPr>
              <w:spacing w:after="0" w:line="240" w:lineRule="auto"/>
              <w:rPr/>
            </w:pPr>
            <w:r w:rsidDel="00000000" w:rsidR="00000000" w:rsidRPr="00000000">
              <w:rPr>
                <w:rtl w:val="0"/>
              </w:rPr>
              <w:t xml:space="preserve">Estado: No iniciadas formalmente.</w:t>
              <w:br w:type="textWrapping"/>
            </w:r>
          </w:p>
          <w:p w:rsidR="00000000" w:rsidDel="00000000" w:rsidP="00000000" w:rsidRDefault="00000000" w:rsidRPr="00000000" w14:paraId="0000006C">
            <w:pPr>
              <w:spacing w:after="0" w:line="240" w:lineRule="auto"/>
              <w:rPr/>
            </w:pPr>
            <w:r w:rsidDel="00000000" w:rsidR="00000000" w:rsidRPr="00000000">
              <w:rPr>
                <w:rtl w:val="0"/>
              </w:rPr>
              <w:t xml:space="preserve">Este estado no representa un retraso respecto al plan de trabajo, sino el cumplimiento estricto del modelo de desarrollo incremental y la planificación temporal de la Carta Gantt, donde estas actividades corresponden exclusivamente a la Fase 3 (Semanas 17 a 20).</w:t>
              <w:br w:type="textWrapping"/>
            </w:r>
          </w:p>
          <w:p w:rsidR="00000000" w:rsidDel="00000000" w:rsidP="00000000" w:rsidRDefault="00000000" w:rsidRPr="00000000" w14:paraId="0000006D">
            <w:pPr>
              <w:spacing w:after="0" w:line="240" w:lineRule="auto"/>
              <w:rPr/>
            </w:pPr>
            <w:r w:rsidDel="00000000" w:rsidR="00000000" w:rsidRPr="00000000">
              <w:rPr>
                <w:rtl w:val="0"/>
              </w:rPr>
              <w:t xml:space="preserve">La estrategia de abordaje se mantendrá el ritmo de integración continua y validación de pruebas unitarias con Pytest, asegurando que la infraestructura en contenedores Docker y los manuales operativos se ejecuten fluidamente al cierre del proyecto sin impactar los plazos académicos.</w:t>
              <w:br w:type="textWrapping"/>
            </w:r>
            <w:r w:rsidDel="00000000" w:rsidR="00000000" w:rsidRPr="00000000">
              <w:rPr>
                <w:rtl w:val="0"/>
              </w:rPr>
            </w:r>
          </w:p>
        </w:tc>
      </w:tr>
    </w:tbl>
    <w:p w:rsidR="00000000" w:rsidDel="00000000" w:rsidP="00000000" w:rsidRDefault="00000000" w:rsidRPr="00000000" w14:paraId="0000006E">
      <w:pPr>
        <w:rPr/>
      </w:pPr>
      <w:r w:rsidDel="00000000" w:rsidR="00000000" w:rsidRPr="00000000">
        <w:rPr>
          <w:rtl w:val="0"/>
        </w:rPr>
      </w:r>
    </w:p>
    <w:sectPr>
      <w:headerReference r:id="rId14" w:type="default"/>
      <w:footerReference r:id="rId15" w:type="default"/>
      <w:pgSz w:h="16838" w:w="11906" w:orient="portrait"/>
      <w:pgMar w:bottom="1440.0000000000002" w:top="1440.0000000000002" w:left="1440.0000000000002" w:right="1440.0000000000002"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7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0"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Ela04/LifeBetter_Project" TargetMode="External"/><Relationship Id="rId10" Type="http://schemas.openxmlformats.org/officeDocument/2006/relationships/hyperlink" Target="https://github.com/Ela04/LifeBetter_Project" TargetMode="External"/><Relationship Id="rId13" Type="http://schemas.openxmlformats.org/officeDocument/2006/relationships/image" Target="media/image2.png"/><Relationship Id="rId12" Type="http://schemas.openxmlformats.org/officeDocument/2006/relationships/hyperlink" Target="https://github.com/Ela04/Capston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Ela04/LifeBetter_Project"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s://github.com/Ela04/Capston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WELd5PZr4flnNd+1qrfJ/IO9mA==">CgMxLjAaHwoBMBIaChgICVIUChJ0YWJsZS51ZTVudGFvc2R6eGoyDmguN3VlYmFiaWw4eTk2OAByITFnWmxYRFBlODZaM0toa1liS0Fpd1J0c3dnWEpZYUlCRA==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