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B365D"/>
          <w:sz w:val="44"/>
        </w:rPr>
        <w:t>INFORME DE ESTADO DEL PROYECTO</w:t>
      </w:r>
    </w:p>
    <w:p>
      <w:pPr>
        <w:spacing w:before="0" w:after="320"/>
        <w:jc w:val="center"/>
      </w:pPr>
      <w:r>
        <w:rPr>
          <w:rFonts w:ascii="Arial" w:hAnsi="Arial"/>
          <w:b/>
          <w:color w:val="4B6B94"/>
          <w:sz w:val="24"/>
        </w:rPr>
        <w:t>Project Status Report – Proyecto LifeBetter AIoT</w:t>
      </w:r>
    </w:p>
    <w:tbl>
      <w:tblPr>
        <w:tblW w:type="auto" w:w="0"/>
        <w:jc w:val="center"/>
        <w:tblLook w:firstColumn="1" w:firstRow="1" w:lastColumn="0" w:lastRow="0" w:noHBand="0" w:noVBand="1" w:val="04A0"/>
      </w:tblPr>
      <w:tblGrid>
        <w:gridCol w:w="4680"/>
        <w:gridCol w:w="4680"/>
      </w:tblGrid>
      <w:tr>
        <w:tc>
          <w:tcPr>
            <w:tcW w:type="dxa" w:w="3312"/>
            <w:shd w:fill="1B365D"/>
            <w:tcMar>
              <w:top w:w="80" w:type="dxa"/>
              <w:bottom w:w="80" w:type="dxa"/>
              <w:left w:w="120" w:type="dxa"/>
              <w:right w:w="120" w:type="dxa"/>
            </w:tcMar>
          </w:tcPr>
          <w:p>
            <w:pPr>
              <w:spacing w:after="0"/>
            </w:pPr>
            <w:r>
              <w:rPr>
                <w:rFonts w:ascii="Arial" w:hAnsi="Arial"/>
                <w:b/>
                <w:color w:val="FFFFFF"/>
                <w:sz w:val="19"/>
              </w:rPr>
              <w:t>Nombre del Proyecto:</w:t>
            </w:r>
          </w:p>
        </w:tc>
        <w:tc>
          <w:tcPr>
            <w:tcW w:type="dxa" w:w="6048"/>
            <w:shd w:fill="F4F6F9"/>
            <w:tcMar>
              <w:top w:w="80" w:type="dxa"/>
              <w:bottom w:w="80" w:type="dxa"/>
              <w:left w:w="120" w:type="dxa"/>
              <w:right w:w="120" w:type="dxa"/>
            </w:tcMar>
          </w:tcPr>
          <w:p>
            <w:pPr>
              <w:spacing w:after="0"/>
            </w:pPr>
            <w:r>
              <w:rPr>
                <w:rFonts w:ascii="Arial" w:hAnsi="Arial"/>
                <w:b w:val="0"/>
                <w:color w:val="333333"/>
                <w:sz w:val="19"/>
              </w:rPr>
              <w:t>LifeBetter AIoT – Plataforma de Gestión Inmobiliaria y Control de Accesos</w:t>
            </w:r>
          </w:p>
        </w:tc>
      </w:tr>
      <w:tr>
        <w:tc>
          <w:tcPr>
            <w:tcW w:type="dxa" w:w="3312"/>
            <w:shd w:fill="1B365D"/>
            <w:tcMar>
              <w:top w:w="80" w:type="dxa"/>
              <w:bottom w:w="80" w:type="dxa"/>
              <w:left w:w="120" w:type="dxa"/>
              <w:right w:w="120" w:type="dxa"/>
            </w:tcMar>
          </w:tcPr>
          <w:p>
            <w:pPr>
              <w:spacing w:after="0"/>
            </w:pPr>
            <w:r>
              <w:rPr>
                <w:rFonts w:ascii="Arial" w:hAnsi="Arial"/>
                <w:b/>
                <w:color w:val="FFFFFF"/>
                <w:sz w:val="19"/>
              </w:rPr>
              <w:t>Mes de Cierre / Fecha:</w:t>
            </w:r>
          </w:p>
        </w:tc>
        <w:tc>
          <w:tcPr>
            <w:tcW w:type="dxa" w:w="6048"/>
            <w:shd w:fill="FFFFFF"/>
            <w:tcMar>
              <w:top w:w="80" w:type="dxa"/>
              <w:bottom w:w="80" w:type="dxa"/>
              <w:left w:w="120" w:type="dxa"/>
              <w:right w:w="120" w:type="dxa"/>
            </w:tcMar>
          </w:tcPr>
          <w:p>
            <w:pPr>
              <w:spacing w:after="0"/>
            </w:pPr>
            <w:r>
              <w:rPr>
                <w:rFonts w:ascii="Arial" w:hAnsi="Arial"/>
                <w:b w:val="0"/>
                <w:color w:val="333333"/>
                <w:sz w:val="19"/>
              </w:rPr>
              <w:t>Septiembre 2026 (30 de Septiembre de 2026)</w:t>
            </w:r>
          </w:p>
        </w:tc>
      </w:tr>
      <w:tr>
        <w:tc>
          <w:tcPr>
            <w:tcW w:type="dxa" w:w="3312"/>
            <w:shd w:fill="1B365D"/>
            <w:tcMar>
              <w:top w:w="80" w:type="dxa"/>
              <w:bottom w:w="80" w:type="dxa"/>
              <w:left w:w="120" w:type="dxa"/>
              <w:right w:w="120" w:type="dxa"/>
            </w:tcMar>
          </w:tcPr>
          <w:p>
            <w:pPr>
              <w:spacing w:after="0"/>
            </w:pPr>
            <w:r>
              <w:rPr>
                <w:rFonts w:ascii="Arial" w:hAnsi="Arial"/>
                <w:b/>
                <w:color w:val="FFFFFF"/>
                <w:sz w:val="19"/>
              </w:rPr>
              <w:t>Equipo Desarrollador:</w:t>
            </w:r>
          </w:p>
        </w:tc>
        <w:tc>
          <w:tcPr>
            <w:tcW w:type="dxa" w:w="6048"/>
            <w:shd w:fill="F4F6F9"/>
            <w:tcMar>
              <w:top w:w="80" w:type="dxa"/>
              <w:bottom w:w="80" w:type="dxa"/>
              <w:left w:w="120" w:type="dxa"/>
              <w:right w:w="120" w:type="dxa"/>
            </w:tcMar>
          </w:tcPr>
          <w:p>
            <w:pPr>
              <w:spacing w:after="0"/>
            </w:pPr>
            <w:r>
              <w:rPr>
                <w:rFonts w:ascii="Arial" w:hAnsi="Arial"/>
                <w:b w:val="0"/>
                <w:color w:val="333333"/>
                <w:sz w:val="19"/>
              </w:rPr>
              <w:t>Gabriela Antúnez y Ariel Oñate</w:t>
            </w:r>
          </w:p>
        </w:tc>
      </w:tr>
      <w:tr>
        <w:tc>
          <w:tcPr>
            <w:tcW w:type="dxa" w:w="3312"/>
            <w:shd w:fill="1B365D"/>
            <w:tcMar>
              <w:top w:w="80" w:type="dxa"/>
              <w:bottom w:w="80" w:type="dxa"/>
              <w:left w:w="120" w:type="dxa"/>
              <w:right w:w="120" w:type="dxa"/>
            </w:tcMar>
          </w:tcPr>
          <w:p>
            <w:pPr>
              <w:spacing w:after="0"/>
            </w:pPr>
            <w:r>
              <w:rPr>
                <w:rFonts w:ascii="Arial" w:hAnsi="Arial"/>
                <w:b/>
                <w:color w:val="FFFFFF"/>
                <w:sz w:val="19"/>
              </w:rPr>
              <w:t>Profesor Guía / Evaluador:</w:t>
            </w:r>
          </w:p>
        </w:tc>
        <w:tc>
          <w:tcPr>
            <w:tcW w:type="dxa" w:w="6048"/>
            <w:shd w:fill="FFFFFF"/>
            <w:tcMar>
              <w:top w:w="80" w:type="dxa"/>
              <w:bottom w:w="80" w:type="dxa"/>
              <w:left w:w="120" w:type="dxa"/>
              <w:right w:w="120" w:type="dxa"/>
            </w:tcMar>
          </w:tcPr>
          <w:p>
            <w:pPr>
              <w:spacing w:after="0"/>
            </w:pPr>
            <w:r>
              <w:rPr>
                <w:rFonts w:ascii="Arial" w:hAnsi="Arial"/>
                <w:b w:val="0"/>
                <w:color w:val="333333"/>
                <w:sz w:val="19"/>
              </w:rPr>
              <w:t>Luis Alberto Bravo Yanes (Duoc UC - Sección 002_V1)</w:t>
            </w:r>
          </w:p>
        </w:tc>
      </w:tr>
      <w:tr>
        <w:tc>
          <w:tcPr>
            <w:tcW w:type="dxa" w:w="3312"/>
            <w:shd w:fill="1B365D"/>
            <w:tcMar>
              <w:top w:w="80" w:type="dxa"/>
              <w:bottom w:w="80" w:type="dxa"/>
              <w:left w:w="120" w:type="dxa"/>
              <w:right w:w="120" w:type="dxa"/>
            </w:tcMar>
          </w:tcPr>
          <w:p>
            <w:pPr>
              <w:spacing w:after="0"/>
            </w:pPr>
            <w:r>
              <w:rPr>
                <w:rFonts w:ascii="Arial" w:hAnsi="Arial"/>
                <w:b/>
                <w:color w:val="FFFFFF"/>
                <w:sz w:val="19"/>
              </w:rPr>
              <w:t>Porcentaje de Avance General:</w:t>
            </w:r>
          </w:p>
        </w:tc>
        <w:tc>
          <w:tcPr>
            <w:tcW w:type="dxa" w:w="6048"/>
            <w:shd w:fill="F4F6F9"/>
            <w:tcMar>
              <w:top w:w="80" w:type="dxa"/>
              <w:bottom w:w="80" w:type="dxa"/>
              <w:left w:w="120" w:type="dxa"/>
              <w:right w:w="120" w:type="dxa"/>
            </w:tcMar>
          </w:tcPr>
          <w:p>
            <w:pPr>
              <w:spacing w:after="0"/>
            </w:pPr>
            <w:r>
              <w:rPr>
                <w:rFonts w:ascii="Arial" w:hAnsi="Arial"/>
                <w:b/>
                <w:color w:val="333333"/>
                <w:sz w:val="19"/>
              </w:rPr>
              <w:t>82% Completado (Cierre del Incremento 2 e inicio del Incremento 3)</w:t>
            </w:r>
          </w:p>
        </w:tc>
      </w:tr>
    </w:tbl>
    <w:p>
      <w:pPr>
        <w:spacing w:after="200"/>
      </w:pPr>
    </w:p>
    <w:p>
      <w:pPr>
        <w:keepNext/>
        <w:spacing w:before="320" w:after="120"/>
      </w:pPr>
      <w:r>
        <w:rPr>
          <w:rFonts w:ascii="Arial" w:hAnsi="Arial"/>
          <w:b/>
          <w:color w:val="1B365D"/>
          <w:sz w:val="28"/>
        </w:rPr>
        <w:t>RESUMEN DE ESTADO DEL PROYECTO (PROJECT STATUS SUMMARY)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80" w:type="dxa"/>
              <w:bottom w:w="80" w:type="dxa"/>
              <w:left w:w="60" w:type="dxa"/>
              <w:right w:w="60" w:type="dxa"/>
            </w:tcMar>
          </w:tcPr>
          <w:p>
            <w:pPr>
              <w:jc w:val="center"/>
            </w:pPr>
            <w:r>
              <w:rPr>
                <w:rFonts w:ascii="Arial" w:hAnsi="Arial"/>
                <w:b/>
                <w:color w:val="FFFFFF"/>
                <w:sz w:val="17"/>
              </w:rPr>
              <w:t>Alcance (Scope)</w:t>
            </w:r>
          </w:p>
        </w:tc>
        <w:tc>
          <w:tcPr>
            <w:tcW w:type="dxa" w:w="1872"/>
            <w:shd w:fill="1B365D"/>
            <w:tcMar>
              <w:top w:w="80" w:type="dxa"/>
              <w:bottom w:w="80" w:type="dxa"/>
              <w:left w:w="60" w:type="dxa"/>
              <w:right w:w="60" w:type="dxa"/>
            </w:tcMar>
          </w:tcPr>
          <w:p>
            <w:pPr>
              <w:jc w:val="center"/>
            </w:pPr>
            <w:r>
              <w:rPr>
                <w:rFonts w:ascii="Arial" w:hAnsi="Arial"/>
                <w:b/>
                <w:color w:val="FFFFFF"/>
                <w:sz w:val="17"/>
              </w:rPr>
              <w:t>Cronograma (Schedule)</w:t>
            </w:r>
          </w:p>
        </w:tc>
        <w:tc>
          <w:tcPr>
            <w:tcW w:type="dxa" w:w="1872"/>
            <w:shd w:fill="1B365D"/>
            <w:tcMar>
              <w:top w:w="80" w:type="dxa"/>
              <w:bottom w:w="80" w:type="dxa"/>
              <w:left w:w="60" w:type="dxa"/>
              <w:right w:w="60" w:type="dxa"/>
            </w:tcMar>
          </w:tcPr>
          <w:p>
            <w:pPr>
              <w:jc w:val="center"/>
            </w:pPr>
            <w:r>
              <w:rPr>
                <w:rFonts w:ascii="Arial" w:hAnsi="Arial"/>
                <w:b/>
                <w:color w:val="FFFFFF"/>
                <w:sz w:val="17"/>
              </w:rPr>
              <w:t>Costos (Cost)</w:t>
            </w:r>
          </w:p>
        </w:tc>
        <w:tc>
          <w:tcPr>
            <w:tcW w:type="dxa" w:w="1872"/>
            <w:shd w:fill="1B365D"/>
            <w:tcMar>
              <w:top w:w="80" w:type="dxa"/>
              <w:bottom w:w="80" w:type="dxa"/>
              <w:left w:w="60" w:type="dxa"/>
              <w:right w:w="60" w:type="dxa"/>
            </w:tcMar>
          </w:tcPr>
          <w:p>
            <w:pPr>
              <w:jc w:val="center"/>
            </w:pPr>
            <w:r>
              <w:rPr>
                <w:rFonts w:ascii="Arial" w:hAnsi="Arial"/>
                <w:b/>
                <w:color w:val="FFFFFF"/>
                <w:sz w:val="17"/>
              </w:rPr>
              <w:t>Riesgos (Risks)</w:t>
            </w:r>
          </w:p>
        </w:tc>
        <w:tc>
          <w:tcPr>
            <w:tcW w:type="dxa" w:w="1872"/>
            <w:shd w:fill="1B365D"/>
            <w:tcMar>
              <w:top w:w="80" w:type="dxa"/>
              <w:bottom w:w="80" w:type="dxa"/>
              <w:left w:w="60" w:type="dxa"/>
              <w:right w:w="60" w:type="dxa"/>
            </w:tcMar>
          </w:tcPr>
          <w:p>
            <w:pPr>
              <w:jc w:val="center"/>
            </w:pPr>
            <w:r>
              <w:rPr>
                <w:rFonts w:ascii="Arial" w:hAnsi="Arial"/>
                <w:b/>
                <w:color w:val="FFFFFF"/>
                <w:sz w:val="17"/>
              </w:rPr>
              <w:t>Calidad (Quality)</w:t>
            </w:r>
          </w:p>
        </w:tc>
      </w:tr>
      <w:tr>
        <w:tc>
          <w:tcPr>
            <w:tcW w:type="dxa" w:w="1872"/>
            <w:shd w:fill="28A745"/>
            <w:tcMar>
              <w:top w:w="100" w:type="dxa"/>
              <w:bottom w:w="100" w:type="dxa"/>
              <w:left w:w="60" w:type="dxa"/>
              <w:right w:w="60" w:type="dxa"/>
            </w:tcMar>
          </w:tcPr>
          <w:p>
            <w:pPr>
              <w:jc w:val="center"/>
            </w:pPr>
            <w:r>
              <w:rPr>
                <w:rFonts w:ascii="Arial" w:hAnsi="Arial"/>
                <w:b/>
                <w:color w:val="FFFFFF"/>
                <w:sz w:val="17"/>
              </w:rPr>
              <w:t>VERDE (En Regla)</w:t>
            </w:r>
          </w:p>
        </w:tc>
        <w:tc>
          <w:tcPr>
            <w:tcW w:type="dxa" w:w="1872"/>
            <w:shd w:fill="FFC107"/>
            <w:tcMar>
              <w:top w:w="100" w:type="dxa"/>
              <w:bottom w:w="100" w:type="dxa"/>
              <w:left w:w="60" w:type="dxa"/>
              <w:right w:w="60" w:type="dxa"/>
            </w:tcMar>
          </w:tcPr>
          <w:p>
            <w:pPr>
              <w:jc w:val="center"/>
            </w:pPr>
            <w:r>
              <w:rPr>
                <w:rFonts w:ascii="Arial" w:hAnsi="Arial"/>
                <w:b/>
                <w:color w:val="333333"/>
                <w:sz w:val="17"/>
              </w:rPr>
              <w:t>AMARILLO (-4% Desv.)</w:t>
            </w:r>
          </w:p>
        </w:tc>
        <w:tc>
          <w:tcPr>
            <w:tcW w:type="dxa" w:w="1872"/>
            <w:shd w:fill="28A745"/>
            <w:tcMar>
              <w:top w:w="100" w:type="dxa"/>
              <w:bottom w:w="100" w:type="dxa"/>
              <w:left w:w="60" w:type="dxa"/>
              <w:right w:w="60" w:type="dxa"/>
            </w:tcMar>
          </w:tcPr>
          <w:p>
            <w:pPr>
              <w:jc w:val="center"/>
            </w:pPr>
            <w:r>
              <w:rPr>
                <w:rFonts w:ascii="Arial" w:hAnsi="Arial"/>
                <w:b/>
                <w:color w:val="FFFFFF"/>
                <w:sz w:val="17"/>
              </w:rPr>
              <w:t>VERDE (En Regla)</w:t>
            </w:r>
          </w:p>
        </w:tc>
        <w:tc>
          <w:tcPr>
            <w:tcW w:type="dxa" w:w="1872"/>
            <w:shd w:fill="FFC107"/>
            <w:tcMar>
              <w:top w:w="100" w:type="dxa"/>
              <w:bottom w:w="100" w:type="dxa"/>
              <w:left w:w="60" w:type="dxa"/>
              <w:right w:w="60" w:type="dxa"/>
            </w:tcMar>
          </w:tcPr>
          <w:p>
            <w:pPr>
              <w:jc w:val="center"/>
            </w:pPr>
            <w:r>
              <w:rPr>
                <w:rFonts w:ascii="Arial" w:hAnsi="Arial"/>
                <w:b/>
                <w:color w:val="333333"/>
                <w:sz w:val="17"/>
              </w:rPr>
              <w:t>AMARILLO (Atención)</w:t>
            </w:r>
          </w:p>
        </w:tc>
        <w:tc>
          <w:tcPr>
            <w:tcW w:type="dxa" w:w="1872"/>
            <w:shd w:fill="28A745"/>
            <w:tcMar>
              <w:top w:w="100" w:type="dxa"/>
              <w:bottom w:w="100" w:type="dxa"/>
              <w:left w:w="60" w:type="dxa"/>
              <w:right w:w="60" w:type="dxa"/>
            </w:tcMar>
          </w:tcPr>
          <w:p>
            <w:pPr>
              <w:jc w:val="center"/>
            </w:pPr>
            <w:r>
              <w:rPr>
                <w:rFonts w:ascii="Arial" w:hAnsi="Arial"/>
                <w:b/>
                <w:color w:val="FFFFFF"/>
                <w:sz w:val="17"/>
              </w:rPr>
              <w:t>VERDE (En Regla)</w:t>
            </w:r>
          </w:p>
        </w:tc>
      </w:tr>
    </w:tbl>
    <w:p>
      <w:pPr>
        <w:spacing w:after="200"/>
      </w:pPr>
    </w:p>
    <w:p>
      <w:pPr>
        <w:keepNext/>
        <w:spacing w:before="240" w:after="80"/>
      </w:pPr>
      <w:r>
        <w:rPr>
          <w:rFonts w:ascii="Arial" w:hAnsi="Arial"/>
          <w:b/>
          <w:color w:val="4B6B94"/>
          <w:sz w:val="23"/>
        </w:rPr>
        <w:t>Análisis Ejecutivo del Resumen</w:t>
      </w:r>
    </w:p>
    <w:p>
      <w:pPr>
        <w:spacing w:before="0" w:after="120" w:line="276" w:lineRule="auto"/>
      </w:pPr>
      <w:r>
        <w:rPr>
          <w:rFonts w:ascii="Arial" w:hAnsi="Arial"/>
          <w:i w:val="0"/>
          <w:color w:val="333333"/>
          <w:sz w:val="20"/>
        </w:rPr>
        <w:t>El proyecto LifeBetter presenta un avance global acumulado del 82% respecto al plan de trabajo incremental acordado. Durante el presente período, se han completado satisfactoriamente los hitos del Incremento 1 (Backend Django base y módulo de gastos comunes) y del Incremento 2 (App móvil de residentes para pagos Webpay, reservas de quinchos y autorizaciones QR).</w:t>
      </w:r>
    </w:p>
    <w:p>
      <w:pPr>
        <w:spacing w:before="0" w:after="120" w:line="276" w:lineRule="auto"/>
      </w:pPr>
      <w:r>
        <w:rPr>
          <w:rFonts w:ascii="Arial" w:hAnsi="Arial"/>
          <w:i w:val="0"/>
          <w:color w:val="333333"/>
          <w:sz w:val="20"/>
        </w:rPr>
        <w:t>A continuación se detallan las justificaciones para los indicadores en estado de alerta precaución (Amarillo):</w:t>
      </w:r>
    </w:p>
    <w:p>
      <w:pPr>
        <w:pStyle w:val="ListBullet"/>
        <w:spacing w:before="0" w:after="60" w:line="276" w:lineRule="auto"/>
      </w:pPr>
      <w:r>
        <w:rPr>
          <w:rFonts w:ascii="Arial" w:hAnsi="Arial"/>
          <w:b/>
          <w:color w:val="333333"/>
          <w:sz w:val="20"/>
        </w:rPr>
        <w:t xml:space="preserve">Explicación del Cronograma (Amarillo): </w:t>
      </w:r>
      <w:r>
        <w:rPr>
          <w:rFonts w:ascii="Arial" w:hAnsi="Arial"/>
          <w:color w:val="333333"/>
          <w:sz w:val="20"/>
        </w:rPr>
        <w:t>El desarrollo se encuentra con un desfase menor del 4% respecto a la línea base programada. Esto se debe a la complejidad técnica observada en la calibración del algoritmo de OCR (Reconocimiento Óptico de Caracteres) e IA para visión nocturna en las cámaras IP de acceso vehicular. Dicho desfase no compromete la fecha de entrega final, ya que el equipo ha redistribuido horas de trabajo práctico durante la primera semana del próximo mes.</w:t>
      </w:r>
    </w:p>
    <w:p>
      <w:pPr>
        <w:pStyle w:val="ListBullet"/>
        <w:spacing w:before="0" w:after="60" w:line="276" w:lineRule="auto"/>
      </w:pPr>
      <w:r>
        <w:rPr>
          <w:rFonts w:ascii="Arial" w:hAnsi="Arial"/>
          <w:b/>
          <w:color w:val="333333"/>
          <w:sz w:val="20"/>
        </w:rPr>
        <w:t xml:space="preserve">Explicación de Riesgos (Amarillo): </w:t>
      </w:r>
      <w:r>
        <w:rPr>
          <w:rFonts w:ascii="Arial" w:hAnsi="Arial"/>
          <w:color w:val="333333"/>
          <w:sz w:val="20"/>
        </w:rPr>
        <w:t>Se clasifica en estado Amarillo debido a la dependencia de factores ambientales y de red en el condominio (iluminación nocturna deficiente y variaciones en el ancho de banda para el streaming RTSP de video hacia el modelo de IA). La estrategia de mitigación incluye el ajuste de parámetros de contraste por software en el módulo de visión por computador y la configuración de una red local dedicada (VLAN) para las cámaras.</w:t>
      </w:r>
    </w:p>
    <w:p>
      <w:pPr>
        <w:keepNext/>
        <w:spacing w:before="320" w:after="120"/>
      </w:pPr>
      <w:r>
        <w:rPr>
          <w:rFonts w:ascii="Arial" w:hAnsi="Arial"/>
          <w:b/>
          <w:color w:val="1B365D"/>
          <w:sz w:val="28"/>
        </w:rPr>
        <w:t>TRABAJO PLANIFICADO PARA EL PERÍODO ANTERIOR</w:t>
      </w:r>
    </w:p>
    <w:p>
      <w:pPr>
        <w:spacing w:before="0" w:after="120" w:line="276" w:lineRule="auto"/>
      </w:pPr>
      <w:r>
        <w:rPr>
          <w:rFonts w:ascii="Arial" w:hAnsi="Arial"/>
          <w:i w:val="0"/>
          <w:color w:val="333333"/>
          <w:sz w:val="20"/>
        </w:rPr>
        <w:t>Durante el mes anterior se establecieron como objetivos prioritarios las siguientes tareas correspondientes al cierre del Incremento 2 e inicio del Incremento 3:</w:t>
      </w:r>
    </w:p>
    <w:p>
      <w:pPr>
        <w:pStyle w:val="ListBullet"/>
        <w:spacing w:before="0" w:after="60" w:line="276" w:lineRule="auto"/>
      </w:pPr>
      <w:r>
        <w:rPr>
          <w:rFonts w:ascii="Arial" w:hAnsi="Arial"/>
          <w:b/>
          <w:color w:val="333333"/>
          <w:sz w:val="20"/>
        </w:rPr>
        <w:t xml:space="preserve">1. Módulo Móvil de Reservas: </w:t>
      </w:r>
      <w:r>
        <w:rPr>
          <w:rFonts w:ascii="Arial" w:hAnsi="Arial"/>
          <w:color w:val="333333"/>
          <w:sz w:val="20"/>
        </w:rPr>
        <w:t>Desarrollar la interfaz móvil para la reserva interactiva de espacios comunes (quinchos y multicancha) con validación de traslape de horarios.</w:t>
      </w:r>
    </w:p>
    <w:p>
      <w:pPr>
        <w:pStyle w:val="ListBullet"/>
        <w:spacing w:before="0" w:after="60" w:line="276" w:lineRule="auto"/>
      </w:pPr>
      <w:r>
        <w:rPr>
          <w:rFonts w:ascii="Arial" w:hAnsi="Arial"/>
          <w:b/>
          <w:color w:val="333333"/>
          <w:sz w:val="20"/>
        </w:rPr>
        <w:t xml:space="preserve">2. Pasarela de Pagos Webpay: </w:t>
      </w:r>
      <w:r>
        <w:rPr>
          <w:rFonts w:ascii="Arial" w:hAnsi="Arial"/>
          <w:color w:val="333333"/>
          <w:sz w:val="20"/>
        </w:rPr>
        <w:t>Implementar la pasarela de pagos Webpay (entorno Sandbox) en la app de residentes y conectar los comprobantes digitales de pago con el backend Django.</w:t>
      </w:r>
    </w:p>
    <w:p>
      <w:pPr>
        <w:pStyle w:val="ListBullet"/>
        <w:spacing w:before="0" w:after="60" w:line="276" w:lineRule="auto"/>
      </w:pPr>
      <w:r>
        <w:rPr>
          <w:rFonts w:ascii="Arial" w:hAnsi="Arial"/>
          <w:b/>
          <w:color w:val="333333"/>
          <w:sz w:val="20"/>
        </w:rPr>
        <w:t xml:space="preserve">3. Interfaz de Alertas de Acceso: </w:t>
      </w:r>
      <w:r>
        <w:rPr>
          <w:rFonts w:ascii="Arial" w:hAnsi="Arial"/>
          <w:color w:val="333333"/>
          <w:sz w:val="20"/>
        </w:rPr>
        <w:t>Diseñar la vista del Centro de Alertas y Notificaciones Push en la app móvil para recibir avisos de ingresos vehiculares.</w:t>
      </w:r>
    </w:p>
    <w:p>
      <w:pPr>
        <w:pStyle w:val="ListBullet"/>
        <w:spacing w:before="0" w:after="60" w:line="276" w:lineRule="auto"/>
      </w:pPr>
      <w:r>
        <w:rPr>
          <w:rFonts w:ascii="Arial" w:hAnsi="Arial"/>
          <w:b/>
          <w:color w:val="333333"/>
          <w:sz w:val="20"/>
        </w:rPr>
        <w:t xml:space="preserve">4. Pruebas de Visión por Computador: </w:t>
      </w:r>
      <w:r>
        <w:rPr>
          <w:rFonts w:ascii="Arial" w:hAnsi="Arial"/>
          <w:color w:val="333333"/>
          <w:sz w:val="20"/>
        </w:rPr>
        <w:t>Configurar el entorno de prueba con cámaras IP Full HD y realizar las primeras pruebas de entrenamiento del modelo de reconocimiento de patentes (ANPR).</w:t>
      </w:r>
    </w:p>
    <w:p>
      <w:pPr>
        <w:keepNext/>
        <w:spacing w:before="320" w:after="120"/>
      </w:pPr>
      <w:r>
        <w:rPr>
          <w:rFonts w:ascii="Arial" w:hAnsi="Arial"/>
          <w:b/>
          <w:color w:val="1B365D"/>
          <w:sz w:val="28"/>
        </w:rPr>
        <w:t>TRABAJO COMPLETADO EN EL PERÍODO</w:t>
      </w:r>
    </w:p>
    <w:p>
      <w:pPr>
        <w:spacing w:before="0" w:after="120" w:line="276" w:lineRule="auto"/>
      </w:pPr>
      <w:r>
        <w:rPr>
          <w:rFonts w:ascii="Arial" w:hAnsi="Arial"/>
          <w:i w:val="0"/>
          <w:color w:val="333333"/>
          <w:sz w:val="20"/>
        </w:rPr>
        <w:t>Durante el último período evaluado se alcanzaron los siguientes hitos y entregables funcionales:</w:t>
      </w:r>
    </w:p>
    <w:p>
      <w:pPr>
        <w:pStyle w:val="ListBullet"/>
        <w:spacing w:before="0" w:after="60" w:line="276" w:lineRule="auto"/>
      </w:pPr>
      <w:r>
        <w:rPr>
          <w:rFonts w:ascii="Arial" w:hAnsi="Arial"/>
          <w:b/>
          <w:color w:val="333333"/>
          <w:sz w:val="20"/>
        </w:rPr>
        <w:t xml:space="preserve">Módulo de Reservas Operativo: </w:t>
      </w:r>
      <w:r>
        <w:rPr>
          <w:rFonts w:ascii="Arial" w:hAnsi="Arial"/>
          <w:color w:val="333333"/>
          <w:sz w:val="20"/>
        </w:rPr>
        <w:t>Se finalizó la lógica de reservas en tiempo real. La app bloquea automáticamente fechas y horas previamente reservadas por otros departamentos.</w:t>
      </w:r>
    </w:p>
    <w:p>
      <w:pPr>
        <w:pStyle w:val="ListBullet"/>
        <w:spacing w:before="0" w:after="60" w:line="276" w:lineRule="auto"/>
      </w:pPr>
      <w:r>
        <w:rPr>
          <w:rFonts w:ascii="Arial" w:hAnsi="Arial"/>
          <w:b/>
          <w:color w:val="333333"/>
          <w:sz w:val="20"/>
        </w:rPr>
        <w:t xml:space="preserve">Integración de Pagos Webpay: </w:t>
      </w:r>
      <w:r>
        <w:rPr>
          <w:rFonts w:ascii="Arial" w:hAnsi="Arial"/>
          <w:color w:val="333333"/>
          <w:sz w:val="20"/>
        </w:rPr>
        <w:t>Integración exitosa del SDK de Webpay. Los residentes pueden consultar deudas en PDF y procesar el pago directamente desde el teléfono con emisión de comprobante en la base de datos.</w:t>
      </w:r>
    </w:p>
    <w:p>
      <w:pPr>
        <w:pStyle w:val="ListBullet"/>
        <w:spacing w:before="0" w:after="60" w:line="276" w:lineRule="auto"/>
      </w:pPr>
      <w:r>
        <w:rPr>
          <w:rFonts w:ascii="Arial" w:hAnsi="Arial"/>
          <w:b/>
          <w:color w:val="333333"/>
          <w:sz w:val="20"/>
        </w:rPr>
        <w:t xml:space="preserve">Centro de Alertas en App Móvil: </w:t>
      </w:r>
      <w:r>
        <w:rPr>
          <w:rFonts w:ascii="Arial" w:hAnsi="Arial"/>
          <w:color w:val="333333"/>
          <w:sz w:val="20"/>
        </w:rPr>
        <w:t>Diseño y maquetación de la pantalla móvil 'Centro de Alertas', habilitada para desplegar la foto de captura de la cámara IA, la fecha, la hora exacta y la patente detectada.</w:t>
      </w:r>
    </w:p>
    <w:p>
      <w:pPr>
        <w:pStyle w:val="ListBullet"/>
        <w:spacing w:before="0" w:after="60" w:line="276" w:lineRule="auto"/>
      </w:pPr>
      <w:r>
        <w:rPr>
          <w:rFonts w:ascii="Arial" w:hAnsi="Arial"/>
          <w:b/>
          <w:color w:val="333333"/>
          <w:sz w:val="20"/>
        </w:rPr>
        <w:t xml:space="preserve">Entrenamiento del Modelo IA: </w:t>
      </w:r>
      <w:r>
        <w:rPr>
          <w:rFonts w:ascii="Arial" w:hAnsi="Arial"/>
          <w:color w:val="333333"/>
          <w:sz w:val="20"/>
        </w:rPr>
        <w:t>Entrenamiento base del modelo de IA con conjunto de datos de patentes chilenas (formatos antiguos y nuevos). Precisión actual obtenida: 94.2% en condiciones diurnas.</w:t>
      </w:r>
    </w:p>
    <w:p>
      <w:pPr>
        <w:keepNext/>
        <w:spacing w:before="320" w:after="120"/>
      </w:pPr>
      <w:r>
        <w:rPr>
          <w:rFonts w:ascii="Arial" w:hAnsi="Arial"/>
          <w:b/>
          <w:color w:val="1B365D"/>
          <w:sz w:val="28"/>
        </w:rPr>
        <w:t>TRABAJO PLANIFICADO PARA EL PRÓXIMO PERÍODO</w:t>
      </w:r>
    </w:p>
    <w:p>
      <w:pPr>
        <w:spacing w:before="0" w:after="120" w:line="276" w:lineRule="auto"/>
      </w:pPr>
      <w:r>
        <w:rPr>
          <w:rFonts w:ascii="Arial" w:hAnsi="Arial"/>
          <w:i w:val="0"/>
          <w:color w:val="333333"/>
          <w:sz w:val="20"/>
        </w:rPr>
        <w:t>Para el siguiente período se programan las siguientes actividades enfocadas en la consolidación del Incremento 3 (Módulo IA y Cámaras) y la preparación de la entrega final:</w:t>
      </w:r>
    </w:p>
    <w:p>
      <w:pPr>
        <w:pStyle w:val="ListBullet"/>
        <w:spacing w:before="0" w:after="60" w:line="276" w:lineRule="auto"/>
      </w:pPr>
      <w:r>
        <w:rPr>
          <w:rFonts w:ascii="Arial" w:hAnsi="Arial"/>
          <w:b/>
          <w:color w:val="333333"/>
          <w:sz w:val="20"/>
        </w:rPr>
        <w:t xml:space="preserve">1. Calibración Nocturna de IA: </w:t>
      </w:r>
      <w:r>
        <w:rPr>
          <w:rFonts w:ascii="Arial" w:hAnsi="Arial"/>
          <w:color w:val="333333"/>
          <w:sz w:val="20"/>
        </w:rPr>
        <w:t>Optimizar los parámetros de exposición e infrarrojo en la captura de video nocturno para elevar la precisión del reconocimiento de patentes sobre un 98%.</w:t>
      </w:r>
    </w:p>
    <w:p>
      <w:pPr>
        <w:pStyle w:val="ListBullet"/>
        <w:spacing w:before="0" w:after="60" w:line="276" w:lineRule="auto"/>
      </w:pPr>
      <w:r>
        <w:rPr>
          <w:rFonts w:ascii="Arial" w:hAnsi="Arial"/>
          <w:b/>
          <w:color w:val="333333"/>
          <w:sz w:val="20"/>
        </w:rPr>
        <w:t xml:space="preserve">2. Integración de Notificaciones Push: </w:t>
      </w:r>
      <w:r>
        <w:rPr>
          <w:rFonts w:ascii="Arial" w:hAnsi="Arial"/>
          <w:color w:val="333333"/>
          <w:sz w:val="20"/>
        </w:rPr>
        <w:t>Vincular la lectura automatizada en tiempo real con el envío instantáneo de notificaciones push a la aplicación móvil del residente correspondiente.</w:t>
      </w:r>
    </w:p>
    <w:p>
      <w:pPr>
        <w:pStyle w:val="ListBullet"/>
        <w:spacing w:before="0" w:after="60" w:line="276" w:lineRule="auto"/>
      </w:pPr>
      <w:r>
        <w:rPr>
          <w:rFonts w:ascii="Arial" w:hAnsi="Arial"/>
          <w:b/>
          <w:color w:val="333333"/>
          <w:sz w:val="20"/>
        </w:rPr>
        <w:t xml:space="preserve">3. Prueba Piloto en Garita: </w:t>
      </w:r>
      <w:r>
        <w:rPr>
          <w:rFonts w:ascii="Arial" w:hAnsi="Arial"/>
          <w:color w:val="333333"/>
          <w:sz w:val="20"/>
        </w:rPr>
        <w:t>Llevar a cabo una prueba piloto controlada en la garita de acceso del condominio, capacitando al personal de conserjería en el uso del dashboard.</w:t>
      </w:r>
    </w:p>
    <w:p>
      <w:pPr>
        <w:pStyle w:val="ListBullet"/>
        <w:spacing w:before="0" w:after="60" w:line="276" w:lineRule="auto"/>
      </w:pPr>
      <w:r>
        <w:rPr>
          <w:rFonts w:ascii="Arial" w:hAnsi="Arial"/>
          <w:b/>
          <w:color w:val="333333"/>
          <w:sz w:val="20"/>
        </w:rPr>
        <w:t xml:space="preserve">4. Cierre y Documentación Final: </w:t>
      </w:r>
      <w:r>
        <w:rPr>
          <w:rFonts w:ascii="Arial" w:hAnsi="Arial"/>
          <w:color w:val="333333"/>
          <w:sz w:val="20"/>
        </w:rPr>
        <w:t>Consolidar la documentación del proyecto, incluyendo manual de usuario, informe de arquitectura UML y guión de presentación para la defensa académica.</w:t>
      </w:r>
    </w:p>
    <w:p>
      <w:pPr>
        <w:keepNext/>
        <w:spacing w:before="320" w:after="120"/>
      </w:pPr>
      <w:r>
        <w:rPr>
          <w:rFonts w:ascii="Arial" w:hAnsi="Arial"/>
          <w:b/>
          <w:color w:val="1B365D"/>
          <w:sz w:val="28"/>
        </w:rPr>
        <w:t>PROBLEMAS ABIERTOS (OPEN ISSUES)</w:t>
      </w:r>
    </w:p>
    <w:p>
      <w:pPr>
        <w:spacing w:before="0" w:after="120" w:line="276" w:lineRule="auto"/>
      </w:pPr>
      <w:r>
        <w:rPr>
          <w:rFonts w:ascii="Arial" w:hAnsi="Arial"/>
          <w:i w:val="0"/>
          <w:color w:val="333333"/>
          <w:sz w:val="20"/>
        </w:rPr>
        <w:t>A continuación se listan los problemas activos identificados, su estado actual y las acciones correctivas en curso:</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00" w:type="dxa"/>
              <w:right w:w="100" w:type="dxa"/>
            </w:tcMar>
          </w:tcPr>
          <w:p>
            <w:r>
              <w:rPr>
                <w:rFonts w:ascii="Arial" w:hAnsi="Arial"/>
                <w:b/>
                <w:color w:val="FFFFFF"/>
                <w:sz w:val="19"/>
              </w:rPr>
              <w:t>ID / Problema</w:t>
            </w:r>
          </w:p>
        </w:tc>
        <w:tc>
          <w:tcPr>
            <w:tcW w:type="dxa" w:w="2340"/>
            <w:shd w:fill="1B365D"/>
            <w:tcMar>
              <w:top w:w="100" w:type="dxa"/>
              <w:bottom w:w="100" w:type="dxa"/>
              <w:left w:w="100" w:type="dxa"/>
              <w:right w:w="100" w:type="dxa"/>
            </w:tcMar>
          </w:tcPr>
          <w:p>
            <w:r>
              <w:rPr>
                <w:rFonts w:ascii="Arial" w:hAnsi="Arial"/>
                <w:b/>
                <w:color w:val="FFFFFF"/>
                <w:sz w:val="19"/>
              </w:rPr>
              <w:t>Descripción del Impacto</w:t>
            </w:r>
          </w:p>
        </w:tc>
        <w:tc>
          <w:tcPr>
            <w:tcW w:type="dxa" w:w="2340"/>
            <w:shd w:fill="1B365D"/>
            <w:tcMar>
              <w:top w:w="100" w:type="dxa"/>
              <w:bottom w:w="100" w:type="dxa"/>
              <w:left w:w="100" w:type="dxa"/>
              <w:right w:w="100" w:type="dxa"/>
            </w:tcMar>
          </w:tcPr>
          <w:p>
            <w:r>
              <w:rPr>
                <w:rFonts w:ascii="Arial" w:hAnsi="Arial"/>
                <w:b/>
                <w:color w:val="FFFFFF"/>
                <w:sz w:val="19"/>
              </w:rPr>
              <w:t>Estado Actual</w:t>
            </w:r>
          </w:p>
        </w:tc>
        <w:tc>
          <w:tcPr>
            <w:tcW w:type="dxa" w:w="2340"/>
            <w:shd w:fill="1B365D"/>
            <w:tcMar>
              <w:top w:w="100" w:type="dxa"/>
              <w:bottom w:w="100" w:type="dxa"/>
              <w:left w:w="100" w:type="dxa"/>
              <w:right w:w="100" w:type="dxa"/>
            </w:tcMar>
          </w:tcPr>
          <w:p>
            <w:r>
              <w:rPr>
                <w:rFonts w:ascii="Arial" w:hAnsi="Arial"/>
                <w:b/>
                <w:color w:val="FFFFFF"/>
                <w:sz w:val="19"/>
              </w:rPr>
              <w:t>Plan de Acción / Mitigación</w:t>
            </w:r>
          </w:p>
        </w:tc>
      </w:tr>
      <w:tr>
        <w:tc>
          <w:tcPr>
            <w:tcW w:type="dxa" w:w="2160"/>
            <w:shd w:fill="F4F6F9"/>
            <w:tcMar>
              <w:top w:w="80" w:type="dxa"/>
              <w:bottom w:w="80" w:type="dxa"/>
              <w:left w:w="100" w:type="dxa"/>
              <w:right w:w="100" w:type="dxa"/>
            </w:tcMar>
          </w:tcPr>
          <w:p>
            <w:r>
              <w:rPr>
                <w:rFonts w:ascii="Arial" w:hAnsi="Arial"/>
                <w:color w:val="333333"/>
                <w:sz w:val="17"/>
              </w:rPr>
              <w:t>ISS-01:</w:t>
              <w:br/>
              <w:t>Falsos positivos nocturnos</w:t>
            </w:r>
          </w:p>
        </w:tc>
        <w:tc>
          <w:tcPr>
            <w:tcW w:type="dxa" w:w="3168"/>
            <w:shd w:fill="F4F6F9"/>
            <w:tcMar>
              <w:top w:w="80" w:type="dxa"/>
              <w:bottom w:w="80" w:type="dxa"/>
              <w:left w:w="100" w:type="dxa"/>
              <w:right w:w="100" w:type="dxa"/>
            </w:tcMar>
          </w:tcPr>
          <w:p>
            <w:r>
              <w:rPr>
                <w:rFonts w:ascii="Arial" w:hAnsi="Arial"/>
                <w:color w:val="333333"/>
                <w:sz w:val="17"/>
              </w:rPr>
              <w:t>El reflejo de los focos de los vehículos en la cámara reduce la precisión de lectura de la matrícula en horario nocturno.</w:t>
            </w:r>
          </w:p>
        </w:tc>
        <w:tc>
          <w:tcPr>
            <w:tcW w:type="dxa" w:w="1584"/>
            <w:shd w:fill="F4F6F9"/>
            <w:tcMar>
              <w:top w:w="80" w:type="dxa"/>
              <w:bottom w:w="80" w:type="dxa"/>
              <w:left w:w="100" w:type="dxa"/>
              <w:right w:w="100" w:type="dxa"/>
            </w:tcMar>
          </w:tcPr>
          <w:p>
            <w:r>
              <w:rPr>
                <w:rFonts w:ascii="Arial" w:hAnsi="Arial"/>
                <w:color w:val="333333"/>
                <w:sz w:val="17"/>
              </w:rPr>
              <w:t>En Mitigación</w:t>
            </w:r>
          </w:p>
        </w:tc>
        <w:tc>
          <w:tcPr>
            <w:tcW w:type="dxa" w:w="2448"/>
            <w:shd w:fill="F4F6F9"/>
            <w:tcMar>
              <w:top w:w="80" w:type="dxa"/>
              <w:bottom w:w="80" w:type="dxa"/>
              <w:left w:w="100" w:type="dxa"/>
              <w:right w:w="100" w:type="dxa"/>
            </w:tcMar>
          </w:tcPr>
          <w:p>
            <w:r>
              <w:rPr>
                <w:rFonts w:ascii="Arial" w:hAnsi="Arial"/>
                <w:color w:val="333333"/>
                <w:sz w:val="17"/>
              </w:rPr>
              <w:t>Aplicar un filtro de ecualización de histograma adaptativo (CLAHE) en OpenCV antes de procesar el marco con el modelo de IA.</w:t>
            </w:r>
          </w:p>
        </w:tc>
      </w:tr>
      <w:tr>
        <w:tc>
          <w:tcPr>
            <w:tcW w:type="dxa" w:w="2160"/>
            <w:shd w:fill="FFFFFF"/>
            <w:tcMar>
              <w:top w:w="80" w:type="dxa"/>
              <w:bottom w:w="80" w:type="dxa"/>
              <w:left w:w="100" w:type="dxa"/>
              <w:right w:w="100" w:type="dxa"/>
            </w:tcMar>
          </w:tcPr>
          <w:p>
            <w:r>
              <w:rPr>
                <w:rFonts w:ascii="Arial" w:hAnsi="Arial"/>
                <w:color w:val="333333"/>
                <w:sz w:val="17"/>
              </w:rPr>
              <w:t>ISS-02:</w:t>
              <w:br/>
              <w:t>Latencia en red Wi-Fi</w:t>
            </w:r>
          </w:p>
        </w:tc>
        <w:tc>
          <w:tcPr>
            <w:tcW w:type="dxa" w:w="3168"/>
            <w:shd w:fill="FFFFFF"/>
            <w:tcMar>
              <w:top w:w="80" w:type="dxa"/>
              <w:bottom w:w="80" w:type="dxa"/>
              <w:left w:w="100" w:type="dxa"/>
              <w:right w:w="100" w:type="dxa"/>
            </w:tcMar>
          </w:tcPr>
          <w:p>
            <w:r>
              <w:rPr>
                <w:rFonts w:ascii="Arial" w:hAnsi="Arial"/>
                <w:color w:val="333333"/>
                <w:sz w:val="17"/>
              </w:rPr>
              <w:t>Ocasionalmente la notificación push tarda entre 3 a 5 segundos en llegar al celular si la red del condominio se satura.</w:t>
            </w:r>
          </w:p>
        </w:tc>
        <w:tc>
          <w:tcPr>
            <w:tcW w:type="dxa" w:w="1584"/>
            <w:shd w:fill="FFFFFF"/>
            <w:tcMar>
              <w:top w:w="80" w:type="dxa"/>
              <w:bottom w:w="80" w:type="dxa"/>
              <w:left w:w="100" w:type="dxa"/>
              <w:right w:w="100" w:type="dxa"/>
            </w:tcMar>
          </w:tcPr>
          <w:p>
            <w:r>
              <w:rPr>
                <w:rFonts w:ascii="Arial" w:hAnsi="Arial"/>
                <w:color w:val="333333"/>
                <w:sz w:val="17"/>
              </w:rPr>
              <w:t>En Investigación</w:t>
            </w:r>
          </w:p>
        </w:tc>
        <w:tc>
          <w:tcPr>
            <w:tcW w:type="dxa" w:w="2448"/>
            <w:shd w:fill="FFFFFF"/>
            <w:tcMar>
              <w:top w:w="80" w:type="dxa"/>
              <w:bottom w:w="80" w:type="dxa"/>
              <w:left w:w="100" w:type="dxa"/>
              <w:right w:w="100" w:type="dxa"/>
            </w:tcMar>
          </w:tcPr>
          <w:p>
            <w:r>
              <w:rPr>
                <w:rFonts w:ascii="Arial" w:hAnsi="Arial"/>
                <w:color w:val="333333"/>
                <w:sz w:val="17"/>
              </w:rPr>
              <w:t>Implementar un servicio de cola de mensajes ligera (Redis / Celery) en el backend Django para procesar las alertas de forma asíncrona.</w:t>
            </w:r>
          </w:p>
        </w:tc>
      </w:tr>
    </w:tbl>
    <w:p>
      <w:pPr>
        <w:spacing w:after="200"/>
      </w:pPr>
    </w:p>
    <w:p>
      <w:pPr>
        <w:keepNext/>
        <w:spacing w:before="320" w:after="120"/>
      </w:pPr>
      <w:r>
        <w:rPr>
          <w:rFonts w:ascii="Arial" w:hAnsi="Arial"/>
          <w:b/>
          <w:color w:val="1B365D"/>
          <w:sz w:val="28"/>
        </w:rPr>
        <w:t>RIESGOS ABIERTOS (OPEN RISKS)</w:t>
      </w:r>
    </w:p>
    <w:p>
      <w:pPr>
        <w:spacing w:before="0" w:after="120" w:line="276" w:lineRule="auto"/>
      </w:pPr>
      <w:r>
        <w:rPr>
          <w:rFonts w:ascii="Arial" w:hAnsi="Arial"/>
          <w:i w:val="0"/>
          <w:color w:val="333333"/>
          <w:sz w:val="20"/>
        </w:rPr>
        <w:t>Listado de riesgos monitoreados que se encuentran activos o cercanos a materializarse:</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00" w:type="dxa"/>
              <w:right w:w="100" w:type="dxa"/>
            </w:tcMar>
          </w:tcPr>
          <w:p>
            <w:r>
              <w:rPr>
                <w:rFonts w:ascii="Arial" w:hAnsi="Arial"/>
                <w:b/>
                <w:color w:val="FFFFFF"/>
                <w:sz w:val="19"/>
              </w:rPr>
              <w:t>ID / Riesgo</w:t>
            </w:r>
          </w:p>
        </w:tc>
        <w:tc>
          <w:tcPr>
            <w:tcW w:type="dxa" w:w="2340"/>
            <w:shd w:fill="1B365D"/>
            <w:tcMar>
              <w:top w:w="100" w:type="dxa"/>
              <w:bottom w:w="100" w:type="dxa"/>
              <w:left w:w="100" w:type="dxa"/>
              <w:right w:w="100" w:type="dxa"/>
            </w:tcMar>
          </w:tcPr>
          <w:p>
            <w:r>
              <w:rPr>
                <w:rFonts w:ascii="Arial" w:hAnsi="Arial"/>
                <w:b/>
                <w:color w:val="FFFFFF"/>
                <w:sz w:val="19"/>
              </w:rPr>
              <w:t>Probabilidad / Impacto</w:t>
            </w:r>
          </w:p>
        </w:tc>
        <w:tc>
          <w:tcPr>
            <w:tcW w:type="dxa" w:w="2340"/>
            <w:shd w:fill="1B365D"/>
            <w:tcMar>
              <w:top w:w="100" w:type="dxa"/>
              <w:bottom w:w="100" w:type="dxa"/>
              <w:left w:w="100" w:type="dxa"/>
              <w:right w:w="100" w:type="dxa"/>
            </w:tcMar>
          </w:tcPr>
          <w:p>
            <w:r>
              <w:rPr>
                <w:rFonts w:ascii="Arial" w:hAnsi="Arial"/>
                <w:b/>
                <w:color w:val="FFFFFF"/>
                <w:sz w:val="19"/>
              </w:rPr>
              <w:t>Estrategia de Mitigación</w:t>
            </w:r>
          </w:p>
        </w:tc>
        <w:tc>
          <w:tcPr>
            <w:tcW w:type="dxa" w:w="2340"/>
            <w:shd w:fill="1B365D"/>
            <w:tcMar>
              <w:top w:w="100" w:type="dxa"/>
              <w:bottom w:w="100" w:type="dxa"/>
              <w:left w:w="100" w:type="dxa"/>
              <w:right w:w="100" w:type="dxa"/>
            </w:tcMar>
          </w:tcPr>
          <w:p>
            <w:r>
              <w:rPr>
                <w:rFonts w:ascii="Arial" w:hAnsi="Arial"/>
                <w:b/>
                <w:color w:val="FFFFFF"/>
                <w:sz w:val="19"/>
              </w:rPr>
              <w:t>Propietario</w:t>
            </w:r>
          </w:p>
        </w:tc>
      </w:tr>
      <w:tr>
        <w:tc>
          <w:tcPr>
            <w:tcW w:type="dxa" w:w="2160"/>
            <w:shd w:fill="F4F6F9"/>
            <w:tcMar>
              <w:top w:w="80" w:type="dxa"/>
              <w:bottom w:w="80" w:type="dxa"/>
              <w:left w:w="100" w:type="dxa"/>
              <w:right w:w="100" w:type="dxa"/>
            </w:tcMar>
          </w:tcPr>
          <w:p>
            <w:r>
              <w:rPr>
                <w:rFonts w:ascii="Arial" w:hAnsi="Arial"/>
                <w:color w:val="333333"/>
                <w:sz w:val="17"/>
              </w:rPr>
              <w:t>RSK-01:</w:t>
              <w:br/>
              <w:t>Obstrucción de placas patentes</w:t>
            </w:r>
          </w:p>
        </w:tc>
        <w:tc>
          <w:tcPr>
            <w:tcW w:type="dxa" w:w="2160"/>
            <w:shd w:fill="F4F6F9"/>
            <w:tcMar>
              <w:top w:w="80" w:type="dxa"/>
              <w:bottom w:w="80" w:type="dxa"/>
              <w:left w:w="100" w:type="dxa"/>
              <w:right w:w="100" w:type="dxa"/>
            </w:tcMar>
          </w:tcPr>
          <w:p>
            <w:r>
              <w:rPr>
                <w:rFonts w:ascii="Arial" w:hAnsi="Arial"/>
                <w:color w:val="333333"/>
                <w:sz w:val="17"/>
              </w:rPr>
              <w:t>Probabilidad: Media</w:t>
              <w:br/>
              <w:t>Impacto: Alto</w:t>
            </w:r>
          </w:p>
        </w:tc>
        <w:tc>
          <w:tcPr>
            <w:tcW w:type="dxa" w:w="3168"/>
            <w:shd w:fill="F4F6F9"/>
            <w:tcMar>
              <w:top w:w="80" w:type="dxa"/>
              <w:bottom w:w="80" w:type="dxa"/>
              <w:left w:w="100" w:type="dxa"/>
              <w:right w:w="100" w:type="dxa"/>
            </w:tcMar>
          </w:tcPr>
          <w:p>
            <w:r>
              <w:rPr>
                <w:rFonts w:ascii="Arial" w:hAnsi="Arial"/>
                <w:color w:val="333333"/>
                <w:sz w:val="17"/>
              </w:rPr>
              <w:t>Establecer en la vista de conserjería la opción de validación manual rápida ante patentes ilegibles o barro en la placa.</w:t>
            </w:r>
          </w:p>
        </w:tc>
        <w:tc>
          <w:tcPr>
            <w:tcW w:type="dxa" w:w="1872"/>
            <w:shd w:fill="F4F6F9"/>
            <w:tcMar>
              <w:top w:w="80" w:type="dxa"/>
              <w:bottom w:w="80" w:type="dxa"/>
              <w:left w:w="100" w:type="dxa"/>
              <w:right w:w="100" w:type="dxa"/>
            </w:tcMar>
          </w:tcPr>
          <w:p>
            <w:r>
              <w:rPr>
                <w:rFonts w:ascii="Arial" w:hAnsi="Arial"/>
                <w:color w:val="333333"/>
                <w:sz w:val="17"/>
              </w:rPr>
              <w:t>Gabriela Antúnez (IA Lead)</w:t>
            </w:r>
          </w:p>
        </w:tc>
      </w:tr>
      <w:tr>
        <w:tc>
          <w:tcPr>
            <w:tcW w:type="dxa" w:w="2160"/>
            <w:shd w:fill="FFFFFF"/>
            <w:tcMar>
              <w:top w:w="80" w:type="dxa"/>
              <w:bottom w:w="80" w:type="dxa"/>
              <w:left w:w="100" w:type="dxa"/>
              <w:right w:w="100" w:type="dxa"/>
            </w:tcMar>
          </w:tcPr>
          <w:p>
            <w:r>
              <w:rPr>
                <w:rFonts w:ascii="Arial" w:hAnsi="Arial"/>
                <w:color w:val="333333"/>
                <w:sz w:val="17"/>
              </w:rPr>
              <w:t>RSK-02:</w:t>
              <w:br/>
              <w:t>Resistencia al cambio en conserjería</w:t>
            </w:r>
          </w:p>
        </w:tc>
        <w:tc>
          <w:tcPr>
            <w:tcW w:type="dxa" w:w="2160"/>
            <w:shd w:fill="FFFFFF"/>
            <w:tcMar>
              <w:top w:w="80" w:type="dxa"/>
              <w:bottom w:w="80" w:type="dxa"/>
              <w:left w:w="100" w:type="dxa"/>
              <w:right w:w="100" w:type="dxa"/>
            </w:tcMar>
          </w:tcPr>
          <w:p>
            <w:r>
              <w:rPr>
                <w:rFonts w:ascii="Arial" w:hAnsi="Arial"/>
                <w:color w:val="333333"/>
                <w:sz w:val="17"/>
              </w:rPr>
              <w:t>Probabilidad: Media</w:t>
              <w:br/>
              <w:t>Impacto: Moderado</w:t>
            </w:r>
          </w:p>
        </w:tc>
        <w:tc>
          <w:tcPr>
            <w:tcW w:type="dxa" w:w="3168"/>
            <w:shd w:fill="FFFFFF"/>
            <w:tcMar>
              <w:top w:w="80" w:type="dxa"/>
              <w:bottom w:w="80" w:type="dxa"/>
              <w:left w:w="100" w:type="dxa"/>
              <w:right w:w="100" w:type="dxa"/>
            </w:tcMar>
          </w:tcPr>
          <w:p>
            <w:r>
              <w:rPr>
                <w:rFonts w:ascii="Arial" w:hAnsi="Arial"/>
                <w:color w:val="333333"/>
                <w:sz w:val="17"/>
              </w:rPr>
              <w:t>Realizar capacitaciones directas y enfatizar que el sistema automatiza el trabajo sin eliminar el puesto del personal.</w:t>
            </w:r>
          </w:p>
        </w:tc>
        <w:tc>
          <w:tcPr>
            <w:tcW w:type="dxa" w:w="1872"/>
            <w:shd w:fill="FFFFFF"/>
            <w:tcMar>
              <w:top w:w="80" w:type="dxa"/>
              <w:bottom w:w="80" w:type="dxa"/>
              <w:left w:w="100" w:type="dxa"/>
              <w:right w:w="100" w:type="dxa"/>
            </w:tcMar>
          </w:tcPr>
          <w:p>
            <w:r>
              <w:rPr>
                <w:rFonts w:ascii="Arial" w:hAnsi="Arial"/>
                <w:color w:val="333333"/>
                <w:sz w:val="17"/>
              </w:rPr>
              <w:t>Ariel Oñate (Gestión / UX)</w:t>
            </w:r>
          </w:p>
        </w:tc>
      </w:tr>
    </w:tbl>
    <w:p>
      <w:pPr>
        <w:spacing w:after="200"/>
      </w:pPr>
    </w:p>
    <w:p>
      <w:pPr>
        <w:keepNext/>
        <w:spacing w:before="320" w:after="120"/>
      </w:pPr>
      <w:r>
        <w:rPr>
          <w:rFonts w:ascii="Arial" w:hAnsi="Arial"/>
          <w:b/>
          <w:color w:val="1B365D"/>
          <w:sz w:val="28"/>
        </w:rPr>
        <w:t>ENTREGABLES Y HITOS (DELIVERABLES AND MILESTONES)</w:t>
      </w:r>
    </w:p>
    <w:p>
      <w:pPr>
        <w:spacing w:before="0" w:after="120" w:line="276" w:lineRule="auto"/>
      </w:pPr>
      <w:r>
        <w:rPr>
          <w:rFonts w:ascii="Arial" w:hAnsi="Arial"/>
          <w:i w:val="0"/>
          <w:color w:val="333333"/>
          <w:sz w:val="20"/>
        </w:rPr>
        <w:t>Estado de cumplimiento de los hitos y entregables principales registrados en la Estructura de Desglose del Trabajo (EDT / WBS):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100" w:type="dxa"/>
              <w:bottom w:w="100" w:type="dxa"/>
              <w:left w:w="60" w:type="dxa"/>
              <w:right w:w="60" w:type="dxa"/>
            </w:tcMar>
          </w:tcPr>
          <w:p>
            <w:pPr>
              <w:jc w:val="center"/>
            </w:pPr>
            <w:r>
              <w:rPr>
                <w:rFonts w:ascii="Arial" w:hAnsi="Arial"/>
                <w:b/>
                <w:color w:val="FFFFFF"/>
                <w:sz w:val="17"/>
              </w:rPr>
              <w:t>Hito / Entregable</w:t>
            </w:r>
          </w:p>
        </w:tc>
        <w:tc>
          <w:tcPr>
            <w:tcW w:type="dxa" w:w="1560"/>
            <w:shd w:fill="1B365D"/>
            <w:tcMar>
              <w:top w:w="100" w:type="dxa"/>
              <w:bottom w:w="100" w:type="dxa"/>
              <w:left w:w="60" w:type="dxa"/>
              <w:right w:w="60" w:type="dxa"/>
            </w:tcMar>
          </w:tcPr>
          <w:p>
            <w:pPr>
              <w:jc w:val="center"/>
            </w:pPr>
            <w:r>
              <w:rPr>
                <w:rFonts w:ascii="Arial" w:hAnsi="Arial"/>
                <w:b/>
                <w:color w:val="FFFFFF"/>
                <w:sz w:val="17"/>
              </w:rPr>
              <w:t>EDT (WBS)</w:t>
            </w:r>
          </w:p>
        </w:tc>
        <w:tc>
          <w:tcPr>
            <w:tcW w:type="dxa" w:w="1560"/>
            <w:shd w:fill="1B365D"/>
            <w:tcMar>
              <w:top w:w="100" w:type="dxa"/>
              <w:bottom w:w="100" w:type="dxa"/>
              <w:left w:w="60" w:type="dxa"/>
              <w:right w:w="60" w:type="dxa"/>
            </w:tcMar>
          </w:tcPr>
          <w:p>
            <w:pPr>
              <w:jc w:val="center"/>
            </w:pPr>
            <w:r>
              <w:rPr>
                <w:rFonts w:ascii="Arial" w:hAnsi="Arial"/>
                <w:b/>
                <w:color w:val="FFFFFF"/>
                <w:sz w:val="17"/>
              </w:rPr>
              <w:t>Planificado</w:t>
            </w:r>
          </w:p>
        </w:tc>
        <w:tc>
          <w:tcPr>
            <w:tcW w:type="dxa" w:w="1560"/>
            <w:shd w:fill="1B365D"/>
            <w:tcMar>
              <w:top w:w="100" w:type="dxa"/>
              <w:bottom w:w="100" w:type="dxa"/>
              <w:left w:w="60" w:type="dxa"/>
              <w:right w:w="60" w:type="dxa"/>
            </w:tcMar>
          </w:tcPr>
          <w:p>
            <w:pPr>
              <w:jc w:val="center"/>
            </w:pPr>
            <w:r>
              <w:rPr>
                <w:rFonts w:ascii="Arial" w:hAnsi="Arial"/>
                <w:b/>
                <w:color w:val="FFFFFF"/>
                <w:sz w:val="17"/>
              </w:rPr>
              <w:t>Pronosticado</w:t>
            </w:r>
          </w:p>
        </w:tc>
        <w:tc>
          <w:tcPr>
            <w:tcW w:type="dxa" w:w="1560"/>
            <w:shd w:fill="1B365D"/>
            <w:tcMar>
              <w:top w:w="100" w:type="dxa"/>
              <w:bottom w:w="100" w:type="dxa"/>
              <w:left w:w="60" w:type="dxa"/>
              <w:right w:w="60" w:type="dxa"/>
            </w:tcMar>
          </w:tcPr>
          <w:p>
            <w:pPr>
              <w:jc w:val="center"/>
            </w:pPr>
            <w:r>
              <w:rPr>
                <w:rFonts w:ascii="Arial" w:hAnsi="Arial"/>
                <w:b/>
                <w:color w:val="FFFFFF"/>
                <w:sz w:val="17"/>
              </w:rPr>
              <w:t>Real</w:t>
            </w:r>
          </w:p>
        </w:tc>
        <w:tc>
          <w:tcPr>
            <w:tcW w:type="dxa" w:w="1560"/>
            <w:shd w:fill="1B365D"/>
            <w:tcMar>
              <w:top w:w="100" w:type="dxa"/>
              <w:bottom w:w="100" w:type="dxa"/>
              <w:left w:w="60" w:type="dxa"/>
              <w:right w:w="60" w:type="dxa"/>
            </w:tcMar>
          </w:tcPr>
          <w:p>
            <w:pPr>
              <w:jc w:val="center"/>
            </w:pPr>
            <w:r>
              <w:rPr>
                <w:rFonts w:ascii="Arial" w:hAnsi="Arial"/>
                <w:b/>
                <w:color w:val="FFFFFF"/>
                <w:sz w:val="17"/>
              </w:rPr>
              <w:t>Estado</w:t>
            </w:r>
          </w:p>
        </w:tc>
      </w:tr>
      <w:tr>
        <w:tc>
          <w:tcPr>
            <w:tcW w:type="dxa" w:w="3168"/>
            <w:shd w:fill="F4F6F9"/>
            <w:tcMar>
              <w:top w:w="80" w:type="dxa"/>
              <w:bottom w:w="80" w:type="dxa"/>
              <w:left w:w="60" w:type="dxa"/>
              <w:right w:w="60" w:type="dxa"/>
            </w:tcMar>
          </w:tcPr>
          <w:p>
            <w:r>
              <w:rPr>
                <w:rFonts w:ascii="Arial" w:hAnsi="Arial"/>
                <w:color w:val="333333"/>
                <w:sz w:val="16"/>
              </w:rPr>
              <w:t>Aprobación del Plan de Proyecto</w:t>
            </w:r>
          </w:p>
        </w:tc>
        <w:tc>
          <w:tcPr>
            <w:tcW w:type="dxa" w:w="1152"/>
            <w:shd w:fill="F4F6F9"/>
            <w:tcMar>
              <w:top w:w="80" w:type="dxa"/>
              <w:bottom w:w="80" w:type="dxa"/>
              <w:left w:w="60" w:type="dxa"/>
              <w:right w:w="60" w:type="dxa"/>
            </w:tcMar>
          </w:tcPr>
          <w:p>
            <w:pPr>
              <w:jc w:val="center"/>
            </w:pPr>
            <w:r>
              <w:rPr>
                <w:rFonts w:ascii="Arial" w:hAnsi="Arial"/>
                <w:color w:val="333333"/>
                <w:sz w:val="16"/>
              </w:rPr>
              <w:t>1.1</w:t>
            </w:r>
          </w:p>
        </w:tc>
        <w:tc>
          <w:tcPr>
            <w:tcW w:type="dxa" w:w="1296"/>
            <w:shd w:fill="F4F6F9"/>
            <w:tcMar>
              <w:top w:w="80" w:type="dxa"/>
              <w:bottom w:w="80" w:type="dxa"/>
              <w:left w:w="60" w:type="dxa"/>
              <w:right w:w="60" w:type="dxa"/>
            </w:tcMar>
          </w:tcPr>
          <w:p>
            <w:pPr>
              <w:jc w:val="center"/>
            </w:pPr>
            <w:r>
              <w:rPr>
                <w:rFonts w:ascii="Arial" w:hAnsi="Arial"/>
                <w:color w:val="333333"/>
                <w:sz w:val="16"/>
              </w:rPr>
              <w:t>01/08/2026</w:t>
            </w:r>
          </w:p>
        </w:tc>
        <w:tc>
          <w:tcPr>
            <w:tcW w:type="dxa" w:w="1296"/>
            <w:shd w:fill="F4F6F9"/>
            <w:tcMar>
              <w:top w:w="80" w:type="dxa"/>
              <w:bottom w:w="80" w:type="dxa"/>
              <w:left w:w="60" w:type="dxa"/>
              <w:right w:w="60" w:type="dxa"/>
            </w:tcMar>
          </w:tcPr>
          <w:p>
            <w:pPr>
              <w:jc w:val="center"/>
            </w:pPr>
            <w:r>
              <w:rPr>
                <w:rFonts w:ascii="Arial" w:hAnsi="Arial"/>
                <w:color w:val="333333"/>
                <w:sz w:val="16"/>
              </w:rPr>
              <w:t>01/08/2026</w:t>
            </w:r>
          </w:p>
        </w:tc>
        <w:tc>
          <w:tcPr>
            <w:tcW w:type="dxa" w:w="1152"/>
            <w:shd w:fill="F4F6F9"/>
            <w:tcMar>
              <w:top w:w="80" w:type="dxa"/>
              <w:bottom w:w="80" w:type="dxa"/>
              <w:left w:w="60" w:type="dxa"/>
              <w:right w:w="60" w:type="dxa"/>
            </w:tcMar>
          </w:tcPr>
          <w:p>
            <w:pPr>
              <w:jc w:val="center"/>
            </w:pPr>
            <w:r>
              <w:rPr>
                <w:rFonts w:ascii="Arial" w:hAnsi="Arial"/>
                <w:color w:val="333333"/>
                <w:sz w:val="16"/>
              </w:rPr>
              <w:t>01/08/2026</w:t>
            </w:r>
          </w:p>
        </w:tc>
        <w:tc>
          <w:tcPr>
            <w:tcW w:type="dxa" w:w="1296"/>
            <w:shd w:fill="F4F6F9"/>
            <w:tcMar>
              <w:top w:w="80" w:type="dxa"/>
              <w:bottom w:w="80" w:type="dxa"/>
              <w:left w:w="60" w:type="dxa"/>
              <w:right w:w="60" w:type="dxa"/>
            </w:tcMar>
          </w:tcPr>
          <w:p>
            <w:pPr>
              <w:jc w:val="center"/>
            </w:pPr>
            <w:r>
              <w:rPr>
                <w:rFonts w:ascii="Arial" w:hAnsi="Arial"/>
                <w:color w:val="333333"/>
                <w:sz w:val="16"/>
              </w:rPr>
              <w:t>Completado</w:t>
            </w:r>
          </w:p>
        </w:tc>
      </w:tr>
      <w:tr>
        <w:tc>
          <w:tcPr>
            <w:tcW w:type="dxa" w:w="3168"/>
            <w:shd w:fill="FFFFFF"/>
            <w:tcMar>
              <w:top w:w="80" w:type="dxa"/>
              <w:bottom w:w="80" w:type="dxa"/>
              <w:left w:w="60" w:type="dxa"/>
              <w:right w:w="60" w:type="dxa"/>
            </w:tcMar>
          </w:tcPr>
          <w:p>
            <w:r>
              <w:rPr>
                <w:rFonts w:ascii="Arial" w:hAnsi="Arial"/>
                <w:color w:val="333333"/>
                <w:sz w:val="16"/>
              </w:rPr>
              <w:t>Incremento 1: Backend Django y Gastos Comunes</w:t>
            </w:r>
          </w:p>
        </w:tc>
        <w:tc>
          <w:tcPr>
            <w:tcW w:type="dxa" w:w="1152"/>
            <w:shd w:fill="FFFFFF"/>
            <w:tcMar>
              <w:top w:w="80" w:type="dxa"/>
              <w:bottom w:w="80" w:type="dxa"/>
              <w:left w:w="60" w:type="dxa"/>
              <w:right w:w="60" w:type="dxa"/>
            </w:tcMar>
          </w:tcPr>
          <w:p>
            <w:pPr>
              <w:jc w:val="center"/>
            </w:pPr>
            <w:r>
              <w:rPr>
                <w:rFonts w:ascii="Arial" w:hAnsi="Arial"/>
                <w:color w:val="333333"/>
                <w:sz w:val="16"/>
              </w:rPr>
              <w:t>2.0</w:t>
            </w:r>
          </w:p>
        </w:tc>
        <w:tc>
          <w:tcPr>
            <w:tcW w:type="dxa" w:w="1296"/>
            <w:shd w:fill="FFFFFF"/>
            <w:tcMar>
              <w:top w:w="80" w:type="dxa"/>
              <w:bottom w:w="80" w:type="dxa"/>
              <w:left w:w="60" w:type="dxa"/>
              <w:right w:w="60" w:type="dxa"/>
            </w:tcMar>
          </w:tcPr>
          <w:p>
            <w:pPr>
              <w:jc w:val="center"/>
            </w:pPr>
            <w:r>
              <w:rPr>
                <w:rFonts w:ascii="Arial" w:hAnsi="Arial"/>
                <w:color w:val="333333"/>
                <w:sz w:val="16"/>
              </w:rPr>
              <w:t>20/08/2026</w:t>
            </w:r>
          </w:p>
        </w:tc>
        <w:tc>
          <w:tcPr>
            <w:tcW w:type="dxa" w:w="1296"/>
            <w:shd w:fill="FFFFFF"/>
            <w:tcMar>
              <w:top w:w="80" w:type="dxa"/>
              <w:bottom w:w="80" w:type="dxa"/>
              <w:left w:w="60" w:type="dxa"/>
              <w:right w:w="60" w:type="dxa"/>
            </w:tcMar>
          </w:tcPr>
          <w:p>
            <w:pPr>
              <w:jc w:val="center"/>
            </w:pPr>
            <w:r>
              <w:rPr>
                <w:rFonts w:ascii="Arial" w:hAnsi="Arial"/>
                <w:color w:val="333333"/>
                <w:sz w:val="16"/>
              </w:rPr>
              <w:t>20/08/2026</w:t>
            </w:r>
          </w:p>
        </w:tc>
        <w:tc>
          <w:tcPr>
            <w:tcW w:type="dxa" w:w="1152"/>
            <w:shd w:fill="FFFFFF"/>
            <w:tcMar>
              <w:top w:w="80" w:type="dxa"/>
              <w:bottom w:w="80" w:type="dxa"/>
              <w:left w:w="60" w:type="dxa"/>
              <w:right w:w="60" w:type="dxa"/>
            </w:tcMar>
          </w:tcPr>
          <w:p>
            <w:pPr>
              <w:jc w:val="center"/>
            </w:pPr>
            <w:r>
              <w:rPr>
                <w:rFonts w:ascii="Arial" w:hAnsi="Arial"/>
                <w:color w:val="333333"/>
                <w:sz w:val="16"/>
              </w:rPr>
              <w:t>20/08/2026</w:t>
            </w:r>
          </w:p>
        </w:tc>
        <w:tc>
          <w:tcPr>
            <w:tcW w:type="dxa" w:w="1296"/>
            <w:shd w:fill="FFFFFF"/>
            <w:tcMar>
              <w:top w:w="80" w:type="dxa"/>
              <w:bottom w:w="80" w:type="dxa"/>
              <w:left w:w="60" w:type="dxa"/>
              <w:right w:w="60" w:type="dxa"/>
            </w:tcMar>
          </w:tcPr>
          <w:p>
            <w:pPr>
              <w:jc w:val="center"/>
            </w:pPr>
            <w:r>
              <w:rPr>
                <w:rFonts w:ascii="Arial" w:hAnsi="Arial"/>
                <w:color w:val="333333"/>
                <w:sz w:val="16"/>
              </w:rPr>
              <w:t>Completado</w:t>
            </w:r>
          </w:p>
        </w:tc>
      </w:tr>
      <w:tr>
        <w:tc>
          <w:tcPr>
            <w:tcW w:type="dxa" w:w="3168"/>
            <w:shd w:fill="F4F6F9"/>
            <w:tcMar>
              <w:top w:w="80" w:type="dxa"/>
              <w:bottom w:w="80" w:type="dxa"/>
              <w:left w:w="60" w:type="dxa"/>
              <w:right w:w="60" w:type="dxa"/>
            </w:tcMar>
          </w:tcPr>
          <w:p>
            <w:r>
              <w:rPr>
                <w:rFonts w:ascii="Arial" w:hAnsi="Arial"/>
                <w:color w:val="333333"/>
                <w:sz w:val="16"/>
              </w:rPr>
              <w:t>Incremento 2: App Móvil y Pago Webpay</w:t>
            </w:r>
          </w:p>
        </w:tc>
        <w:tc>
          <w:tcPr>
            <w:tcW w:type="dxa" w:w="1152"/>
            <w:shd w:fill="F4F6F9"/>
            <w:tcMar>
              <w:top w:w="80" w:type="dxa"/>
              <w:bottom w:w="80" w:type="dxa"/>
              <w:left w:w="60" w:type="dxa"/>
              <w:right w:w="60" w:type="dxa"/>
            </w:tcMar>
          </w:tcPr>
          <w:p>
            <w:pPr>
              <w:jc w:val="center"/>
            </w:pPr>
            <w:r>
              <w:rPr>
                <w:rFonts w:ascii="Arial" w:hAnsi="Arial"/>
                <w:color w:val="333333"/>
                <w:sz w:val="16"/>
              </w:rPr>
              <w:t>3.0</w:t>
            </w:r>
          </w:p>
        </w:tc>
        <w:tc>
          <w:tcPr>
            <w:tcW w:type="dxa" w:w="1296"/>
            <w:shd w:fill="F4F6F9"/>
            <w:tcMar>
              <w:top w:w="80" w:type="dxa"/>
              <w:bottom w:w="80" w:type="dxa"/>
              <w:left w:w="60" w:type="dxa"/>
              <w:right w:w="60" w:type="dxa"/>
            </w:tcMar>
          </w:tcPr>
          <w:p>
            <w:pPr>
              <w:jc w:val="center"/>
            </w:pPr>
            <w:r>
              <w:rPr>
                <w:rFonts w:ascii="Arial" w:hAnsi="Arial"/>
                <w:color w:val="333333"/>
                <w:sz w:val="16"/>
              </w:rPr>
              <w:t>15/09/2026</w:t>
            </w:r>
          </w:p>
        </w:tc>
        <w:tc>
          <w:tcPr>
            <w:tcW w:type="dxa" w:w="1296"/>
            <w:shd w:fill="F4F6F9"/>
            <w:tcMar>
              <w:top w:w="80" w:type="dxa"/>
              <w:bottom w:w="80" w:type="dxa"/>
              <w:left w:w="60" w:type="dxa"/>
              <w:right w:w="60" w:type="dxa"/>
            </w:tcMar>
          </w:tcPr>
          <w:p>
            <w:pPr>
              <w:jc w:val="center"/>
            </w:pPr>
            <w:r>
              <w:rPr>
                <w:rFonts w:ascii="Arial" w:hAnsi="Arial"/>
                <w:color w:val="333333"/>
                <w:sz w:val="16"/>
              </w:rPr>
              <w:t>18/09/2026</w:t>
            </w:r>
          </w:p>
        </w:tc>
        <w:tc>
          <w:tcPr>
            <w:tcW w:type="dxa" w:w="1152"/>
            <w:shd w:fill="F4F6F9"/>
            <w:tcMar>
              <w:top w:w="80" w:type="dxa"/>
              <w:bottom w:w="80" w:type="dxa"/>
              <w:left w:w="60" w:type="dxa"/>
              <w:right w:w="60" w:type="dxa"/>
            </w:tcMar>
          </w:tcPr>
          <w:p>
            <w:pPr>
              <w:jc w:val="center"/>
            </w:pPr>
            <w:r>
              <w:rPr>
                <w:rFonts w:ascii="Arial" w:hAnsi="Arial"/>
                <w:color w:val="333333"/>
                <w:sz w:val="16"/>
              </w:rPr>
              <w:t>18/09/2026</w:t>
            </w:r>
          </w:p>
        </w:tc>
        <w:tc>
          <w:tcPr>
            <w:tcW w:type="dxa" w:w="1296"/>
            <w:shd w:fill="F4F6F9"/>
            <w:tcMar>
              <w:top w:w="80" w:type="dxa"/>
              <w:bottom w:w="80" w:type="dxa"/>
              <w:left w:w="60" w:type="dxa"/>
              <w:right w:w="60" w:type="dxa"/>
            </w:tcMar>
          </w:tcPr>
          <w:p>
            <w:pPr>
              <w:jc w:val="center"/>
            </w:pPr>
            <w:r>
              <w:rPr>
                <w:rFonts w:ascii="Arial" w:hAnsi="Arial"/>
                <w:color w:val="333333"/>
                <w:sz w:val="16"/>
              </w:rPr>
              <w:t>Completado</w:t>
            </w:r>
          </w:p>
        </w:tc>
      </w:tr>
      <w:tr>
        <w:tc>
          <w:tcPr>
            <w:tcW w:type="dxa" w:w="3168"/>
            <w:shd w:fill="FFFFFF"/>
            <w:tcMar>
              <w:top w:w="80" w:type="dxa"/>
              <w:bottom w:w="80" w:type="dxa"/>
              <w:left w:w="60" w:type="dxa"/>
              <w:right w:w="60" w:type="dxa"/>
            </w:tcMar>
          </w:tcPr>
          <w:p>
            <w:r>
              <w:rPr>
                <w:rFonts w:ascii="Arial" w:hAnsi="Arial"/>
                <w:color w:val="333333"/>
                <w:sz w:val="16"/>
              </w:rPr>
              <w:t>Incremento 3: Módulo IA e Integración Cámaras</w:t>
            </w:r>
          </w:p>
        </w:tc>
        <w:tc>
          <w:tcPr>
            <w:tcW w:type="dxa" w:w="1152"/>
            <w:shd w:fill="FFFFFF"/>
            <w:tcMar>
              <w:top w:w="80" w:type="dxa"/>
              <w:bottom w:w="80" w:type="dxa"/>
              <w:left w:w="60" w:type="dxa"/>
              <w:right w:w="60" w:type="dxa"/>
            </w:tcMar>
          </w:tcPr>
          <w:p>
            <w:pPr>
              <w:jc w:val="center"/>
            </w:pPr>
            <w:r>
              <w:rPr>
                <w:rFonts w:ascii="Arial" w:hAnsi="Arial"/>
                <w:color w:val="333333"/>
                <w:sz w:val="16"/>
              </w:rPr>
              <w:t>4.0</w:t>
            </w:r>
          </w:p>
        </w:tc>
        <w:tc>
          <w:tcPr>
            <w:tcW w:type="dxa" w:w="1296"/>
            <w:shd w:fill="FFFFFF"/>
            <w:tcMar>
              <w:top w:w="80" w:type="dxa"/>
              <w:bottom w:w="80" w:type="dxa"/>
              <w:left w:w="60" w:type="dxa"/>
              <w:right w:w="60" w:type="dxa"/>
            </w:tcMar>
          </w:tcPr>
          <w:p>
            <w:pPr>
              <w:jc w:val="center"/>
            </w:pPr>
            <w:r>
              <w:rPr>
                <w:rFonts w:ascii="Arial" w:hAnsi="Arial"/>
                <w:color w:val="333333"/>
                <w:sz w:val="16"/>
              </w:rPr>
              <w:t>05/10/2026</w:t>
            </w:r>
          </w:p>
        </w:tc>
        <w:tc>
          <w:tcPr>
            <w:tcW w:type="dxa" w:w="1296"/>
            <w:shd w:fill="FFFFFF"/>
            <w:tcMar>
              <w:top w:w="80" w:type="dxa"/>
              <w:bottom w:w="80" w:type="dxa"/>
              <w:left w:w="60" w:type="dxa"/>
              <w:right w:w="60" w:type="dxa"/>
            </w:tcMar>
          </w:tcPr>
          <w:p>
            <w:pPr>
              <w:jc w:val="center"/>
            </w:pPr>
            <w:r>
              <w:rPr>
                <w:rFonts w:ascii="Arial" w:hAnsi="Arial"/>
                <w:color w:val="333333"/>
                <w:sz w:val="16"/>
              </w:rPr>
              <w:t>08/10/2026</w:t>
            </w:r>
          </w:p>
        </w:tc>
        <w:tc>
          <w:tcPr>
            <w:tcW w:type="dxa" w:w="1152"/>
            <w:shd w:fill="FFFFFF"/>
            <w:tcMar>
              <w:top w:w="80" w:type="dxa"/>
              <w:bottom w:w="80" w:type="dxa"/>
              <w:left w:w="60" w:type="dxa"/>
              <w:right w:w="60" w:type="dxa"/>
            </w:tcMar>
          </w:tcPr>
          <w:p>
            <w:pPr>
              <w:jc w:val="center"/>
            </w:pPr>
            <w:r>
              <w:rPr>
                <w:rFonts w:ascii="Arial" w:hAnsi="Arial"/>
                <w:color w:val="333333"/>
                <w:sz w:val="16"/>
              </w:rPr>
              <w:t>-</w:t>
            </w:r>
          </w:p>
        </w:tc>
        <w:tc>
          <w:tcPr>
            <w:tcW w:type="dxa" w:w="1296"/>
            <w:shd w:fill="FFFFFF"/>
            <w:tcMar>
              <w:top w:w="80" w:type="dxa"/>
              <w:bottom w:w="80" w:type="dxa"/>
              <w:left w:w="60" w:type="dxa"/>
              <w:right w:w="60" w:type="dxa"/>
            </w:tcMar>
          </w:tcPr>
          <w:p>
            <w:pPr>
              <w:jc w:val="center"/>
            </w:pPr>
            <w:r>
              <w:rPr>
                <w:rFonts w:ascii="Arial" w:hAnsi="Arial"/>
                <w:color w:val="333333"/>
                <w:sz w:val="16"/>
              </w:rPr>
              <w:t>En Progreso</w:t>
            </w:r>
          </w:p>
        </w:tc>
      </w:tr>
      <w:tr>
        <w:tc>
          <w:tcPr>
            <w:tcW w:type="dxa" w:w="3168"/>
            <w:shd w:fill="F4F6F9"/>
            <w:tcMar>
              <w:top w:w="80" w:type="dxa"/>
              <w:bottom w:w="80" w:type="dxa"/>
              <w:left w:w="60" w:type="dxa"/>
              <w:right w:w="60" w:type="dxa"/>
            </w:tcMar>
          </w:tcPr>
          <w:p>
            <w:r>
              <w:rPr>
                <w:rFonts w:ascii="Arial" w:hAnsi="Arial"/>
                <w:color w:val="333333"/>
                <w:sz w:val="16"/>
              </w:rPr>
              <w:t>Prueba Piloto y Validación en Garita</w:t>
            </w:r>
          </w:p>
        </w:tc>
        <w:tc>
          <w:tcPr>
            <w:tcW w:type="dxa" w:w="1152"/>
            <w:shd w:fill="F4F6F9"/>
            <w:tcMar>
              <w:top w:w="80" w:type="dxa"/>
              <w:bottom w:w="80" w:type="dxa"/>
              <w:left w:w="60" w:type="dxa"/>
              <w:right w:w="60" w:type="dxa"/>
            </w:tcMar>
          </w:tcPr>
          <w:p>
            <w:pPr>
              <w:jc w:val="center"/>
            </w:pPr>
            <w:r>
              <w:rPr>
                <w:rFonts w:ascii="Arial" w:hAnsi="Arial"/>
                <w:color w:val="333333"/>
                <w:sz w:val="16"/>
              </w:rPr>
              <w:t>4.3</w:t>
            </w:r>
          </w:p>
        </w:tc>
        <w:tc>
          <w:tcPr>
            <w:tcW w:type="dxa" w:w="1296"/>
            <w:shd w:fill="F4F6F9"/>
            <w:tcMar>
              <w:top w:w="80" w:type="dxa"/>
              <w:bottom w:w="80" w:type="dxa"/>
              <w:left w:w="60" w:type="dxa"/>
              <w:right w:w="60" w:type="dxa"/>
            </w:tcMar>
          </w:tcPr>
          <w:p>
            <w:pPr>
              <w:jc w:val="center"/>
            </w:pPr>
            <w:r>
              <w:rPr>
                <w:rFonts w:ascii="Arial" w:hAnsi="Arial"/>
                <w:color w:val="333333"/>
                <w:sz w:val="16"/>
              </w:rPr>
              <w:t>12/10/2026</w:t>
            </w:r>
          </w:p>
        </w:tc>
        <w:tc>
          <w:tcPr>
            <w:tcW w:type="dxa" w:w="1296"/>
            <w:shd w:fill="F4F6F9"/>
            <w:tcMar>
              <w:top w:w="80" w:type="dxa"/>
              <w:bottom w:w="80" w:type="dxa"/>
              <w:left w:w="60" w:type="dxa"/>
              <w:right w:w="60" w:type="dxa"/>
            </w:tcMar>
          </w:tcPr>
          <w:p>
            <w:pPr>
              <w:jc w:val="center"/>
            </w:pPr>
            <w:r>
              <w:rPr>
                <w:rFonts w:ascii="Arial" w:hAnsi="Arial"/>
                <w:color w:val="333333"/>
                <w:sz w:val="16"/>
              </w:rPr>
              <w:t>14/10/2026</w:t>
            </w:r>
          </w:p>
        </w:tc>
        <w:tc>
          <w:tcPr>
            <w:tcW w:type="dxa" w:w="1152"/>
            <w:shd w:fill="F4F6F9"/>
            <w:tcMar>
              <w:top w:w="80" w:type="dxa"/>
              <w:bottom w:w="80" w:type="dxa"/>
              <w:left w:w="60" w:type="dxa"/>
              <w:right w:w="60" w:type="dxa"/>
            </w:tcMar>
          </w:tcPr>
          <w:p>
            <w:pPr>
              <w:jc w:val="center"/>
            </w:pPr>
            <w:r>
              <w:rPr>
                <w:rFonts w:ascii="Arial" w:hAnsi="Arial"/>
                <w:color w:val="333333"/>
                <w:sz w:val="16"/>
              </w:rPr>
              <w:t>-</w:t>
            </w:r>
          </w:p>
        </w:tc>
        <w:tc>
          <w:tcPr>
            <w:tcW w:type="dxa" w:w="1296"/>
            <w:shd w:fill="F4F6F9"/>
            <w:tcMar>
              <w:top w:w="80" w:type="dxa"/>
              <w:bottom w:w="80" w:type="dxa"/>
              <w:left w:w="60" w:type="dxa"/>
              <w:right w:w="60" w:type="dxa"/>
            </w:tcMar>
          </w:tcPr>
          <w:p>
            <w:pPr>
              <w:jc w:val="center"/>
            </w:pPr>
            <w:r>
              <w:rPr>
                <w:rFonts w:ascii="Arial" w:hAnsi="Arial"/>
                <w:color w:val="333333"/>
                <w:sz w:val="16"/>
              </w:rPr>
              <w:t>Pendiente</w:t>
            </w:r>
          </w:p>
        </w:tc>
      </w:tr>
      <w:tr>
        <w:tc>
          <w:tcPr>
            <w:tcW w:type="dxa" w:w="3168"/>
            <w:shd w:fill="FFFFFF"/>
            <w:tcMar>
              <w:top w:w="80" w:type="dxa"/>
              <w:bottom w:w="80" w:type="dxa"/>
              <w:left w:w="60" w:type="dxa"/>
              <w:right w:w="60" w:type="dxa"/>
            </w:tcMar>
          </w:tcPr>
          <w:p>
            <w:r>
              <w:rPr>
                <w:rFonts w:ascii="Arial" w:hAnsi="Arial"/>
                <w:color w:val="333333"/>
                <w:sz w:val="16"/>
              </w:rPr>
              <w:t>Defensa Académica y Entrega Final</w:t>
            </w:r>
          </w:p>
        </w:tc>
        <w:tc>
          <w:tcPr>
            <w:tcW w:type="dxa" w:w="1152"/>
            <w:shd w:fill="FFFFFF"/>
            <w:tcMar>
              <w:top w:w="80" w:type="dxa"/>
              <w:bottom w:w="80" w:type="dxa"/>
              <w:left w:w="60" w:type="dxa"/>
              <w:right w:w="60" w:type="dxa"/>
            </w:tcMar>
          </w:tcPr>
          <w:p>
            <w:pPr>
              <w:jc w:val="center"/>
            </w:pPr>
            <w:r>
              <w:rPr>
                <w:rFonts w:ascii="Arial" w:hAnsi="Arial"/>
                <w:color w:val="333333"/>
                <w:sz w:val="16"/>
              </w:rPr>
              <w:t>5.0</w:t>
            </w:r>
          </w:p>
        </w:tc>
        <w:tc>
          <w:tcPr>
            <w:tcW w:type="dxa" w:w="1296"/>
            <w:shd w:fill="FFFFFF"/>
            <w:tcMar>
              <w:top w:w="80" w:type="dxa"/>
              <w:bottom w:w="80" w:type="dxa"/>
              <w:left w:w="60" w:type="dxa"/>
              <w:right w:w="60" w:type="dxa"/>
            </w:tcMar>
          </w:tcPr>
          <w:p>
            <w:pPr>
              <w:jc w:val="center"/>
            </w:pPr>
            <w:r>
              <w:rPr>
                <w:rFonts w:ascii="Arial" w:hAnsi="Arial"/>
                <w:color w:val="333333"/>
                <w:sz w:val="16"/>
              </w:rPr>
              <w:t>20/10/2026</w:t>
            </w:r>
          </w:p>
        </w:tc>
        <w:tc>
          <w:tcPr>
            <w:tcW w:type="dxa" w:w="1296"/>
            <w:shd w:fill="FFFFFF"/>
            <w:tcMar>
              <w:top w:w="80" w:type="dxa"/>
              <w:bottom w:w="80" w:type="dxa"/>
              <w:left w:w="60" w:type="dxa"/>
              <w:right w:w="60" w:type="dxa"/>
            </w:tcMar>
          </w:tcPr>
          <w:p>
            <w:pPr>
              <w:jc w:val="center"/>
            </w:pPr>
            <w:r>
              <w:rPr>
                <w:rFonts w:ascii="Arial" w:hAnsi="Arial"/>
                <w:color w:val="333333"/>
                <w:sz w:val="16"/>
              </w:rPr>
              <w:t>20/10/2026</w:t>
            </w:r>
          </w:p>
        </w:tc>
        <w:tc>
          <w:tcPr>
            <w:tcW w:type="dxa" w:w="1152"/>
            <w:shd w:fill="FFFFFF"/>
            <w:tcMar>
              <w:top w:w="80" w:type="dxa"/>
              <w:bottom w:w="80" w:type="dxa"/>
              <w:left w:w="60" w:type="dxa"/>
              <w:right w:w="60" w:type="dxa"/>
            </w:tcMar>
          </w:tcPr>
          <w:p>
            <w:pPr>
              <w:jc w:val="center"/>
            </w:pPr>
            <w:r>
              <w:rPr>
                <w:rFonts w:ascii="Arial" w:hAnsi="Arial"/>
                <w:color w:val="333333"/>
                <w:sz w:val="16"/>
              </w:rPr>
              <w:t>-</w:t>
            </w:r>
          </w:p>
        </w:tc>
        <w:tc>
          <w:tcPr>
            <w:tcW w:type="dxa" w:w="1296"/>
            <w:shd w:fill="FFFFFF"/>
            <w:tcMar>
              <w:top w:w="80" w:type="dxa"/>
              <w:bottom w:w="80" w:type="dxa"/>
              <w:left w:w="60" w:type="dxa"/>
              <w:right w:w="60" w:type="dxa"/>
            </w:tcMar>
          </w:tcPr>
          <w:p>
            <w:pPr>
              <w:jc w:val="center"/>
            </w:pPr>
            <w:r>
              <w:rPr>
                <w:rFonts w:ascii="Arial" w:hAnsi="Arial"/>
                <w:color w:val="333333"/>
                <w:sz w:val="16"/>
              </w:rPr>
              <w:t>Pendiente</w:t>
            </w:r>
          </w:p>
        </w:tc>
      </w:tr>
    </w:tbl>
    <w:p>
      <w:pPr>
        <w:spacing w:after="200"/>
      </w:pPr>
    </w:p>
    <w:p>
      <w:pPr>
        <w:keepNext/>
        <w:spacing w:before="320" w:after="120"/>
      </w:pPr>
      <w:r>
        <w:rPr>
          <w:rFonts w:ascii="Arial" w:hAnsi="Arial"/>
          <w:b/>
          <w:color w:val="1B365D"/>
          <w:sz w:val="28"/>
        </w:rPr>
        <w:t>SOLICITUDES DE CAMBIO ABIERTAS (OPEN CHANGE REQUESTS)</w:t>
      </w:r>
    </w:p>
    <w:p>
      <w:pPr>
        <w:spacing w:before="0" w:after="120" w:line="276" w:lineRule="auto"/>
      </w:pPr>
      <w:r>
        <w:rPr>
          <w:rFonts w:ascii="Arial" w:hAnsi="Arial"/>
          <w:i w:val="0"/>
          <w:color w:val="333333"/>
          <w:sz w:val="20"/>
        </w:rPr>
        <w:t>Registro de modificaciones formales solicitadas al alcance original del proyecto:</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00" w:type="dxa"/>
              <w:right w:w="100" w:type="dxa"/>
            </w:tcMar>
          </w:tcPr>
          <w:p>
            <w:r>
              <w:rPr>
                <w:rFonts w:ascii="Arial" w:hAnsi="Arial"/>
                <w:b/>
                <w:color w:val="FFFFFF"/>
                <w:sz w:val="19"/>
              </w:rPr>
              <w:t>Nombre de la Solicitud</w:t>
            </w:r>
          </w:p>
        </w:tc>
        <w:tc>
          <w:tcPr>
            <w:tcW w:type="dxa" w:w="2340"/>
            <w:shd w:fill="1B365D"/>
            <w:tcMar>
              <w:top w:w="100" w:type="dxa"/>
              <w:bottom w:w="100" w:type="dxa"/>
              <w:left w:w="100" w:type="dxa"/>
              <w:right w:w="100" w:type="dxa"/>
            </w:tcMar>
          </w:tcPr>
          <w:p>
            <w:r>
              <w:rPr>
                <w:rFonts w:ascii="Arial" w:hAnsi="Arial"/>
                <w:b/>
                <w:color w:val="FFFFFF"/>
                <w:sz w:val="19"/>
              </w:rPr>
              <w:t>N° Solicitud</w:t>
            </w:r>
          </w:p>
        </w:tc>
        <w:tc>
          <w:tcPr>
            <w:tcW w:type="dxa" w:w="2340"/>
            <w:shd w:fill="1B365D"/>
            <w:tcMar>
              <w:top w:w="100" w:type="dxa"/>
              <w:bottom w:w="100" w:type="dxa"/>
              <w:left w:w="100" w:type="dxa"/>
              <w:right w:w="100" w:type="dxa"/>
            </w:tcMar>
          </w:tcPr>
          <w:p>
            <w:r>
              <w:rPr>
                <w:rFonts w:ascii="Arial" w:hAnsi="Arial"/>
                <w:b/>
                <w:color w:val="FFFFFF"/>
                <w:sz w:val="19"/>
              </w:rPr>
              <w:t>Fecha Solicitud</w:t>
            </w:r>
          </w:p>
        </w:tc>
        <w:tc>
          <w:tcPr>
            <w:tcW w:type="dxa" w:w="2340"/>
            <w:shd w:fill="1B365D"/>
            <w:tcMar>
              <w:top w:w="100" w:type="dxa"/>
              <w:bottom w:w="100" w:type="dxa"/>
              <w:left w:w="100" w:type="dxa"/>
              <w:right w:w="100" w:type="dxa"/>
            </w:tcMar>
          </w:tcPr>
          <w:p>
            <w:r>
              <w:rPr>
                <w:rFonts w:ascii="Arial" w:hAnsi="Arial"/>
                <w:b/>
                <w:color w:val="FFFFFF"/>
                <w:sz w:val="19"/>
              </w:rPr>
              <w:t>Estado Actual</w:t>
            </w:r>
          </w:p>
        </w:tc>
      </w:tr>
      <w:tr>
        <w:tc>
          <w:tcPr>
            <w:tcW w:type="dxa" w:w="3600"/>
            <w:shd w:fill="F4F6F9"/>
            <w:tcMar>
              <w:top w:w="80" w:type="dxa"/>
              <w:bottom w:w="80" w:type="dxa"/>
              <w:left w:w="100" w:type="dxa"/>
              <w:right w:w="100" w:type="dxa"/>
            </w:tcMar>
          </w:tcPr>
          <w:p>
            <w:r>
              <w:rPr>
                <w:rFonts w:ascii="Arial" w:hAnsi="Arial"/>
                <w:color w:val="333333"/>
                <w:sz w:val="17"/>
              </w:rPr>
              <w:t>Incorporación de Código QR para acceso de visitas</w:t>
            </w:r>
          </w:p>
        </w:tc>
        <w:tc>
          <w:tcPr>
            <w:tcW w:type="dxa" w:w="1584"/>
            <w:shd w:fill="F4F6F9"/>
            <w:tcMar>
              <w:top w:w="80" w:type="dxa"/>
              <w:bottom w:w="80" w:type="dxa"/>
              <w:left w:w="100" w:type="dxa"/>
              <w:right w:w="100" w:type="dxa"/>
            </w:tcMar>
          </w:tcPr>
          <w:p>
            <w:pPr>
              <w:jc w:val="center"/>
            </w:pPr>
            <w:r>
              <w:rPr>
                <w:rFonts w:ascii="Arial" w:hAnsi="Arial"/>
                <w:color w:val="333333"/>
                <w:sz w:val="17"/>
              </w:rPr>
              <w:t>CR-001</w:t>
            </w:r>
          </w:p>
        </w:tc>
        <w:tc>
          <w:tcPr>
            <w:tcW w:type="dxa" w:w="1728"/>
            <w:shd w:fill="F4F6F9"/>
            <w:tcMar>
              <w:top w:w="80" w:type="dxa"/>
              <w:bottom w:w="80" w:type="dxa"/>
              <w:left w:w="100" w:type="dxa"/>
              <w:right w:w="100" w:type="dxa"/>
            </w:tcMar>
          </w:tcPr>
          <w:p>
            <w:pPr>
              <w:jc w:val="center"/>
            </w:pPr>
            <w:r>
              <w:rPr>
                <w:rFonts w:ascii="Arial" w:hAnsi="Arial"/>
                <w:color w:val="333333"/>
                <w:sz w:val="17"/>
              </w:rPr>
              <w:t>28/08/2026</w:t>
            </w:r>
          </w:p>
        </w:tc>
        <w:tc>
          <w:tcPr>
            <w:tcW w:type="dxa" w:w="2448"/>
            <w:shd w:fill="F4F6F9"/>
            <w:tcMar>
              <w:top w:w="80" w:type="dxa"/>
              <w:bottom w:w="80" w:type="dxa"/>
              <w:left w:w="100" w:type="dxa"/>
              <w:right w:w="100" w:type="dxa"/>
            </w:tcMar>
          </w:tcPr>
          <w:p>
            <w:r>
              <w:rPr>
                <w:rFonts w:ascii="Arial" w:hAnsi="Arial"/>
                <w:color w:val="333333"/>
                <w:sz w:val="17"/>
              </w:rPr>
              <w:t>Aprobado e Incorporado</w:t>
            </w:r>
          </w:p>
        </w:tc>
      </w:tr>
      <w:tr>
        <w:tc>
          <w:tcPr>
            <w:tcW w:type="dxa" w:w="3600"/>
            <w:shd w:fill="FFFFFF"/>
            <w:tcMar>
              <w:top w:w="80" w:type="dxa"/>
              <w:bottom w:w="80" w:type="dxa"/>
              <w:left w:w="100" w:type="dxa"/>
              <w:right w:w="100" w:type="dxa"/>
            </w:tcMar>
          </w:tcPr>
          <w:p>
            <w:r>
              <w:rPr>
                <w:rFonts w:ascii="Arial" w:hAnsi="Arial"/>
                <w:color w:val="333333"/>
                <w:sz w:val="17"/>
              </w:rPr>
              <w:t>Integración de Notificaciones Push asíncronas</w:t>
            </w:r>
          </w:p>
        </w:tc>
        <w:tc>
          <w:tcPr>
            <w:tcW w:type="dxa" w:w="1584"/>
            <w:shd w:fill="FFFFFF"/>
            <w:tcMar>
              <w:top w:w="80" w:type="dxa"/>
              <w:bottom w:w="80" w:type="dxa"/>
              <w:left w:w="100" w:type="dxa"/>
              <w:right w:w="100" w:type="dxa"/>
            </w:tcMar>
          </w:tcPr>
          <w:p>
            <w:pPr>
              <w:jc w:val="center"/>
            </w:pPr>
            <w:r>
              <w:rPr>
                <w:rFonts w:ascii="Arial" w:hAnsi="Arial"/>
                <w:color w:val="333333"/>
                <w:sz w:val="17"/>
              </w:rPr>
              <w:t>CR-002</w:t>
            </w:r>
          </w:p>
        </w:tc>
        <w:tc>
          <w:tcPr>
            <w:tcW w:type="dxa" w:w="1728"/>
            <w:shd w:fill="FFFFFF"/>
            <w:tcMar>
              <w:top w:w="80" w:type="dxa"/>
              <w:bottom w:w="80" w:type="dxa"/>
              <w:left w:w="100" w:type="dxa"/>
              <w:right w:w="100" w:type="dxa"/>
            </w:tcMar>
          </w:tcPr>
          <w:p>
            <w:pPr>
              <w:jc w:val="center"/>
            </w:pPr>
            <w:r>
              <w:rPr>
                <w:rFonts w:ascii="Arial" w:hAnsi="Arial"/>
                <w:color w:val="333333"/>
                <w:sz w:val="17"/>
              </w:rPr>
              <w:t>10/09/2026</w:t>
            </w:r>
          </w:p>
        </w:tc>
        <w:tc>
          <w:tcPr>
            <w:tcW w:type="dxa" w:w="2448"/>
            <w:shd w:fill="FFFFFF"/>
            <w:tcMar>
              <w:top w:w="80" w:type="dxa"/>
              <w:bottom w:w="80" w:type="dxa"/>
              <w:left w:w="100" w:type="dxa"/>
              <w:right w:w="100" w:type="dxa"/>
            </w:tcMar>
          </w:tcPr>
          <w:p>
            <w:r>
              <w:rPr>
                <w:rFonts w:ascii="Arial" w:hAnsi="Arial"/>
                <w:color w:val="333333"/>
                <w:sz w:val="17"/>
              </w:rPr>
              <w:t>En Revisión por Profesor Guía</w:t>
            </w:r>
          </w:p>
        </w:tc>
      </w:tr>
    </w:tbl>
    <w:p>
      <w:pPr>
        <w:spacing w:after="200"/>
      </w:pPr>
    </w:p>
    <w:p>
      <w:pPr>
        <w:keepNext/>
        <w:spacing w:before="320" w:after="120"/>
      </w:pPr>
      <w:r>
        <w:rPr>
          <w:rFonts w:ascii="Arial" w:hAnsi="Arial"/>
          <w:b/>
          <w:color w:val="1B365D"/>
          <w:sz w:val="28"/>
        </w:rPr>
        <w:t>INDICADORES CLAVE DE RENDIMIENTO (KEY PERFORMANCE INDICATORS - KPIs)</w:t>
      </w:r>
    </w:p>
    <w:p>
      <w:pPr>
        <w:spacing w:before="0" w:after="120" w:line="276" w:lineRule="auto"/>
      </w:pPr>
      <w:r>
        <w:rPr>
          <w:rFonts w:ascii="Arial" w:hAnsi="Arial"/>
          <w:i w:val="0"/>
          <w:color w:val="333333"/>
          <w:sz w:val="20"/>
        </w:rPr>
        <w:t>Evaluación del desempeño del proyecto mediante métricas estándar de Valor Ganado (Earned Value Management - EVM):</w:t>
      </w:r>
    </w:p>
    <w:tbl>
      <w:tblPr>
        <w:tblW w:type="auto" w:w="0"/>
        <w:jc w:val="center"/>
        <w:tblLook w:firstColumn="1" w:firstRow="1" w:lastColumn="0" w:lastRow="0" w:noHBand="0" w:noVBand="1" w:val="04A0"/>
      </w:tblPr>
      <w:tblGrid>
        <w:gridCol w:w="9360"/>
      </w:tblGrid>
      <w:tr>
        <w:tc>
          <w:tcPr>
            <w:tcW w:type="dxa" w:w="9360"/>
            <w:shd w:fill="F0F4F8"/>
            <w:tcBorders>
              <w:left w:val="single" w:sz="36" w:space="0" w:color="1B365D"/>
              <w:top w:val="none"/>
              <w:bottom w:val="none"/>
              <w:right w:val="none"/>
            </w:tcBorders>
            <w:tcMar>
              <w:top w:w="140" w:type="dxa"/>
              <w:bottom w:w="140" w:type="dxa"/>
              <w:left w:w="200" w:type="dxa"/>
              <w:right w:w="200" w:type="dxa"/>
            </w:tcMar>
          </w:tcPr>
          <w:p>
            <w:pPr>
              <w:spacing w:before="0" w:after="40" w:line="276" w:lineRule="auto"/>
            </w:pPr>
            <w:r>
              <w:rPr>
                <w:rFonts w:ascii="Arial" w:hAnsi="Arial"/>
                <w:b/>
                <w:color w:val="1B365D"/>
                <w:sz w:val="21"/>
              </w:rPr>
              <w:t>RESUMEN DE MÉTRICAS EVM</w:t>
              <w:br/>
            </w:r>
            <w:r>
              <w:rPr>
                <w:rFonts w:ascii="Arial" w:hAnsi="Arial"/>
                <w:color w:val="333333"/>
                <w:sz w:val="19"/>
              </w:rPr>
              <w:t>Cronograma (Schedule): El proyecto se encuentra ligeramente por detrás del cronograma planificado (SPI = 0.96), equivalente a una variación de tiempo (SV) de -$240.000 CLP en trabajo relativo no ejecutado aún en la calibración nocturna de la IA.</w:t>
              <w:br/>
              <w:br/>
              <w:t>Costos (Cost): El proyecto se mantiene estrictamente dentro del presupuesto asignado (CPI = 1.03), generando una variación de costo positiva (CV) de +$180.000 CLP gracias a la optimización de recursos de infraestructura cloud de desarrollo.</w:t>
            </w:r>
          </w:p>
        </w:tc>
      </w:tr>
    </w:tbl>
    <w:p>
      <w:pPr>
        <w:spacing w:before="0" w:after="80"/>
      </w:pPr>
    </w:p>
    <w:p>
      <w:pPr>
        <w:keepNext/>
        <w:spacing w:before="240" w:after="80"/>
      </w:pPr>
      <w:r>
        <w:rPr>
          <w:rFonts w:ascii="Arial" w:hAnsi="Arial"/>
          <w:b/>
          <w:color w:val="4B6B94"/>
          <w:sz w:val="23"/>
        </w:rPr>
        <w:t>Métricas de Cronograma (Schedule Performance)</w:t>
      </w:r>
    </w:p>
    <w:p>
      <w:pPr>
        <w:pStyle w:val="ListBullet"/>
        <w:spacing w:before="0" w:after="60" w:line="276" w:lineRule="auto"/>
      </w:pPr>
      <w:r>
        <w:rPr>
          <w:rFonts w:ascii="Arial" w:hAnsi="Arial"/>
          <w:b/>
          <w:color w:val="333333"/>
          <w:sz w:val="20"/>
        </w:rPr>
        <w:t xml:space="preserve">Variación del Cronograma (SV): -$240,000 CLP </w:t>
      </w:r>
      <w:r>
        <w:rPr>
          <w:rFonts w:ascii="Arial" w:hAnsi="Arial"/>
          <w:color w:val="333333"/>
          <w:sz w:val="20"/>
        </w:rPr>
        <w:t>Variables acumuladas de avance: Valor Ganado (EV) = $5,760,000 CLP vs. Valor Planificado (PV) = $6,000,000 CLP.</w:t>
      </w:r>
    </w:p>
    <w:p>
      <w:pPr>
        <w:pStyle w:val="ListBullet"/>
        <w:spacing w:before="0" w:after="60" w:line="276" w:lineRule="auto"/>
      </w:pPr>
      <w:r>
        <w:rPr>
          <w:rFonts w:ascii="Arial" w:hAnsi="Arial"/>
          <w:b/>
          <w:color w:val="333333"/>
          <w:sz w:val="20"/>
        </w:rPr>
        <w:t xml:space="preserve">Índice de Desempeño del Cronograma (SPI): 0.96 </w:t>
      </w:r>
      <w:r>
        <w:rPr>
          <w:rFonts w:ascii="Arial" w:hAnsi="Arial"/>
          <w:color w:val="333333"/>
          <w:sz w:val="20"/>
        </w:rPr>
        <w:t>Indica que se ha ejecutado el 96% del trabajo que estaba programado para esta fecha. Un valor cercano a 1.00 confirma una desviación menor y controlable.</w:t>
      </w:r>
    </w:p>
    <w:p>
      <w:pPr>
        <w:keepNext/>
        <w:spacing w:before="240" w:after="80"/>
      </w:pPr>
      <w:r>
        <w:rPr>
          <w:rFonts w:ascii="Arial" w:hAnsi="Arial"/>
          <w:b/>
          <w:color w:val="4B6B94"/>
          <w:sz w:val="23"/>
        </w:rPr>
        <w:t>Métricas de Costo (Cost Performance)</w:t>
      </w:r>
    </w:p>
    <w:p>
      <w:pPr>
        <w:pStyle w:val="ListBullet"/>
        <w:spacing w:before="0" w:after="60" w:line="276" w:lineRule="auto"/>
      </w:pPr>
      <w:r>
        <w:rPr>
          <w:rFonts w:ascii="Arial" w:hAnsi="Arial"/>
          <w:b/>
          <w:color w:val="333333"/>
          <w:sz w:val="20"/>
        </w:rPr>
        <w:t xml:space="preserve">Variación del Costo (CV): +$180,000 CLP </w:t>
      </w:r>
      <w:r>
        <w:rPr>
          <w:rFonts w:ascii="Arial" w:hAnsi="Arial"/>
          <w:color w:val="333333"/>
          <w:sz w:val="20"/>
        </w:rPr>
        <w:t>Diferencia entre el valor del trabajo realizado y el costo real incurrido: Valor Ganado (EV) = $5,760,000 CLP vs. Costo Real (AC) = $5,580,000 CLP.</w:t>
      </w:r>
    </w:p>
    <w:p>
      <w:pPr>
        <w:pStyle w:val="ListBullet"/>
        <w:spacing w:before="0" w:after="60" w:line="276" w:lineRule="auto"/>
      </w:pPr>
      <w:r>
        <w:rPr>
          <w:rFonts w:ascii="Arial" w:hAnsi="Arial"/>
          <w:b/>
          <w:color w:val="333333"/>
          <w:sz w:val="20"/>
        </w:rPr>
        <w:t xml:space="preserve">Índice de Desempeño del Costo (CPI): 1.03 </w:t>
      </w:r>
      <w:r>
        <w:rPr>
          <w:rFonts w:ascii="Arial" w:hAnsi="Arial"/>
          <w:color w:val="333333"/>
          <w:sz w:val="20"/>
        </w:rPr>
        <w:t>Indica que por cada $1.00 CLP invertido, se ha generado $1.03 CLP en valor de software entregado, lo que demuestra alta eficiencia financiera.</w:t>
      </w:r>
    </w:p>
    <w:p>
      <w:pPr>
        <w:spacing w:after="320"/>
      </w:pPr>
    </w:p>
    <w:p>
      <w:r>
        <w:rPr>
          <w:color w:val="646464"/>
        </w:rPr>
        <w:t>___________________________________________</w:t>
        <w:br/>
      </w:r>
      <w:r>
        <w:rPr>
          <w:b/>
          <w:color w:val="1B365D"/>
          <w:sz w:val="20"/>
        </w:rPr>
        <w:t>Gabriela Antúnez &amp; Ariel Oñate</w:t>
        <w:br/>
      </w:r>
      <w:r>
        <w:rPr>
          <w:sz w:val="18"/>
        </w:rPr>
        <w:t>Líderes de Proyecto LifeBetter AIoT</w:t>
        <w:br/>
        <w:t>Duoc UC - Sección 002_V1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