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/>
          <w:color w:val="1B365D"/>
          <w:sz w:val="44"/>
        </w:rPr>
        <w:t>ESTRATEGIA DE GESTIÓN DE STAKEHOLDERS</w:t>
      </w:r>
    </w:p>
    <w:p>
      <w:pPr>
        <w:spacing w:before="0" w:after="320"/>
        <w:jc w:val="center"/>
      </w:pPr>
      <w:r>
        <w:rPr>
          <w:rFonts w:ascii="Arial" w:hAnsi="Arial"/>
          <w:b/>
          <w:color w:val="4B6B94"/>
          <w:sz w:val="24"/>
        </w:rPr>
        <w:t>Proyecto LifeBetter AIoT – Plataforma Inteligente de Gestión Inmobiliaria y Control de Accesos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Proyecto:</w:t>
            </w:r>
          </w:p>
        </w:tc>
        <w:tc>
          <w:tcPr>
            <w:tcW w:type="dxa" w:w="61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LifeBetter AIoT (Módulo Admin Django + App Móvil + Visión por Computador)</w:t>
            </w:r>
          </w:p>
        </w:tc>
      </w:tr>
      <w:tr>
        <w:tc>
          <w:tcPr>
            <w:tcW w:type="dxa" w:w="3168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Institución / Organización: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Duoc UC – Escuela de Informática y Telecomunicaciones</w:t>
            </w:r>
          </w:p>
        </w:tc>
      </w:tr>
      <w:tr>
        <w:tc>
          <w:tcPr>
            <w:tcW w:type="dxa" w:w="3168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Integrantes / Desarrolladores:</w:t>
            </w:r>
          </w:p>
        </w:tc>
        <w:tc>
          <w:tcPr>
            <w:tcW w:type="dxa" w:w="61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Gabriela Antúnez y Ariel Oñate</w:t>
            </w:r>
          </w:p>
        </w:tc>
      </w:tr>
      <w:tr>
        <w:tc>
          <w:tcPr>
            <w:tcW w:type="dxa" w:w="3168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Profesor Guía / Evaluador: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Luis Alberto Bravo Yanes</w:t>
            </w:r>
          </w:p>
        </w:tc>
      </w:tr>
      <w:tr>
        <w:tc>
          <w:tcPr>
            <w:tcW w:type="dxa" w:w="3168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Fecha de Entrega:</w:t>
            </w:r>
          </w:p>
        </w:tc>
        <w:tc>
          <w:tcPr>
            <w:tcW w:type="dxa" w:w="6192"/>
            <w:shd w:fill="F4F6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12 de Septiembre de 2026</w:t>
            </w:r>
          </w:p>
        </w:tc>
      </w:tr>
      <w:tr>
        <w:tc>
          <w:tcPr>
            <w:tcW w:type="dxa" w:w="3168"/>
            <w:shd w:fill="1B365D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9"/>
              </w:rPr>
              <w:t>Sigla / Sección: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333333"/>
                <w:sz w:val="19"/>
              </w:rPr>
              <w:t>002_V1</w:t>
            </w:r>
          </w:p>
        </w:tc>
      </w:tr>
    </w:tbl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Borders>
              <w:left w:val="single" w:sz="36" w:space="0" w:color="1B365D"/>
              <w:top w:val="none"/>
              <w:bottom w:val="none"/>
              <w:right w:val="none"/>
            </w:tcBorders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spacing w:before="0" w:after="40" w:line="276" w:lineRule="auto"/>
            </w:pPr>
            <w:r>
              <w:rPr>
                <w:rFonts w:ascii="Arial" w:hAnsi="Arial"/>
                <w:b/>
                <w:color w:val="1B365D"/>
                <w:sz w:val="21"/>
              </w:rPr>
              <w:t>RESUMEN EJECUTIVO DEL PLAN DE STAKEHOLDERS</w:t>
              <w:br/>
            </w:r>
            <w:r>
              <w:rPr>
                <w:rFonts w:ascii="Arial" w:hAnsi="Arial"/>
                <w:color w:val="333333"/>
                <w:sz w:val="19"/>
              </w:rPr>
              <w:t>Este documento establece el marco estratégico para la identificación, clasificación, análisis e involucramiento de todas las partes interesadas (stakeholders) del proyecto LifeBetter. Garantizar una comunicación efectiva y gestionar las expectativas de administradores, copropietarios, conserjes y evaluadores académicos es fundamental para el éxito operativo y la adopción tecnológica del sistema.</w:t>
            </w:r>
          </w:p>
        </w:tc>
      </w:tr>
    </w:tbl>
    <w:p>
      <w:pPr>
        <w:spacing w:before="0" w:after="80"/>
      </w:pP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28"/>
        </w:rPr>
        <w:t>1. INTRODUCCIÓN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333333"/>
          <w:sz w:val="20"/>
        </w:rPr>
        <w:t>El proyecto LifeBetter surge como una respuesta integral a la problemática recurrente que enfrentan las administraciones de condominios y edificios residenciales en materia de eficiencia administrativa, transparencia financiera y seguridad en los accesos vehiculares.</w:t>
      </w:r>
    </w:p>
    <w:p>
      <w:pPr>
        <w:keepNext/>
        <w:spacing w:before="240" w:after="80"/>
      </w:pPr>
      <w:r>
        <w:rPr>
          <w:rFonts w:ascii="Arial" w:hAnsi="Arial"/>
          <w:b/>
          <w:color w:val="4B6B94"/>
          <w:sz w:val="23"/>
        </w:rPr>
        <w:t>Contexto y Diagnóstico del Problema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333333"/>
          <w:sz w:val="20"/>
        </w:rPr>
        <w:t>Actualmente, la gestión de la mayoría de los condominios se ejecuta mediante métodos tradicionales e ineficientes que generan vulnerabilidades operativas y descontento entre los copropietarios: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Gastos Comunes Ineficientes: </w:t>
      </w:r>
      <w:r>
        <w:rPr>
          <w:rFonts w:ascii="Arial" w:hAnsi="Arial"/>
          <w:color w:val="333333"/>
          <w:sz w:val="20"/>
        </w:rPr>
        <w:t>El cálculo e historial de cobros se efectúa en planillas de cálculo locales (Excel), propensas a errores humanos y falta de auditoría.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Comunicaciones Deficientes: </w:t>
      </w:r>
      <w:r>
        <w:rPr>
          <w:rFonts w:ascii="Arial" w:hAnsi="Arial"/>
          <w:color w:val="333333"/>
          <w:sz w:val="20"/>
        </w:rPr>
        <w:t>Cobros entregados físicamente en papel, con alto costo de impresión y extravío de comprobantes.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Coordinación Informal: </w:t>
      </w:r>
      <w:r>
        <w:rPr>
          <w:rFonts w:ascii="Arial" w:hAnsi="Arial"/>
          <w:color w:val="333333"/>
          <w:sz w:val="20"/>
        </w:rPr>
        <w:t>Coordinación e información crítica difundida mediante grupos informales de mensajería sin respaldo ni formalidad.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Control de Acceso Vulnerable: </w:t>
      </w:r>
      <w:r>
        <w:rPr>
          <w:rFonts w:ascii="Arial" w:hAnsi="Arial"/>
          <w:color w:val="333333"/>
          <w:sz w:val="20"/>
        </w:rPr>
        <w:t>Registros manuscritos en bitácoras de papel por parte del conserje, propiciando demoras e ingresos no autorizados.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Reservas Caóticas: </w:t>
      </w:r>
      <w:r>
        <w:rPr>
          <w:rFonts w:ascii="Arial" w:hAnsi="Arial"/>
          <w:color w:val="333333"/>
          <w:sz w:val="20"/>
        </w:rPr>
        <w:t>Superposición y disputas en la reserva de quinchos y salas de eventos por falta de un sistema en tiempo real.</w:t>
      </w:r>
    </w:p>
    <w:p>
      <w:pPr>
        <w:keepNext/>
        <w:spacing w:before="240" w:after="80"/>
      </w:pPr>
      <w:r>
        <w:rPr>
          <w:rFonts w:ascii="Arial" w:hAnsi="Arial"/>
          <w:b/>
          <w:color w:val="4B6B94"/>
          <w:sz w:val="23"/>
        </w:rPr>
        <w:t>Solución Propuesta: Sistema LifeBetter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333333"/>
          <w:sz w:val="20"/>
        </w:rPr>
        <w:t>Para solucionar estos nudos críticos, LifeBetter articula un ecosistema tecnológico compuesto por tres pilares operativamente integrados: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1. Módulo Administrativo Django: </w:t>
      </w:r>
      <w:r>
        <w:rPr>
          <w:rFonts w:ascii="Arial" w:hAnsi="Arial"/>
          <w:color w:val="333333"/>
          <w:sz w:val="20"/>
        </w:rPr>
        <w:t>Backend web robusto para la administración centralizada, automatización del cálculo de gastos comunes, emisión de reportes financieros claros, gestión de proveedores y control de usuarios.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2. App Móvil de Residentes: </w:t>
      </w:r>
      <w:r>
        <w:rPr>
          <w:rFonts w:ascii="Arial" w:hAnsi="Arial"/>
          <w:color w:val="333333"/>
          <w:sz w:val="20"/>
        </w:rPr>
        <w:t>Aplicación nativa/híbrida para la consulta transparente de saldos, pagos vía pasarela Webpay, reserva en línea de espacios comunes, generación de accesos QR y recepción de alertas.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3. Módulo IA de Visión por Computador: </w:t>
      </w:r>
      <w:r>
        <w:rPr>
          <w:rFonts w:ascii="Arial" w:hAnsi="Arial"/>
          <w:color w:val="333333"/>
          <w:sz w:val="20"/>
        </w:rPr>
        <w:t>Reconocimiento automatizado de matrículas vehiculares (ANPR) en accesos principales mediante cámaras IP de alta definición (1080p con visión nocturna infrarroja). Procesamiento en milisegundos que registra fecha/hora y gatilla alertas instantáneas en la app móvil del residente.</w:t>
      </w:r>
    </w:p>
    <w:p>
      <w:pPr>
        <w:keepNext/>
        <w:spacing w:before="240" w:after="80"/>
      </w:pPr>
      <w:r>
        <w:rPr>
          <w:rFonts w:ascii="Arial" w:hAnsi="Arial"/>
          <w:b/>
          <w:color w:val="4B6B94"/>
          <w:sz w:val="23"/>
        </w:rPr>
        <w:t>Propósito de la Estrategia de Gestión de Stakeholders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333333"/>
          <w:sz w:val="20"/>
        </w:rPr>
        <w:t>El propósito fundamental de esta estrategia es asegurar que todos los involucrados clave sean identificados oportunamente y participen activamente según su nivel de poder e interés. Una adecuada gestión de stakeholders nos permite anticipar resistencias al cambio (especialmente en la transición a la IA y cobro digital), mitigar riesgos de usabilidad y asegurar que las entregas funcionales satisfagan plenamente tanto los estándares de la comunidad residencial como los requerimientos académicos del curso.</w:t>
      </w: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28"/>
        </w:rPr>
        <w:t>2. IDENTIFICACIÓN DE STAKEHOLDERS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333333"/>
          <w:sz w:val="20"/>
        </w:rPr>
        <w:t>La identificación exhaustiva de stakeholders previene sorpresas durante la fase de despliegue. Un interesado no contemplado al inicio puede introducir retrasos significativos o rechazar el producto al final del ciclo de vida del software.</w:t>
      </w:r>
    </w:p>
    <w:p>
      <w:pPr>
        <w:keepNext/>
        <w:spacing w:before="240" w:after="80"/>
      </w:pPr>
      <w:r>
        <w:rPr>
          <w:rFonts w:ascii="Arial" w:hAnsi="Arial"/>
          <w:b/>
          <w:color w:val="4B6B94"/>
          <w:sz w:val="23"/>
        </w:rPr>
        <w:t>Metodología de Identificación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333333"/>
          <w:sz w:val="20"/>
        </w:rPr>
        <w:t>El equipo de proyecto (Gabriela Antúnez y Ariel Oñate) llevó a cabo una sesión de lluvia de ideas estructurada en dos etapas: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Fase Interna (Académica): </w:t>
      </w:r>
      <w:r>
        <w:rPr>
          <w:rFonts w:ascii="Arial" w:hAnsi="Arial"/>
          <w:color w:val="333333"/>
          <w:sz w:val="20"/>
        </w:rPr>
        <w:t>Análisis de roles de la Escuela de Informática y Telecomunicaciones de Duoc UC, incluyendo al Profesor Guía evaluador y a los mismos desarrolladores.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Fase Externa (Operativa): </w:t>
      </w:r>
      <w:r>
        <w:rPr>
          <w:rFonts w:ascii="Arial" w:hAnsi="Arial"/>
          <w:color w:val="333333"/>
          <w:sz w:val="20"/>
        </w:rPr>
        <w:t>Evaluación del ecosistema del condominio, considerando administradores, integrantes del comité de administración, copropietarios, arrendatarios, conserjes, guardias de seguridad y proveedores de hardware/servicios.</w:t>
      </w:r>
    </w:p>
    <w:p>
      <w:pPr>
        <w:keepNext/>
        <w:spacing w:before="240" w:after="80"/>
      </w:pPr>
      <w:r>
        <w:rPr>
          <w:rFonts w:ascii="Arial" w:hAnsi="Arial"/>
          <w:b/>
          <w:color w:val="4B6B94"/>
          <w:sz w:val="23"/>
        </w:rPr>
        <w:t>Criterios de Inclusión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333333"/>
          <w:sz w:val="20"/>
        </w:rPr>
        <w:t>Para determinar si un individuo o entidad debe incorporarse en el Registro de Stakeholders de LifeBetter, se aplicaron los 5 criterios del marco formal de gestión de proyectos: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1. Impacto Directo/Indirecto: </w:t>
      </w:r>
      <w:r>
        <w:rPr>
          <w:rFonts w:ascii="Arial" w:hAnsi="Arial"/>
          <w:color w:val="333333"/>
          <w:sz w:val="20"/>
        </w:rPr>
        <w:t>¿La persona u organización se verá directamente afectada por el funcionamiento de LifeBetter?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2. Capacidad de Influencia: </w:t>
      </w:r>
      <w:r>
        <w:rPr>
          <w:rFonts w:ascii="Arial" w:hAnsi="Arial"/>
          <w:color w:val="333333"/>
          <w:sz w:val="20"/>
        </w:rPr>
        <w:t>¿Posee autoridad o posición formal para aprobar, evaluar o bloquear el proyecto?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3. Control de Recursos: </w:t>
      </w:r>
      <w:r>
        <w:rPr>
          <w:rFonts w:ascii="Arial" w:hAnsi="Arial"/>
          <w:color w:val="333333"/>
          <w:sz w:val="20"/>
        </w:rPr>
        <w:t>¿Tiene impacto en la asignación de financiamiento, hardware (cámaras IP), infraestructura o tiempo de trabajo?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4. Competencias Específicas: </w:t>
      </w:r>
      <w:r>
        <w:rPr>
          <w:rFonts w:ascii="Arial" w:hAnsi="Arial"/>
          <w:color w:val="333333"/>
          <w:sz w:val="20"/>
        </w:rPr>
        <w:t>¿Aporta conocimientos operativos de conserjería, administración contable o evaluación técnica de software?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5. Beneficio o Resistencia: </w:t>
      </w:r>
      <w:r>
        <w:rPr>
          <w:rFonts w:ascii="Arial" w:hAnsi="Arial"/>
          <w:color w:val="333333"/>
          <w:sz w:val="20"/>
        </w:rPr>
        <w:t>¿Se beneficia directamente con la automatización o, por el contrario, presenta un riesgo potencial de resistencia al cambio?</w:t>
      </w: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28"/>
        </w:rPr>
        <w:t>3. STAKEHOLDERS CLAVE (KEY STAKEHOLDERS)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333333"/>
          <w:sz w:val="20"/>
        </w:rPr>
        <w:t>Los Stakeholders Clave representan el subconjunto de interesados con el mayor poder de decisión sobre el éxito del proyecto o que experimentan el mayor impacto directo en sus actividades diarias. Requieren el nivel más alto de comunicación y monitoreo continuo.</w:t>
      </w:r>
    </w:p>
    <w:p>
      <w:pPr>
        <w:keepNext/>
        <w:spacing w:before="240" w:after="80"/>
      </w:pPr>
      <w:r>
        <w:rPr>
          <w:rFonts w:ascii="Arial" w:hAnsi="Arial"/>
          <w:b/>
          <w:color w:val="4B6B94"/>
          <w:sz w:val="23"/>
        </w:rPr>
        <w:t>Identificación de Stakeholders Clave en LifeBetter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Administrador del Condominio y Comité: </w:t>
      </w:r>
      <w:r>
        <w:rPr>
          <w:rFonts w:ascii="Arial" w:hAnsi="Arial"/>
          <w:color w:val="333333"/>
          <w:sz w:val="20"/>
        </w:rPr>
        <w:t>Representa a la entidad cliente. Requiere que la plataforma garantice precisión contable, disminución de la morosidad y facilidad en la rendición de cuentas a la comunidad.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Residentes y Copropietarios: </w:t>
      </w:r>
      <w:r>
        <w:rPr>
          <w:rFonts w:ascii="Arial" w:hAnsi="Arial"/>
          <w:color w:val="333333"/>
          <w:sz w:val="20"/>
        </w:rPr>
        <w:t>Son los usuarios finales de la App Móvil. Su adopción de la aplicación determina el éxito operativo de las reservas de quinchos y de las notificaciones de accesos por IA.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Personal de Conserjería y Seguridad: </w:t>
      </w:r>
      <w:r>
        <w:rPr>
          <w:rFonts w:ascii="Arial" w:hAnsi="Arial"/>
          <w:color w:val="333333"/>
          <w:sz w:val="20"/>
        </w:rPr>
        <w:t>Operan la garita de acceso vehicular. Es vital que perciban la IA como una herramienta que facilita su trabajo eliminando la bitácora manual en papel y no como una amenaza a su labor.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Profesor Guía (Luis Alberto Bravo Yanes): </w:t>
      </w:r>
      <w:r>
        <w:rPr>
          <w:rFonts w:ascii="Arial" w:hAnsi="Arial"/>
          <w:color w:val="333333"/>
          <w:sz w:val="20"/>
        </w:rPr>
        <w:t>Define la validez académica, la rigurosidad arquitectónica en Django y el cumplimiento de la metodología incremental del proyecto.</w:t>
      </w:r>
    </w:p>
    <w:p>
      <w:pPr>
        <w:keepNext/>
        <w:spacing w:before="240" w:after="80"/>
      </w:pPr>
      <w:r>
        <w:rPr>
          <w:rFonts w:ascii="Arial" w:hAnsi="Arial"/>
          <w:b/>
          <w:color w:val="4B6B94"/>
          <w:sz w:val="23"/>
        </w:rPr>
        <w:t>Plan de Participación y Retroalimentación por Incrementos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333333"/>
          <w:sz w:val="20"/>
        </w:rPr>
        <w:t>Para asegurar la alineación constante con los stakeholders clave, el proyecto adoptará un desarrollo incremental dividido en 3 etapas funcionales: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Incremento</w:t>
            </w:r>
          </w:p>
        </w:tc>
        <w:tc>
          <w:tcPr>
            <w:tcW w:type="dxa" w:w="312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Entregables Funcionales</w:t>
            </w:r>
          </w:p>
        </w:tc>
        <w:tc>
          <w:tcPr>
            <w:tcW w:type="dxa" w:w="3120"/>
            <w:shd w:fill="1B365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Estrategia de Retroalimentación con Stakeholders</w:t>
            </w:r>
          </w:p>
        </w:tc>
      </w:tr>
      <w:tr>
        <w:tc>
          <w:tcPr>
            <w:tcW w:type="dxa" w:w="312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INCREMENTO 1:</w:t>
              <w:br/>
              <w:t>Django Backend Base</w:t>
            </w:r>
          </w:p>
        </w:tc>
        <w:tc>
          <w:tcPr>
            <w:tcW w:type="dxa" w:w="312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Módulo central de gastos comunes, roles de usuario, cálculo automatizado de cobros y emisión de reportes.</w:t>
            </w:r>
          </w:p>
        </w:tc>
        <w:tc>
          <w:tcPr>
            <w:tcW w:type="dxa" w:w="312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Reunión de demostración con Administrador y Profesor Guía para validar la lógica contable y estructura de base de datos.</w:t>
            </w:r>
          </w:p>
        </w:tc>
      </w:tr>
      <w:tr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INCREMENTO 2:</w:t>
              <w:br/>
              <w:t>App para Residentes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Aplicación móvil para consulta de saldos, pagos vía Webpay, reserva de quinchos y autorizaciones QR.</w:t>
            </w:r>
          </w:p>
        </w:tc>
        <w:tc>
          <w:tcPr>
            <w:tcW w:type="dxa" w:w="312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Pruebas de usabilidad (UX/UI) con una muestra de residentes para validar la navegación del menú y flujo de pago.</w:t>
            </w:r>
          </w:p>
        </w:tc>
      </w:tr>
      <w:tr>
        <w:tc>
          <w:tcPr>
            <w:tcW w:type="dxa" w:w="312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INCREMENTO 3:</w:t>
              <w:br/>
              <w:t>Módulo IA y Cámaras</w:t>
            </w:r>
          </w:p>
        </w:tc>
        <w:tc>
          <w:tcPr>
            <w:tcW w:type="dxa" w:w="312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Integración de visión por computador, reconocimiento automatizado de patentes y notificaciones push en tiempo real.</w:t>
            </w:r>
          </w:p>
        </w:tc>
        <w:tc>
          <w:tcPr>
            <w:tcW w:type="dxa" w:w="312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Prueba piloto en garita de acceso con Conserjería y demostración final del sistema completo ante el Profesor Evaluador.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28"/>
        </w:rPr>
        <w:t>4. ANÁLISIS DE STAKEHOLDERS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333333"/>
          <w:sz w:val="20"/>
        </w:rPr>
        <w:t>Para operacionalizar la gestión de interesados, evaluamos a cada actor mediante la relación entre su Nivel de Poder (autoridad de decisión) y su Nivel de Interés (impacto o relevancia asignada al proyecto), utilizando una escala cualitativa y cuantitativa de 1 a 5.</w:t>
      </w:r>
    </w:p>
    <w:p>
      <w:pPr>
        <w:keepNext/>
        <w:spacing w:before="240" w:after="80"/>
      </w:pPr>
      <w:r>
        <w:rPr>
          <w:rFonts w:ascii="Arial" w:hAnsi="Arial"/>
          <w:b/>
          <w:color w:val="4B6B94"/>
          <w:sz w:val="23"/>
        </w:rPr>
        <w:t>Matriz de Evaluación de Poder e Interés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Clave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Organización / Rol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Nombre del Stakeholder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Poder (1-5)</w:t>
            </w:r>
          </w:p>
        </w:tc>
        <w:tc>
          <w:tcPr>
            <w:tcW w:type="dxa" w:w="1872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Interés (1-5)</w:t>
            </w:r>
          </w:p>
        </w:tc>
      </w:tr>
      <w:tr>
        <w:tc>
          <w:tcPr>
            <w:tcW w:type="dxa" w:w="86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A</w:t>
            </w:r>
          </w:p>
        </w:tc>
        <w:tc>
          <w:tcPr>
            <w:tcW w:type="dxa" w:w="28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Operaciones / Garita</w:t>
            </w:r>
          </w:p>
        </w:tc>
        <w:tc>
          <w:tcPr>
            <w:tcW w:type="dxa" w:w="360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Personal de Conserjería y Seguridad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2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4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B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Administración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Administrador y Comité del Condominio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5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5</w:t>
            </w:r>
          </w:p>
        </w:tc>
      </w:tr>
      <w:tr>
        <w:tc>
          <w:tcPr>
            <w:tcW w:type="dxa" w:w="86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C</w:t>
            </w:r>
          </w:p>
        </w:tc>
        <w:tc>
          <w:tcPr>
            <w:tcW w:type="dxa" w:w="28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Proveedores Hardware</w:t>
            </w:r>
          </w:p>
        </w:tc>
        <w:tc>
          <w:tcPr>
            <w:tcW w:type="dxa" w:w="360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Proveedor de Cámaras IP / Redes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1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2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D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Pasarela de Pagos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Servicio Webpay / Transbank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1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2</w:t>
            </w:r>
          </w:p>
        </w:tc>
      </w:tr>
      <w:tr>
        <w:tc>
          <w:tcPr>
            <w:tcW w:type="dxa" w:w="86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E</w:t>
            </w:r>
          </w:p>
        </w:tc>
        <w:tc>
          <w:tcPr>
            <w:tcW w:type="dxa" w:w="28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Comunidad Residencial</w:t>
            </w:r>
          </w:p>
        </w:tc>
        <w:tc>
          <w:tcPr>
            <w:tcW w:type="dxa" w:w="360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Residentes y Copropietarios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4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5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F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Evaluación Académica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Profesor Guía (Luis Alberto Bravo Yanes)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5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3</w:t>
            </w:r>
          </w:p>
        </w:tc>
      </w:tr>
      <w:tr>
        <w:tc>
          <w:tcPr>
            <w:tcW w:type="dxa" w:w="86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G</w:t>
            </w:r>
          </w:p>
        </w:tc>
        <w:tc>
          <w:tcPr>
            <w:tcW w:type="dxa" w:w="288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Equipo Técnico</w:t>
            </w:r>
          </w:p>
        </w:tc>
        <w:tc>
          <w:tcPr>
            <w:tcW w:type="dxa" w:w="360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8"/>
              </w:rPr>
              <w:t>Equipo Desarrollador (Gabriela y Ariel)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4</w:t>
            </w:r>
          </w:p>
        </w:tc>
        <w:tc>
          <w:tcPr>
            <w:tcW w:type="dxa" w:w="1152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5</w:t>
            </w:r>
          </w:p>
        </w:tc>
      </w:tr>
    </w:tbl>
    <w:p>
      <w:pPr>
        <w:spacing w:after="240"/>
      </w:pPr>
    </w:p>
    <w:p>
      <w:pPr>
        <w:keepNext/>
        <w:spacing w:before="240" w:after="80"/>
      </w:pPr>
      <w:r>
        <w:rPr>
          <w:rFonts w:ascii="Arial" w:hAnsi="Arial"/>
          <w:b/>
          <w:color w:val="4B6B94"/>
          <w:sz w:val="23"/>
        </w:rPr>
        <w:t>Análisis por Cuadrantes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Mínimo Esfuerzo (Stakeholders C, D): </w:t>
      </w:r>
      <w:r>
        <w:rPr>
          <w:rFonts w:ascii="Arial" w:hAnsi="Arial"/>
          <w:color w:val="333333"/>
          <w:sz w:val="20"/>
        </w:rPr>
        <w:t>Ubicados en el cuadrante inferior izquierdo (Bajo Poder, Bajo Interés). Requieren un esfuerzo mínimo de gestión, limitándose a la verificación de compatibilidad técnica e integración de APIs.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Mantener Satisfecho (Stakeholder F): </w:t>
      </w:r>
      <w:r>
        <w:rPr>
          <w:rFonts w:ascii="Arial" w:hAnsi="Arial"/>
          <w:color w:val="333333"/>
          <w:sz w:val="20"/>
        </w:rPr>
        <w:t>Ubicado en el cuadrante superior izquierdo (Alto Poder, Bajo/Moderado Interés en el día a día operativo). Se debe asegurar que las entregas académicas, documentación y rúbricas se cumplan estrictamente según el calendario.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Mantener Informado (Stakeholder A): </w:t>
      </w:r>
      <w:r>
        <w:rPr>
          <w:rFonts w:ascii="Arial" w:hAnsi="Arial"/>
          <w:color w:val="333333"/>
          <w:sz w:val="20"/>
        </w:rPr>
        <w:t>Ubicados en el cuadrante inferior derecho (Bajo Poder, Alto Interés). Se les mantiene informados continuamente mediante capacitaciones y actualizaciones sobre el uso de la garita con IA para garantizar un despliegue sin fricciones.</w:t>
      </w:r>
    </w:p>
    <w:p>
      <w:pPr>
        <w:pStyle w:val="ListBullet"/>
        <w:spacing w:before="0" w:after="60" w:line="276" w:lineRule="auto"/>
      </w:pPr>
      <w:r>
        <w:rPr>
          <w:rFonts w:ascii="Arial" w:hAnsi="Arial"/>
          <w:b/>
          <w:color w:val="333333"/>
          <w:sz w:val="20"/>
        </w:rPr>
        <w:t xml:space="preserve">Jugadores Clave / Key Players (Stakeholders B, E, G): </w:t>
      </w:r>
      <w:r>
        <w:rPr>
          <w:rFonts w:ascii="Arial" w:hAnsi="Arial"/>
          <w:color w:val="333333"/>
          <w:sz w:val="20"/>
        </w:rPr>
        <w:t>Ubicados en el cuadrante superior derecho (Alto Poder, Alto Interés). Son los verdaderos 'Key Players'. Deben participar de forma activa e intensiva en todas las decisiones clave, diseño de interfaces y pruebas operativas.</w:t>
      </w:r>
    </w:p>
    <w:p>
      <w:pPr>
        <w:keepNext/>
        <w:spacing w:before="240" w:after="80"/>
      </w:pPr>
      <w:r>
        <w:rPr>
          <w:rFonts w:ascii="Arial" w:hAnsi="Arial"/>
          <w:b/>
          <w:color w:val="4B6B94"/>
          <w:sz w:val="23"/>
        </w:rPr>
        <w:t>Matriz Detallada de Estrategia y Comunicación con Stakeholders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Stakeholder</w:t>
            </w:r>
          </w:p>
        </w:tc>
        <w:tc>
          <w:tcPr>
            <w:tcW w:type="dxa" w:w="234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Preocupaciones e Inquietudes Principales</w:t>
            </w:r>
          </w:p>
        </w:tc>
        <w:tc>
          <w:tcPr>
            <w:tcW w:type="dxa" w:w="234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Cuadrante</w:t>
            </w:r>
          </w:p>
        </w:tc>
        <w:tc>
          <w:tcPr>
            <w:tcW w:type="dxa" w:w="2340"/>
            <w:shd w:fill="1B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Estrategia de Gestión y Comunicación</w:t>
            </w:r>
          </w:p>
        </w:tc>
      </w:tr>
      <w:tr>
        <w:tc>
          <w:tcPr>
            <w:tcW w:type="dxa" w:w="216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A: Personal de Conserjería</w:t>
            </w:r>
          </w:p>
        </w:tc>
        <w:tc>
          <w:tcPr>
            <w:tcW w:type="dxa" w:w="316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Temor a ser reemplazados por la IA o dificultad para operar el software si no es intuitivo.</w:t>
            </w:r>
          </w:p>
        </w:tc>
        <w:tc>
          <w:tcPr>
            <w:tcW w:type="dxa" w:w="15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Mantener Informado</w:t>
            </w:r>
          </w:p>
        </w:tc>
        <w:tc>
          <w:tcPr>
            <w:tcW w:type="dxa" w:w="316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Capacitación práctica en el uso de la interfaz web. Demostrar que la IA es un asistente que elimina la bitácora manual en papel.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B: Administrador y Comité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Transparencia financiera, cobros exactos de gastos comunes y reducción efectiva de la morosidad.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Jugador Clave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Participación directa en la especificación del módulo Django. Emisión automatizada de reportes financieros claros en PDF y auditorías.</w:t>
            </w:r>
          </w:p>
        </w:tc>
      </w:tr>
      <w:tr>
        <w:tc>
          <w:tcPr>
            <w:tcW w:type="dxa" w:w="216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C: Proveedor Cámaras IP</w:t>
            </w:r>
          </w:p>
        </w:tc>
        <w:tc>
          <w:tcPr>
            <w:tcW w:type="dxa" w:w="316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Garantizar que las especificaciones de hardware soporten el flujo de streaming de video.</w:t>
            </w:r>
          </w:p>
        </w:tc>
        <w:tc>
          <w:tcPr>
            <w:tcW w:type="dxa" w:w="15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Mínimo Esfuerzo</w:t>
            </w:r>
          </w:p>
        </w:tc>
        <w:tc>
          <w:tcPr>
            <w:tcW w:type="dxa" w:w="316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Definición previa de requisitos técnicos (resolución 1080p, visión nocturna infrarroja y protocolo RTSP/ONVIF).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D: Pasarela Webpay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Cumplimiento de estándares de seguridad en transacciones electrónicas de dinero.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Mínimo Esfuerzo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Integración mediante SDK/API oficial de Webpay en entorno de pruebas (sandbox) y posterior homologación a producción.</w:t>
            </w:r>
          </w:p>
        </w:tc>
      </w:tr>
      <w:tr>
        <w:tc>
          <w:tcPr>
            <w:tcW w:type="dxa" w:w="216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E: Residentes y Copropietarios</w:t>
            </w:r>
          </w:p>
        </w:tc>
        <w:tc>
          <w:tcPr>
            <w:tcW w:type="dxa" w:w="316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Exactitud en sus cuentas de cobro, disponibilidad de reservas de quinchos y seguridad en accesos.</w:t>
            </w:r>
          </w:p>
        </w:tc>
        <w:tc>
          <w:tcPr>
            <w:tcW w:type="dxa" w:w="15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Jugador Clave</w:t>
            </w:r>
          </w:p>
        </w:tc>
        <w:tc>
          <w:tcPr>
            <w:tcW w:type="dxa" w:w="316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Lanzamiento de App Móvil con notificaciones push instantáneas al ingresar vehículos y generación fácil de códigos QR para visitas.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F: Profesor Guía (Luis Bravo)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Cumplimiento riguroso de la metodología incremental, arquitectura en Django y calidad de la entrega.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Mantener Satisfecho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Reportes semanales de avance, entregas formales de minutas de reunión, arquitectura UML y demostraciones funcionales por hito.</w:t>
            </w:r>
          </w:p>
        </w:tc>
      </w:tr>
      <w:tr>
        <w:tc>
          <w:tcPr>
            <w:tcW w:type="dxa" w:w="2160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G: Equipo Desarrollador</w:t>
            </w:r>
          </w:p>
        </w:tc>
        <w:tc>
          <w:tcPr>
            <w:tcW w:type="dxa" w:w="316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Carga de trabajo, complejidad del modelo de visión por computador y tiempos de desarrollo.</w:t>
            </w:r>
          </w:p>
        </w:tc>
        <w:tc>
          <w:tcPr>
            <w:tcW w:type="dxa" w:w="1584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Jugador Clave</w:t>
            </w:r>
          </w:p>
        </w:tc>
        <w:tc>
          <w:tcPr>
            <w:tcW w:type="dxa" w:w="3168"/>
            <w:shd w:fill="F4F6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333333"/>
                <w:sz w:val="17"/>
              </w:rPr>
              <w:t>Reuniones diarias de coordinación (standups), división clara de responsabilidades (Gabriela: Backend/IA; Ariel: Frontend/Procesos).</w:t>
            </w:r>
          </w:p>
        </w:tc>
      </w:tr>
    </w:tbl>
    <w:p>
      <w:pPr>
        <w:spacing w:after="320"/>
      </w:pPr>
    </w:p>
    <w:p>
      <w:pPr>
        <w:keepNext/>
        <w:spacing w:before="360" w:after="120"/>
      </w:pPr>
      <w:r>
        <w:rPr>
          <w:rFonts w:ascii="Arial" w:hAnsi="Arial"/>
          <w:b/>
          <w:color w:val="1B365D"/>
          <w:sz w:val="28"/>
        </w:rPr>
        <w:t>5. APROBACIÓN Y ACEPTACIÓN DEL PATROCINADOR</w:t>
      </w:r>
    </w:p>
    <w:p>
      <w:pPr>
        <w:spacing w:before="0" w:after="120" w:line="276" w:lineRule="auto"/>
      </w:pPr>
      <w:r>
        <w:rPr>
          <w:rFonts w:ascii="Arial" w:hAnsi="Arial"/>
          <w:i w:val="0"/>
          <w:color w:val="333333"/>
          <w:sz w:val="20"/>
        </w:rPr>
        <w:t>El presente documento de Estrategia de Gestión de Stakeholders ha sido formalmente revisado y aprobado por el Profesor Guía evaluador del proyecto LifeBetter AIoT, certificando que la planificación de interesados cumple con todos los estándares académicos e institucionales exigidos.</w:t>
      </w:r>
    </w:p>
    <w:p>
      <w:pPr>
        <w:spacing w:after="4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</w:tcPr>
          <w:p>
            <w:r>
              <w:rPr>
                <w:color w:val="646464"/>
              </w:rPr>
              <w:t>___________________________________________</w:t>
              <w:br/>
            </w:r>
            <w:r>
              <w:rPr>
                <w:b/>
                <w:color w:val="1B365D"/>
                <w:sz w:val="20"/>
              </w:rPr>
              <w:t>Luis Alberto Bravo Yanes</w:t>
              <w:br/>
            </w:r>
            <w:r>
              <w:rPr>
                <w:sz w:val="18"/>
              </w:rPr>
              <w:t>Profesor Guía / Evaluador de Proyecto Capstone</w:t>
              <w:br/>
              <w:t>Escuela de Informática y Telecomunicaciones</w:t>
              <w:br/>
              <w:t>Duoc UC</w:t>
            </w:r>
          </w:p>
        </w:tc>
        <w:tc>
          <w:tcPr>
            <w:tcW w:type="dxa" w:w="4608"/>
          </w:tcPr>
          <w:p>
            <w:r>
              <w:rPr>
                <w:color w:val="646464"/>
              </w:rPr>
              <w:t>___________________________________________</w:t>
              <w:br/>
            </w:r>
            <w:r>
              <w:rPr>
                <w:b/>
                <w:color w:val="1B365D"/>
                <w:sz w:val="20"/>
              </w:rPr>
              <w:t>Gabriela Antúnez &amp; Ariel Oñate</w:t>
              <w:br/>
            </w:r>
            <w:r>
              <w:rPr>
                <w:sz w:val="18"/>
              </w:rPr>
              <w:t>Equipo Desarrollador del Proyecto LifeBetter</w:t>
              <w:br/>
              <w:t>Estudiantes de Ingeniería / Técnico en Informática</w:t>
              <w:br/>
              <w:t>Duoc UC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Fecha de Aprobación: _____ / _____ / 2026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Fecha de Firma: _____ / _____ / 2026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