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proofErr w:type="spellStart"/>
      <w:r w:rsidRPr="0056051B">
        <w:rPr>
          <w:sz w:val="32"/>
          <w:szCs w:val="32"/>
        </w:rPr>
        <w:t>Presentors</w:t>
      </w:r>
      <w:proofErr w:type="spellEnd"/>
      <w:r>
        <w:rPr>
          <w:sz w:val="32"/>
          <w:szCs w:val="32"/>
        </w:rPr>
        <w:t>:</w:t>
      </w:r>
    </w:p>
    <w:p w:rsidR="0056051B" w:rsidRDefault="0056051B" w:rsidP="0056051B">
      <w:pPr>
        <w:bidi w:val="0"/>
        <w:jc w:val="center"/>
        <w:rPr>
          <w:sz w:val="32"/>
          <w:szCs w:val="32"/>
        </w:rPr>
      </w:pPr>
      <w:r>
        <w:rPr>
          <w:sz w:val="32"/>
          <w:szCs w:val="32"/>
        </w:rPr>
        <w:t>Elad Sapir 209479948</w:t>
      </w:r>
    </w:p>
    <w:p w:rsidR="0056051B" w:rsidRDefault="0056051B" w:rsidP="0056051B">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Pr>
          <w:sz w:val="32"/>
          <w:szCs w:val="32"/>
        </w:rPr>
        <w:t xml:space="preserve"> 316160167</w:t>
      </w:r>
    </w:p>
    <w:p w:rsidR="0056051B" w:rsidRDefault="0056051B" w:rsidP="0056051B">
      <w:pPr>
        <w:bidi w:val="0"/>
        <w:jc w:val="center"/>
        <w:rPr>
          <w:sz w:val="32"/>
          <w:szCs w:val="32"/>
        </w:rPr>
      </w:pPr>
      <w:r>
        <w:rPr>
          <w:sz w:val="32"/>
          <w:szCs w:val="32"/>
        </w:rPr>
        <w:t xml:space="preserve">Solal </w:t>
      </w:r>
      <w:proofErr w:type="spellStart"/>
      <w:r>
        <w:rPr>
          <w:sz w:val="32"/>
          <w:szCs w:val="32"/>
        </w:rPr>
        <w:t>Ohana</w:t>
      </w:r>
      <w:proofErr w:type="spellEnd"/>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AF358B" w:rsidRPr="00597B03" w:rsidRDefault="00AF358B" w:rsidP="00AF358B">
      <w:pPr>
        <w:bidi w:val="0"/>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56051B" w:rsidRDefault="0056051B" w:rsidP="0056051B">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Pr="00597B03" w:rsidRDefault="00597B03" w:rsidP="00597B03">
      <w:pPr>
        <w:bidi w:val="0"/>
        <w:jc w:val="center"/>
        <w:rPr>
          <w:b/>
          <w:bCs/>
          <w:sz w:val="28"/>
          <w:szCs w:val="28"/>
          <w:u w:val="single"/>
        </w:rPr>
      </w:pPr>
      <w:r w:rsidRPr="00597B03">
        <w:rPr>
          <w:b/>
          <w:bCs/>
          <w:sz w:val="28"/>
          <w:szCs w:val="28"/>
          <w:u w:val="single"/>
        </w:rPr>
        <w:lastRenderedPageBreak/>
        <w:t>Abstract</w:t>
      </w:r>
    </w:p>
    <w:p w:rsidR="00597B03" w:rsidRPr="00597B03" w:rsidRDefault="00597B03" w:rsidP="00597B03">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sidR="00D61BD0">
        <w:rPr>
          <w:sz w:val="28"/>
          <w:szCs w:val="28"/>
        </w:rPr>
        <w:t xml:space="preserve"> risk</w:t>
      </w:r>
      <w:r w:rsidRPr="00597B03">
        <w:rPr>
          <w:sz w:val="28"/>
          <w:szCs w:val="28"/>
        </w:rPr>
        <w:t>.</w:t>
      </w:r>
    </w:p>
    <w:p w:rsidR="00597B03" w:rsidRPr="00597B03" w:rsidRDefault="00597B03" w:rsidP="00597B03">
      <w:pPr>
        <w:bidi w:val="0"/>
        <w:rPr>
          <w:sz w:val="28"/>
          <w:szCs w:val="28"/>
          <w:rtl/>
        </w:rPr>
      </w:pPr>
      <w:r w:rsidRPr="00597B03">
        <w:rPr>
          <w:sz w:val="28"/>
          <w:szCs w:val="28"/>
        </w:rPr>
        <w:t xml:space="preserve">Our results show that both KNN and SVM are effective in predicting credit risk, with KNN achieving an accuracy </w:t>
      </w:r>
      <w:r w:rsidRPr="00D61BD0">
        <w:rPr>
          <w:sz w:val="28"/>
          <w:szCs w:val="28"/>
          <w:highlight w:val="yellow"/>
        </w:rPr>
        <w:t>of X%</w:t>
      </w:r>
      <w:r w:rsidRPr="00597B03">
        <w:rPr>
          <w:sz w:val="28"/>
          <w:szCs w:val="28"/>
        </w:rPr>
        <w:t xml:space="preserve"> and SVM achieving an accuracy </w:t>
      </w:r>
      <w:r w:rsidRPr="00D61BD0">
        <w:rPr>
          <w:sz w:val="28"/>
          <w:szCs w:val="28"/>
          <w:highlight w:val="yellow"/>
        </w:rPr>
        <w:t>of Y%.</w:t>
      </w:r>
      <w:r w:rsidRPr="00597B03">
        <w:rPr>
          <w:sz w:val="28"/>
          <w:szCs w:val="28"/>
        </w:rPr>
        <w:t xml:space="preserve"> However, </w:t>
      </w:r>
      <w:r w:rsidRPr="00D61BD0">
        <w:rPr>
          <w:sz w:val="28"/>
          <w:szCs w:val="28"/>
          <w:highlight w:val="yellow"/>
        </w:rPr>
        <w:t>we found that SVM outperformed KNN in terms of precision and recall, with a precision of Z% and a recall of W%.</w:t>
      </w:r>
    </w:p>
    <w:p w:rsidR="00597B03" w:rsidRDefault="00597B03" w:rsidP="00597B03">
      <w:pPr>
        <w:bidi w:val="0"/>
        <w:rPr>
          <w:sz w:val="28"/>
          <w:szCs w:val="28"/>
        </w:rPr>
      </w:pPr>
      <w:r w:rsidRPr="00597B03">
        <w:rPr>
          <w:sz w:val="28"/>
          <w:szCs w:val="28"/>
        </w:rPr>
        <w:t>Overall, our work highlights the potential of KNN and SVM for credit risk assessment and demonstrates the importance of considering multiple machine learning algorithms in this task. The results of this study have implications for financial institutions seeking to improve their credit risk assessment processes.</w:t>
      </w: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2B3400">
        <w:rPr>
          <w:sz w:val="28"/>
          <w:szCs w:val="28"/>
        </w:rPr>
        <w:t>Automation: Classification algorithms can be used to automate the risk assessment process, making it faster and more efficient.</w:t>
      </w:r>
    </w:p>
    <w:p w:rsidR="002B3400" w:rsidRPr="002B3400" w:rsidRDefault="002B3400" w:rsidP="002B3400">
      <w:pPr>
        <w:bidi w:val="0"/>
        <w:rPr>
          <w:sz w:val="28"/>
          <w:szCs w:val="28"/>
          <w:rtl/>
        </w:rPr>
      </w:pPr>
      <w:r w:rsidRPr="002B3400">
        <w:rPr>
          <w:sz w:val="28"/>
          <w:szCs w:val="28"/>
        </w:rPr>
        <w:t>Scalability: Classification algorithms can handle large datasets, making them well-suited for tasks involving a large number of businesses.</w:t>
      </w:r>
      <w:r>
        <w:rPr>
          <w:sz w:val="28"/>
          <w:szCs w:val="28"/>
          <w:rtl/>
        </w:rPr>
        <w:br/>
      </w:r>
      <w:r w:rsidRPr="002B3400">
        <w:rPr>
          <w:sz w:val="28"/>
          <w:szCs w:val="28"/>
        </w:rPr>
        <w:lastRenderedPageBreak/>
        <w:t>Accuracy: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2B3400">
        <w:rPr>
          <w:sz w:val="28"/>
          <w:szCs w:val="28"/>
        </w:rPr>
        <w:t>Flexibility: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1E6130" w:rsidRDefault="0023669D" w:rsidP="00BB51E6">
      <w:pPr>
        <w:bidi w:val="0"/>
        <w:jc w:val="center"/>
        <w:rPr>
          <w:sz w:val="28"/>
          <w:szCs w:val="28"/>
        </w:rPr>
      </w:pPr>
      <w:r w:rsidRPr="0023669D">
        <w:rPr>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sz w:val="28"/>
          <w:szCs w:val="28"/>
        </w:rPr>
        <w:drawing>
          <wp:inline distT="0" distB="0" distL="0" distR="0" wp14:anchorId="4D915F4C" wp14:editId="30B808DA">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62730"/>
                    </a:xfrm>
                    <a:prstGeom prst="rect">
                      <a:avLst/>
                    </a:prstGeom>
                  </pic:spPr>
                </pic:pic>
              </a:graphicData>
            </a:graphic>
          </wp:inline>
        </w:drawing>
      </w:r>
    </w:p>
    <w:p w:rsidR="006A57F6" w:rsidRDefault="006A57F6" w:rsidP="006A57F6">
      <w:pPr>
        <w:pStyle w:val="af5"/>
        <w:bidi w:val="0"/>
        <w:rPr>
          <w:sz w:val="22"/>
          <w:szCs w:val="22"/>
        </w:rPr>
      </w:pPr>
    </w:p>
    <w:p w:rsidR="006A57F6" w:rsidRPr="006A57F6" w:rsidRDefault="006A57F6" w:rsidP="006A57F6">
      <w:pPr>
        <w:pStyle w:val="af5"/>
        <w:numPr>
          <w:ilvl w:val="0"/>
          <w:numId w:val="5"/>
        </w:numPr>
        <w:bidi w:val="0"/>
        <w:rPr>
          <w:sz w:val="22"/>
          <w:szCs w:val="22"/>
        </w:rPr>
      </w:pPr>
      <w:r>
        <w:rPr>
          <w:sz w:val="22"/>
          <w:szCs w:val="22"/>
        </w:rPr>
        <w:t>All the details are explained</w:t>
      </w:r>
      <w:r w:rsidRPr="006A57F6">
        <w:rPr>
          <w:sz w:val="22"/>
          <w:szCs w:val="22"/>
        </w:rPr>
        <w:t xml:space="preserve"> below</w:t>
      </w:r>
    </w:p>
    <w:p w:rsidR="006A57F6" w:rsidRDefault="006A57F6" w:rsidP="006A57F6">
      <w:pPr>
        <w:bidi w:val="0"/>
        <w:jc w:val="center"/>
        <w:rPr>
          <w:sz w:val="28"/>
          <w:szCs w:val="28"/>
        </w:rPr>
      </w:pPr>
    </w:p>
    <w:p w:rsidR="006A57F6" w:rsidRDefault="006A57F6" w:rsidP="006A57F6">
      <w:pPr>
        <w:bidi w:val="0"/>
        <w:jc w:val="center"/>
        <w:rPr>
          <w:sz w:val="28"/>
          <w:szCs w:val="28"/>
        </w:rPr>
      </w:pPr>
    </w:p>
    <w:p w:rsidR="006A57F6" w:rsidRDefault="006A57F6" w:rsidP="006A57F6">
      <w:pPr>
        <w:bidi w:val="0"/>
        <w:jc w:val="center"/>
        <w:rPr>
          <w:sz w:val="28"/>
          <w:szCs w:val="28"/>
        </w:rPr>
      </w:pPr>
    </w:p>
    <w:p w:rsidR="006A57F6" w:rsidRDefault="006A57F6" w:rsidP="006A57F6">
      <w:pPr>
        <w:bidi w:val="0"/>
        <w:rPr>
          <w:sz w:val="28"/>
          <w:szCs w:val="28"/>
        </w:rPr>
      </w:pPr>
      <w:r w:rsidRPr="006A57F6">
        <w:rPr>
          <w:sz w:val="28"/>
          <w:szCs w:val="28"/>
        </w:rPr>
        <w:lastRenderedPageBreak/>
        <w:t>The KNN algorithm starts at (0,0), then goes to (0.68,0.833)</w:t>
      </w:r>
      <w:r>
        <w:rPr>
          <w:sz w:val="28"/>
          <w:szCs w:val="28"/>
        </w:rPr>
        <w:t>,</w:t>
      </w:r>
      <w:r w:rsidRPr="006A57F6">
        <w:rPr>
          <w:sz w:val="28"/>
          <w:szCs w:val="28"/>
        </w:rPr>
        <w:t xml:space="preserve"> and finally reaches (1,1), which means that as the threshold for classification increases the False </w:t>
      </w:r>
      <w:r>
        <w:rPr>
          <w:sz w:val="28"/>
          <w:szCs w:val="28"/>
        </w:rPr>
        <w:t>Positive rate decrease and the t</w:t>
      </w:r>
      <w:r w:rsidRPr="006A57F6">
        <w:rPr>
          <w:sz w:val="28"/>
          <w:szCs w:val="28"/>
        </w:rPr>
        <w:t xml:space="preserve">rue positive rate increase, at the end both </w:t>
      </w:r>
      <w:r>
        <w:rPr>
          <w:sz w:val="28"/>
          <w:szCs w:val="28"/>
        </w:rPr>
        <w:t>rates</w:t>
      </w:r>
      <w:r w:rsidRPr="006A57F6">
        <w:rPr>
          <w:sz w:val="28"/>
          <w:szCs w:val="28"/>
        </w:rPr>
        <w:t xml:space="preserve"> </w:t>
      </w:r>
      <w:r>
        <w:rPr>
          <w:sz w:val="28"/>
          <w:szCs w:val="28"/>
        </w:rPr>
        <w:t>is</w:t>
      </w:r>
      <w:r w:rsidRPr="006A57F6">
        <w:rPr>
          <w:sz w:val="28"/>
          <w:szCs w:val="28"/>
        </w:rPr>
        <w:t xml:space="preserve"> 1. </w:t>
      </w:r>
      <w:r>
        <w:rPr>
          <w:sz w:val="28"/>
          <w:szCs w:val="28"/>
        </w:rPr>
        <w:br/>
      </w:r>
      <w:r w:rsidRPr="006A57F6">
        <w:rPr>
          <w:sz w:val="28"/>
          <w:szCs w:val="28"/>
        </w:rPr>
        <w:t xml:space="preserve">On the other hand, </w:t>
      </w:r>
      <w:r>
        <w:rPr>
          <w:sz w:val="28"/>
          <w:szCs w:val="28"/>
        </w:rPr>
        <w:t xml:space="preserve">the </w:t>
      </w:r>
      <w:r w:rsidRPr="006A57F6">
        <w:rPr>
          <w:sz w:val="28"/>
          <w:szCs w:val="28"/>
        </w:rPr>
        <w:t>SVC algorithm starts at (0, 0), then goes to (0.007, 0.771</w:t>
      </w:r>
      <w:r>
        <w:rPr>
          <w:sz w:val="28"/>
          <w:szCs w:val="28"/>
        </w:rPr>
        <w:t xml:space="preserve">) before reaching </w:t>
      </w:r>
      <w:r w:rsidRPr="006A57F6">
        <w:rPr>
          <w:sz w:val="28"/>
          <w:szCs w:val="28"/>
        </w:rPr>
        <w:t xml:space="preserve">(1, 1), which means that as the threshold for classification increases the False </w:t>
      </w:r>
      <w:r>
        <w:rPr>
          <w:sz w:val="28"/>
          <w:szCs w:val="28"/>
        </w:rPr>
        <w:t>Positive rate decrease and the t</w:t>
      </w:r>
      <w:r w:rsidRPr="006A57F6">
        <w:rPr>
          <w:sz w:val="28"/>
          <w:szCs w:val="28"/>
        </w:rPr>
        <w:t>rue positive rate increase but the false positive rate is decreasing much faster than the true positive rate, this implies that the SVC algorithm is causing more false negatives than the KNN algorithm.</w:t>
      </w:r>
    </w:p>
    <w:p w:rsidR="004C7AD9" w:rsidRDefault="006A57F6" w:rsidP="006A2D5B">
      <w:pPr>
        <w:bidi w:val="0"/>
        <w:rPr>
          <w:sz w:val="28"/>
          <w:szCs w:val="28"/>
        </w:rPr>
      </w:pPr>
      <w:r>
        <w:rPr>
          <w:sz w:val="28"/>
          <w:szCs w:val="28"/>
        </w:rPr>
        <w:b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w:t>
      </w:r>
      <w:r w:rsidRPr="006A57F6">
        <w:rPr>
          <w:sz w:val="28"/>
          <w:szCs w:val="28"/>
        </w:rPr>
        <w:t>this</w:t>
      </w:r>
      <w:r w:rsidRPr="006A57F6">
        <w:rPr>
          <w:sz w:val="28"/>
          <w:szCs w:val="28"/>
        </w:rPr>
        <w:t xml:space="preserve">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sidR="006A2D5B">
        <w:rPr>
          <w:sz w:val="28"/>
          <w:szCs w:val="28"/>
        </w:rPr>
        <w:t xml:space="preserve"> doing overall.</w:t>
      </w:r>
      <w:r w:rsidR="006A2D5B">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A57F6" w:rsidRDefault="006A57F6" w:rsidP="006A57F6">
      <w:pPr>
        <w:bidi w:val="0"/>
        <w:rPr>
          <w:sz w:val="28"/>
          <w:szCs w:val="28"/>
        </w:rPr>
      </w:pPr>
    </w:p>
    <w:p w:rsidR="006A57F6" w:rsidRDefault="006A57F6" w:rsidP="006A57F6">
      <w:pPr>
        <w:bidi w:val="0"/>
        <w:rPr>
          <w:sz w:val="28"/>
          <w:szCs w:val="28"/>
        </w:rPr>
      </w:pPr>
    </w:p>
    <w:p w:rsidR="006A57F6" w:rsidRDefault="006A57F6" w:rsidP="006A57F6">
      <w:pPr>
        <w:bidi w:val="0"/>
        <w:jc w:val="center"/>
        <w:rPr>
          <w:b/>
          <w:bCs/>
          <w:sz w:val="28"/>
          <w:szCs w:val="28"/>
          <w:u w:val="single"/>
        </w:rPr>
      </w:pPr>
      <w:r>
        <w:rPr>
          <w:b/>
          <w:bCs/>
          <w:sz w:val="28"/>
          <w:szCs w:val="28"/>
          <w:u w:val="single"/>
        </w:rPr>
        <w:br/>
      </w:r>
      <w:r>
        <w:rPr>
          <w:b/>
          <w:bCs/>
          <w:sz w:val="28"/>
          <w:szCs w:val="28"/>
          <w:u w:val="single"/>
        </w:rPr>
        <w:br/>
      </w:r>
      <w:r>
        <w:rPr>
          <w:b/>
          <w:bCs/>
          <w:sz w:val="28"/>
          <w:szCs w:val="28"/>
          <w:u w:val="single"/>
        </w:rPr>
        <w:br/>
      </w:r>
      <w:r>
        <w:rPr>
          <w:b/>
          <w:bCs/>
          <w:sz w:val="28"/>
          <w:szCs w:val="28"/>
          <w:u w:val="single"/>
        </w:rPr>
        <w:br/>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4C7AD9" w:rsidRDefault="004C7AD9" w:rsidP="004C7AD9">
      <w:pPr>
        <w:bidi w:val="0"/>
        <w:rPr>
          <w:sz w:val="28"/>
          <w:szCs w:val="28"/>
        </w:rPr>
      </w:pPr>
      <w:r w:rsidRPr="004C7AD9">
        <w:rPr>
          <w:sz w:val="28"/>
          <w:szCs w:val="28"/>
        </w:rPr>
        <w:t>One of the significant challenges we faced was selecting the most suitable parameters for our functions, with the aim of achieving the highest success rates. The percentages with the default parameters produced 70% - 75% success rate, after choosing carefully the right parameters we achieved a 90% - 93% success rate.</w:t>
      </w:r>
    </w:p>
    <w:p w:rsidR="004C7AD9" w:rsidRPr="00E5171D" w:rsidRDefault="004C7AD9" w:rsidP="004C7AD9">
      <w:pPr>
        <w:bidi w:val="0"/>
        <w:jc w:val="center"/>
        <w:rPr>
          <w:b/>
          <w:bCs/>
          <w:sz w:val="28"/>
          <w:szCs w:val="28"/>
          <w:u w:val="single"/>
        </w:rPr>
      </w:pPr>
      <w:r w:rsidRPr="004C7AD9">
        <w:rPr>
          <w:b/>
          <w:bCs/>
          <w:sz w:val="28"/>
          <w:szCs w:val="28"/>
          <w:u w:val="single"/>
        </w:rPr>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A2D5B" w:rsidRDefault="00655972" w:rsidP="00655972">
      <w:pPr>
        <w:pStyle w:val="af5"/>
        <w:bidi w:val="0"/>
        <w:ind w:left="360"/>
        <w:jc w:val="center"/>
        <w:rPr>
          <w:b/>
          <w:bCs/>
          <w:sz w:val="28"/>
          <w:szCs w:val="28"/>
          <w:u w:val="single"/>
        </w:rPr>
      </w:pPr>
      <w:r>
        <w:rPr>
          <w:b/>
          <w:bCs/>
          <w:sz w:val="28"/>
          <w:szCs w:val="28"/>
          <w:u w:val="single"/>
        </w:rPr>
        <w:lastRenderedPageBreak/>
        <w:t>Developing the optimal solution</w:t>
      </w:r>
    </w:p>
    <w:p w:rsidR="00655972" w:rsidRPr="00862035" w:rsidRDefault="00655972" w:rsidP="00655972">
      <w:pPr>
        <w:pStyle w:val="af5"/>
        <w:bidi w:val="0"/>
        <w:ind w:left="360"/>
        <w:rPr>
          <w:sz w:val="28"/>
          <w:szCs w:val="28"/>
          <w:u w:val="single"/>
        </w:rPr>
      </w:pPr>
      <w:r w:rsidRPr="00862035">
        <w:rPr>
          <w:sz w:val="28"/>
          <w:szCs w:val="28"/>
          <w:u w:val="single"/>
        </w:rPr>
        <w:t>KNN:</w:t>
      </w:r>
    </w:p>
    <w:p w:rsidR="00655972" w:rsidRDefault="00655972" w:rsidP="00655972">
      <w:pPr>
        <w:pStyle w:val="af5"/>
        <w:bidi w:val="0"/>
        <w:ind w:left="360"/>
        <w:rPr>
          <w:sz w:val="28"/>
          <w:szCs w:val="28"/>
        </w:rPr>
      </w:pPr>
      <w:r>
        <w:rPr>
          <w:sz w:val="28"/>
          <w:szCs w:val="28"/>
        </w:rPr>
        <w:t>The final accuracy of the algorithm is 90.1857%.</w:t>
      </w:r>
    </w:p>
    <w:p w:rsidR="00862035" w:rsidRPr="00862035" w:rsidRDefault="00862035" w:rsidP="00862035">
      <w:pPr>
        <w:pStyle w:val="af5"/>
        <w:bidi w:val="0"/>
        <w:ind w:left="360"/>
        <w:rPr>
          <w:sz w:val="28"/>
          <w:szCs w:val="28"/>
          <w:u w:val="single"/>
        </w:rPr>
      </w:pPr>
      <w:r w:rsidRPr="00862035">
        <w:rPr>
          <w:sz w:val="28"/>
          <w:szCs w:val="28"/>
          <w:u w:val="single"/>
        </w:rPr>
        <w:t>Our steps were:</w:t>
      </w:r>
    </w:p>
    <w:p w:rsidR="00862035" w:rsidRDefault="00862035" w:rsidP="00862035">
      <w:pPr>
        <w:pStyle w:val="af5"/>
        <w:numPr>
          <w:ilvl w:val="0"/>
          <w:numId w:val="6"/>
        </w:numPr>
        <w:bidi w:val="0"/>
        <w:rPr>
          <w:sz w:val="28"/>
          <w:szCs w:val="28"/>
        </w:rPr>
      </w:pPr>
      <w:r>
        <w:rPr>
          <w:sz w:val="28"/>
          <w:szCs w:val="28"/>
        </w:rPr>
        <w:t xml:space="preserve"> R</w:t>
      </w:r>
      <w:r w:rsidR="00655972" w:rsidRPr="00862035">
        <w:rPr>
          <w:sz w:val="28"/>
          <w:szCs w:val="28"/>
        </w:rPr>
        <w:t>unning the algorithm as it is (with the default parameters)</w:t>
      </w:r>
      <w:r w:rsidRPr="00862035">
        <w:rPr>
          <w:sz w:val="28"/>
          <w:szCs w:val="28"/>
        </w:rPr>
        <w:t xml:space="preserve"> is 68.7003</w:t>
      </w:r>
      <w:r>
        <w:rPr>
          <w:sz w:val="28"/>
          <w:szCs w:val="28"/>
        </w:rPr>
        <w:t>%.</w:t>
      </w:r>
    </w:p>
    <w:p w:rsidR="00862035" w:rsidRDefault="00862035" w:rsidP="00862035">
      <w:pPr>
        <w:pStyle w:val="af5"/>
        <w:numPr>
          <w:ilvl w:val="0"/>
          <w:numId w:val="6"/>
        </w:numPr>
        <w:bidi w:val="0"/>
        <w:rPr>
          <w:sz w:val="28"/>
          <w:szCs w:val="28"/>
        </w:rPr>
      </w:pPr>
      <w:r>
        <w:rPr>
          <w:sz w:val="28"/>
          <w:szCs w:val="28"/>
        </w:rPr>
        <w:t xml:space="preserve"> F</w:t>
      </w:r>
      <w:r w:rsidR="00655972" w:rsidRPr="00862035">
        <w:rPr>
          <w:sz w:val="28"/>
          <w:szCs w:val="28"/>
        </w:rPr>
        <w:t xml:space="preserve">ind the best k (number of neighbors that will bring the best accuracy </w:t>
      </w:r>
      <w:proofErr w:type="gramStart"/>
      <w:r w:rsidR="00655972" w:rsidRPr="00862035">
        <w:rPr>
          <w:sz w:val="28"/>
          <w:szCs w:val="28"/>
        </w:rPr>
        <w:t>between 1</w:t>
      </w:r>
      <w:r w:rsidRPr="00862035">
        <w:rPr>
          <w:sz w:val="28"/>
          <w:szCs w:val="28"/>
        </w:rPr>
        <w:t xml:space="preserve"> </w:t>
      </w:r>
      <w:r w:rsidR="00655972" w:rsidRPr="00862035">
        <w:rPr>
          <w:sz w:val="28"/>
          <w:szCs w:val="28"/>
        </w:rPr>
        <w:t>-</w:t>
      </w:r>
      <w:r w:rsidRPr="00862035">
        <w:rPr>
          <w:sz w:val="28"/>
          <w:szCs w:val="28"/>
        </w:rPr>
        <w:t xml:space="preserve"> </w:t>
      </w:r>
      <w:r w:rsidR="00655972" w:rsidRPr="00862035">
        <w:rPr>
          <w:sz w:val="28"/>
          <w:szCs w:val="28"/>
        </w:rPr>
        <w:t>100</w:t>
      </w:r>
      <w:proofErr w:type="gramEnd"/>
      <w:r w:rsidR="00655972" w:rsidRPr="00862035">
        <w:rPr>
          <w:sz w:val="28"/>
          <w:szCs w:val="28"/>
        </w:rPr>
        <w:t>).</w:t>
      </w:r>
      <w:r>
        <w:rPr>
          <w:sz w:val="28"/>
          <w:szCs w:val="28"/>
        </w:rPr>
        <w:br/>
      </w:r>
      <w:proofErr w:type="gramStart"/>
      <w:r>
        <w:rPr>
          <w:sz w:val="28"/>
          <w:szCs w:val="28"/>
        </w:rPr>
        <w:t>we</w:t>
      </w:r>
      <w:proofErr w:type="gramEnd"/>
      <w:r>
        <w:rPr>
          <w:sz w:val="28"/>
          <w:szCs w:val="28"/>
        </w:rPr>
        <w:t xml:space="preserve"> found that most of the results are around 70% and the best one was k=1 and its accuracy is 89.125%.</w:t>
      </w:r>
    </w:p>
    <w:p w:rsidR="00862035" w:rsidRDefault="00862035" w:rsidP="00862035">
      <w:pPr>
        <w:pStyle w:val="af5"/>
        <w:bidi w:val="0"/>
        <w:rPr>
          <w:sz w:val="28"/>
          <w:szCs w:val="28"/>
        </w:rPr>
      </w:pPr>
      <w:r>
        <w:rPr>
          <w:sz w:val="28"/>
          <w:szCs w:val="28"/>
        </w:rPr>
        <w:t>We decided to keep the loop that finds the best k and to use it in each run of the algorithm</w:t>
      </w:r>
      <w:r w:rsidR="006E0726">
        <w:rPr>
          <w:sz w:val="28"/>
          <w:szCs w:val="28"/>
        </w:rPr>
        <w:t xml:space="preserve"> in case there will be a better k using other data sets.</w:t>
      </w:r>
    </w:p>
    <w:p w:rsidR="00655972" w:rsidRPr="00862035" w:rsidRDefault="00862035" w:rsidP="00862035">
      <w:pPr>
        <w:pStyle w:val="af5"/>
        <w:numPr>
          <w:ilvl w:val="0"/>
          <w:numId w:val="6"/>
        </w:numPr>
        <w:bidi w:val="0"/>
        <w:rPr>
          <w:sz w:val="28"/>
          <w:szCs w:val="28"/>
        </w:rPr>
      </w:pPr>
      <w:r>
        <w:rPr>
          <w:sz w:val="28"/>
          <w:szCs w:val="28"/>
        </w:rPr>
        <w:t>Find the best 'metric' parameter'</w:t>
      </w:r>
      <w:proofErr w:type="gramStart"/>
      <w:r>
        <w:rPr>
          <w:sz w:val="28"/>
          <w:szCs w:val="28"/>
        </w:rPr>
        <w:t>:</w:t>
      </w:r>
      <w:proofErr w:type="gramEnd"/>
      <w:r>
        <w:rPr>
          <w:sz w:val="28"/>
          <w:szCs w:val="28"/>
        </w:rPr>
        <w:br/>
      </w:r>
      <w:r w:rsidRPr="00862035">
        <w:rPr>
          <w:sz w:val="28"/>
          <w:szCs w:val="28"/>
        </w:rPr>
        <w:t>Manhattan distance is the sum of the absolute differences of coordina</w:t>
      </w:r>
      <w:r>
        <w:rPr>
          <w:sz w:val="28"/>
          <w:szCs w:val="28"/>
        </w:rPr>
        <w:t>tes in the n-dimensional space.</w:t>
      </w:r>
      <w:r>
        <w:rPr>
          <w:sz w:val="28"/>
          <w:szCs w:val="28"/>
        </w:rPr>
        <w:br/>
      </w:r>
      <w:r w:rsidRPr="00862035">
        <w:rPr>
          <w:sz w:val="28"/>
          <w:szCs w:val="28"/>
        </w:rPr>
        <w:t>Minkowski distance</w:t>
      </w:r>
      <w:r>
        <w:rPr>
          <w:sz w:val="28"/>
          <w:szCs w:val="28"/>
        </w:rPr>
        <w:t xml:space="preserve"> with p=1 is Manhattan distance.</w:t>
      </w:r>
      <w:r>
        <w:rPr>
          <w:sz w:val="28"/>
          <w:szCs w:val="28"/>
        </w:rPr>
        <w:br/>
        <w:t>p=2 is Euclidean distance.</w:t>
      </w:r>
      <w:bookmarkStart w:id="0" w:name="_GoBack"/>
      <w:bookmarkEnd w:id="0"/>
      <w:r>
        <w:rPr>
          <w:sz w:val="28"/>
          <w:szCs w:val="28"/>
        </w:rPr>
        <w:br/>
      </w:r>
      <w:r w:rsidRPr="00862035">
        <w:rPr>
          <w:sz w:val="28"/>
          <w:szCs w:val="28"/>
        </w:rPr>
        <w:t>p&gt;2 generalizati</w:t>
      </w:r>
      <w:r>
        <w:rPr>
          <w:sz w:val="28"/>
          <w:szCs w:val="28"/>
        </w:rPr>
        <w:t>on of Euclidean distance.</w:t>
      </w:r>
      <w:r>
        <w:rPr>
          <w:sz w:val="28"/>
          <w:szCs w:val="28"/>
        </w:rPr>
        <w:br/>
      </w:r>
      <w:proofErr w:type="spellStart"/>
      <w:r w:rsidRPr="00862035">
        <w:rPr>
          <w:sz w:val="28"/>
          <w:szCs w:val="28"/>
        </w:rPr>
        <w:t>Chebyshev</w:t>
      </w:r>
      <w:proofErr w:type="spellEnd"/>
      <w:r w:rsidRPr="00862035">
        <w:rPr>
          <w:sz w:val="28"/>
          <w:szCs w:val="28"/>
        </w:rPr>
        <w:t xml:space="preserve"> distance is the maximum absolute difference of coordinates, and Euclidean distance is the square root of sum of squares of differences of coordinates in the n-dimensional space.</w:t>
      </w:r>
      <w:r w:rsidRPr="00862035">
        <w:rPr>
          <w:sz w:val="28"/>
          <w:szCs w:val="28"/>
        </w:rPr>
        <w:br/>
      </w:r>
      <w:r w:rsidR="00655972" w:rsidRPr="00862035">
        <w:rPr>
          <w:sz w:val="28"/>
          <w:szCs w:val="28"/>
        </w:rPr>
        <w:br/>
      </w:r>
    </w:p>
    <w:sectPr w:rsidR="00655972" w:rsidRPr="00862035" w:rsidSect="005A1C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77AD2"/>
    <w:rsid w:val="001248B9"/>
    <w:rsid w:val="00165B7B"/>
    <w:rsid w:val="001E6130"/>
    <w:rsid w:val="0023669D"/>
    <w:rsid w:val="002B3400"/>
    <w:rsid w:val="002E41E1"/>
    <w:rsid w:val="00385159"/>
    <w:rsid w:val="003B5072"/>
    <w:rsid w:val="00452BC3"/>
    <w:rsid w:val="004760B3"/>
    <w:rsid w:val="004B6033"/>
    <w:rsid w:val="004C7AD9"/>
    <w:rsid w:val="0056051B"/>
    <w:rsid w:val="0056547A"/>
    <w:rsid w:val="00597B03"/>
    <w:rsid w:val="005A1C86"/>
    <w:rsid w:val="00655972"/>
    <w:rsid w:val="00693805"/>
    <w:rsid w:val="006A2D5B"/>
    <w:rsid w:val="006A57F6"/>
    <w:rsid w:val="006D2D8A"/>
    <w:rsid w:val="006E0726"/>
    <w:rsid w:val="006E770F"/>
    <w:rsid w:val="00800196"/>
    <w:rsid w:val="00847FC8"/>
    <w:rsid w:val="00862035"/>
    <w:rsid w:val="008D2D3E"/>
    <w:rsid w:val="009C20EF"/>
    <w:rsid w:val="00A369E7"/>
    <w:rsid w:val="00AF358B"/>
    <w:rsid w:val="00B3274F"/>
    <w:rsid w:val="00BB51E6"/>
    <w:rsid w:val="00C749C4"/>
    <w:rsid w:val="00C92B34"/>
    <w:rsid w:val="00D237C4"/>
    <w:rsid w:val="00D61BD0"/>
    <w:rsid w:val="00E5171D"/>
    <w:rsid w:val="00EA11B4"/>
    <w:rsid w:val="00F51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75EB"/>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AD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9642F-79B5-4F6B-9C6F-7473308E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14</Pages>
  <Words>2070</Words>
  <Characters>10351</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2023-01-04T11:53:00Z</dcterms:created>
  <dcterms:modified xsi:type="dcterms:W3CDTF">2023-01-11T12:42:00Z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