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DCA41" w14:textId="51DB050C" w:rsidR="00EC167F" w:rsidRPr="00EC167F" w:rsidRDefault="00EC167F" w:rsidP="00E9710D">
      <w:pPr>
        <w:rPr>
          <w:rFonts w:ascii="Calibri" w:hAnsi="Calibri" w:cs="Calibri"/>
          <w:sz w:val="22"/>
          <w:szCs w:val="22"/>
          <w:u w:val="single"/>
        </w:rPr>
      </w:pPr>
      <w:r w:rsidRPr="00EC167F">
        <w:rPr>
          <w:rFonts w:ascii="Calibri" w:hAnsi="Calibri" w:cs="Calibri"/>
          <w:sz w:val="22"/>
          <w:szCs w:val="22"/>
          <w:u w:val="single"/>
        </w:rPr>
        <w:t>Details about Forge</w:t>
      </w:r>
    </w:p>
    <w:p w14:paraId="61DA55D1" w14:textId="77777777" w:rsidR="00EC167F" w:rsidRDefault="00EC167F" w:rsidP="00E9710D">
      <w:pPr>
        <w:rPr>
          <w:rFonts w:ascii="Calibri" w:hAnsi="Calibri" w:cs="Calibri"/>
          <w:sz w:val="22"/>
          <w:szCs w:val="22"/>
        </w:rPr>
      </w:pPr>
    </w:p>
    <w:p w14:paraId="70E61B35" w14:textId="77777777" w:rsidR="00EC167F" w:rsidRDefault="00E9710D" w:rsidP="00E9710D">
      <w:pPr>
        <w:pStyle w:val="ListParagraph"/>
        <w:numPr>
          <w:ilvl w:val="0"/>
          <w:numId w:val="2"/>
        </w:numPr>
        <w:rPr>
          <w:rFonts w:ascii="Calibri" w:hAnsi="Calibri" w:cs="Calibri"/>
          <w:sz w:val="22"/>
          <w:szCs w:val="22"/>
        </w:rPr>
      </w:pPr>
      <w:r w:rsidRPr="00EC167F">
        <w:rPr>
          <w:rFonts w:ascii="Calibri" w:hAnsi="Calibri" w:cs="Calibri"/>
          <w:sz w:val="22"/>
          <w:szCs w:val="22"/>
        </w:rPr>
        <w:t>Forge Global, Inc. (“Forge”) serves the complex and emerging needs of the private market</w:t>
      </w:r>
      <w:r w:rsidR="00EC167F">
        <w:rPr>
          <w:rFonts w:ascii="Calibri" w:hAnsi="Calibri" w:cs="Calibri"/>
          <w:sz w:val="22"/>
          <w:szCs w:val="22"/>
        </w:rPr>
        <w:t xml:space="preserve"> </w:t>
      </w:r>
      <w:r w:rsidRPr="00EC167F">
        <w:rPr>
          <w:rFonts w:ascii="Calibri" w:hAnsi="Calibri" w:cs="Calibri"/>
          <w:sz w:val="22"/>
          <w:szCs w:val="22"/>
        </w:rPr>
        <w:t xml:space="preserve">ecosystem by forging new connections through our technology, data and expertise. </w:t>
      </w:r>
    </w:p>
    <w:p w14:paraId="7CCD11BB" w14:textId="77777777" w:rsidR="00EC167F" w:rsidRDefault="00E9710D" w:rsidP="00E9710D">
      <w:pPr>
        <w:pStyle w:val="ListParagraph"/>
        <w:numPr>
          <w:ilvl w:val="0"/>
          <w:numId w:val="2"/>
        </w:numPr>
        <w:rPr>
          <w:rFonts w:ascii="Calibri" w:hAnsi="Calibri" w:cs="Calibri"/>
          <w:sz w:val="22"/>
          <w:szCs w:val="22"/>
        </w:rPr>
      </w:pPr>
      <w:r w:rsidRPr="00EC167F">
        <w:rPr>
          <w:rFonts w:ascii="Calibri" w:hAnsi="Calibri" w:cs="Calibri"/>
          <w:sz w:val="22"/>
          <w:szCs w:val="22"/>
        </w:rPr>
        <w:t>Founded in 2014, Forge empowers investors and shareholders by facilitating liquidity in the private markets.</w:t>
      </w:r>
    </w:p>
    <w:p w14:paraId="1F1C721B" w14:textId="5482DDD1" w:rsidR="00EC167F" w:rsidRDefault="00E9710D" w:rsidP="00E9710D">
      <w:pPr>
        <w:pStyle w:val="ListParagraph"/>
        <w:numPr>
          <w:ilvl w:val="0"/>
          <w:numId w:val="2"/>
        </w:numPr>
        <w:rPr>
          <w:rFonts w:ascii="Calibri" w:hAnsi="Calibri" w:cs="Calibri"/>
          <w:sz w:val="22"/>
          <w:szCs w:val="22"/>
        </w:rPr>
      </w:pPr>
      <w:r w:rsidRPr="00EC167F">
        <w:rPr>
          <w:rFonts w:ascii="Calibri" w:hAnsi="Calibri" w:cs="Calibri"/>
          <w:sz w:val="22"/>
          <w:szCs w:val="22"/>
        </w:rPr>
        <w:t>Securities related services are offered through Forge Securities LLC</w:t>
      </w:r>
      <w:r w:rsidR="00EC167F">
        <w:rPr>
          <w:rFonts w:ascii="Calibri" w:hAnsi="Calibri" w:cs="Calibri"/>
          <w:sz w:val="22"/>
          <w:szCs w:val="22"/>
        </w:rPr>
        <w:t xml:space="preserve">, </w:t>
      </w:r>
      <w:r w:rsidRPr="00EC167F">
        <w:rPr>
          <w:rFonts w:ascii="Calibri" w:hAnsi="Calibri" w:cs="Calibri"/>
          <w:sz w:val="22"/>
          <w:szCs w:val="22"/>
        </w:rPr>
        <w:t xml:space="preserve">a broker-dealer registered with the Securities and Exchange Commission, a member of the Financial Industry Regulatory Authority, and wholly owned subsidiary of Forge. </w:t>
      </w:r>
    </w:p>
    <w:p w14:paraId="32D73334" w14:textId="6A4209DB" w:rsidR="00E9710D" w:rsidRDefault="00E9710D" w:rsidP="00E9710D">
      <w:pPr>
        <w:pStyle w:val="ListParagraph"/>
        <w:numPr>
          <w:ilvl w:val="0"/>
          <w:numId w:val="2"/>
        </w:numPr>
        <w:rPr>
          <w:rFonts w:ascii="Calibri" w:hAnsi="Calibri" w:cs="Calibri"/>
          <w:sz w:val="22"/>
          <w:szCs w:val="22"/>
        </w:rPr>
      </w:pPr>
      <w:r w:rsidRPr="00EC167F">
        <w:rPr>
          <w:rFonts w:ascii="Calibri" w:hAnsi="Calibri" w:cs="Calibri"/>
          <w:sz w:val="22"/>
          <w:szCs w:val="22"/>
        </w:rPr>
        <w:t>F</w:t>
      </w:r>
      <w:r w:rsidR="00EC167F">
        <w:rPr>
          <w:rFonts w:ascii="Calibri" w:hAnsi="Calibri" w:cs="Calibri"/>
          <w:sz w:val="22"/>
          <w:szCs w:val="22"/>
        </w:rPr>
        <w:t xml:space="preserve">orge Securities </w:t>
      </w:r>
      <w:r w:rsidRPr="00EC167F">
        <w:rPr>
          <w:rFonts w:ascii="Calibri" w:hAnsi="Calibri" w:cs="Calibri"/>
          <w:sz w:val="22"/>
          <w:szCs w:val="22"/>
        </w:rPr>
        <w:t xml:space="preserve">operates an alternative trading system for trading of restricted securities. </w:t>
      </w:r>
      <w:r w:rsidR="00EC167F">
        <w:rPr>
          <w:rFonts w:ascii="Calibri" w:hAnsi="Calibri" w:cs="Calibri"/>
          <w:sz w:val="22"/>
          <w:szCs w:val="22"/>
        </w:rPr>
        <w:t>Forge Securities</w:t>
      </w:r>
      <w:r w:rsidRPr="00EC167F">
        <w:rPr>
          <w:rFonts w:ascii="Calibri" w:hAnsi="Calibri" w:cs="Calibri"/>
          <w:sz w:val="22"/>
          <w:szCs w:val="22"/>
        </w:rPr>
        <w:t xml:space="preserve"> offers brokerage services by acting as your agent in buying or selling unregistered non-public company securities</w:t>
      </w:r>
      <w:r w:rsidR="00EC167F">
        <w:rPr>
          <w:rFonts w:ascii="Calibri" w:hAnsi="Calibri" w:cs="Calibri"/>
          <w:sz w:val="22"/>
          <w:szCs w:val="22"/>
        </w:rPr>
        <w:t xml:space="preserve">, </w:t>
      </w:r>
      <w:r w:rsidRPr="00EC167F">
        <w:rPr>
          <w:rFonts w:ascii="Calibri" w:hAnsi="Calibri" w:cs="Calibri"/>
          <w:sz w:val="22"/>
          <w:szCs w:val="22"/>
        </w:rPr>
        <w:t>which include preferred and common stock, structured investments, and membership interests in affiliated and unaffiliated private fund interests. We also act as placement agent for issuers in direct private company securities offerings to investors.</w:t>
      </w:r>
    </w:p>
    <w:p w14:paraId="10AB9DDD" w14:textId="034690E6" w:rsidR="00233406" w:rsidRPr="00233406" w:rsidRDefault="00233406" w:rsidP="00233406">
      <w:pPr>
        <w:pStyle w:val="ListParagraph"/>
        <w:numPr>
          <w:ilvl w:val="0"/>
          <w:numId w:val="2"/>
        </w:numPr>
        <w:rPr>
          <w:rFonts w:ascii="Calibri" w:hAnsi="Calibri" w:cs="Calibri"/>
          <w:sz w:val="22"/>
          <w:szCs w:val="22"/>
        </w:rPr>
      </w:pPr>
      <w:r w:rsidRPr="00233406">
        <w:rPr>
          <w:rFonts w:ascii="Calibri" w:hAnsi="Calibri" w:cs="Calibri"/>
          <w:sz w:val="22"/>
          <w:szCs w:val="22"/>
        </w:rPr>
        <w:t>Forge's secondary market platform gives institutional investors access to buying and selling</w:t>
      </w:r>
      <w:r>
        <w:rPr>
          <w:rFonts w:ascii="Calibri" w:hAnsi="Calibri" w:cs="Calibri"/>
          <w:sz w:val="22"/>
          <w:szCs w:val="22"/>
        </w:rPr>
        <w:t xml:space="preserve"> </w:t>
      </w:r>
      <w:r w:rsidRPr="00233406">
        <w:rPr>
          <w:rFonts w:ascii="Calibri" w:hAnsi="Calibri" w:cs="Calibri"/>
          <w:sz w:val="22"/>
          <w:szCs w:val="22"/>
        </w:rPr>
        <w:t>opportunities outside of primary funding rounds, tender offers, and exit events.</w:t>
      </w:r>
    </w:p>
    <w:p w14:paraId="25DD00C4" w14:textId="77777777" w:rsidR="00E9710D" w:rsidRDefault="00E9710D" w:rsidP="00E9710D">
      <w:pPr>
        <w:rPr>
          <w:rFonts w:ascii="Calibri" w:hAnsi="Calibri" w:cs="Calibri"/>
          <w:sz w:val="22"/>
          <w:szCs w:val="22"/>
        </w:rPr>
      </w:pPr>
    </w:p>
    <w:p w14:paraId="2AD7C518" w14:textId="57D5B819" w:rsidR="00EC167F" w:rsidRPr="00EC167F" w:rsidRDefault="00EC167F" w:rsidP="00E9710D">
      <w:pPr>
        <w:rPr>
          <w:rFonts w:ascii="Calibri" w:hAnsi="Calibri" w:cs="Calibri"/>
          <w:sz w:val="22"/>
          <w:szCs w:val="22"/>
          <w:u w:val="single"/>
        </w:rPr>
      </w:pPr>
      <w:r w:rsidRPr="00EC167F">
        <w:rPr>
          <w:rFonts w:ascii="Calibri" w:hAnsi="Calibri" w:cs="Calibri"/>
          <w:sz w:val="22"/>
          <w:szCs w:val="22"/>
          <w:u w:val="single"/>
        </w:rPr>
        <w:t>Public Market vs Private Market</w:t>
      </w:r>
    </w:p>
    <w:p w14:paraId="31D13C32" w14:textId="461E83B9" w:rsidR="00E9710D" w:rsidRPr="00EC167F" w:rsidRDefault="00E9710D" w:rsidP="00E9710D">
      <w:pPr>
        <w:pStyle w:val="ListParagraph"/>
        <w:numPr>
          <w:ilvl w:val="0"/>
          <w:numId w:val="3"/>
        </w:numPr>
        <w:rPr>
          <w:rFonts w:ascii="Calibri" w:hAnsi="Calibri" w:cs="Calibri"/>
          <w:sz w:val="22"/>
          <w:szCs w:val="22"/>
        </w:rPr>
      </w:pPr>
      <w:r w:rsidRPr="00EC167F">
        <w:rPr>
          <w:rFonts w:ascii="Calibri" w:hAnsi="Calibri" w:cs="Calibri"/>
          <w:sz w:val="22"/>
          <w:szCs w:val="22"/>
        </w:rPr>
        <w:t>The ‘public market’ refers to investing in issuers (companies) that are publicly traded on a</w:t>
      </w:r>
      <w:r w:rsidR="00EC167F">
        <w:rPr>
          <w:rFonts w:ascii="Calibri" w:hAnsi="Calibri" w:cs="Calibri"/>
          <w:sz w:val="22"/>
          <w:szCs w:val="22"/>
        </w:rPr>
        <w:t xml:space="preserve"> </w:t>
      </w:r>
      <w:r w:rsidRPr="00EC167F">
        <w:rPr>
          <w:rFonts w:ascii="Calibri" w:hAnsi="Calibri" w:cs="Calibri"/>
          <w:sz w:val="22"/>
          <w:szCs w:val="22"/>
        </w:rPr>
        <w:t>national exchange such as Nasdaq or the New York Stock Exchange.</w:t>
      </w:r>
    </w:p>
    <w:p w14:paraId="42FF1AC9" w14:textId="4F24AD39" w:rsidR="00E9710D" w:rsidRPr="00EC167F" w:rsidRDefault="00E9710D" w:rsidP="00EC167F">
      <w:pPr>
        <w:pStyle w:val="ListParagraph"/>
        <w:numPr>
          <w:ilvl w:val="1"/>
          <w:numId w:val="3"/>
        </w:numPr>
        <w:rPr>
          <w:rFonts w:ascii="Calibri" w:hAnsi="Calibri" w:cs="Calibri"/>
          <w:sz w:val="22"/>
          <w:szCs w:val="22"/>
        </w:rPr>
      </w:pPr>
      <w:r w:rsidRPr="00EC167F">
        <w:rPr>
          <w:rFonts w:ascii="Calibri" w:hAnsi="Calibri" w:cs="Calibri"/>
          <w:sz w:val="22"/>
          <w:szCs w:val="22"/>
        </w:rPr>
        <w:t xml:space="preserve">Public companies’ shares are typically available for trading to the </w:t>
      </w:r>
      <w:proofErr w:type="gramStart"/>
      <w:r w:rsidRPr="00EC167F">
        <w:rPr>
          <w:rFonts w:ascii="Calibri" w:hAnsi="Calibri" w:cs="Calibri"/>
          <w:sz w:val="22"/>
          <w:szCs w:val="22"/>
        </w:rPr>
        <w:t>general public</w:t>
      </w:r>
      <w:proofErr w:type="gramEnd"/>
      <w:r w:rsidRPr="00EC167F">
        <w:rPr>
          <w:rFonts w:ascii="Calibri" w:hAnsi="Calibri" w:cs="Calibri"/>
          <w:sz w:val="22"/>
          <w:szCs w:val="22"/>
        </w:rPr>
        <w:t>.</w:t>
      </w:r>
    </w:p>
    <w:p w14:paraId="33A6AE1C" w14:textId="43936CA8" w:rsidR="00E9710D" w:rsidRPr="00EC167F" w:rsidRDefault="00E9710D" w:rsidP="00EC167F">
      <w:pPr>
        <w:pStyle w:val="ListParagraph"/>
        <w:numPr>
          <w:ilvl w:val="1"/>
          <w:numId w:val="3"/>
        </w:numPr>
        <w:rPr>
          <w:rFonts w:ascii="Calibri" w:hAnsi="Calibri" w:cs="Calibri"/>
          <w:sz w:val="22"/>
          <w:szCs w:val="22"/>
        </w:rPr>
      </w:pPr>
      <w:r w:rsidRPr="00EC167F">
        <w:rPr>
          <w:rFonts w:ascii="Calibri" w:hAnsi="Calibri" w:cs="Calibri"/>
          <w:sz w:val="22"/>
          <w:szCs w:val="22"/>
        </w:rPr>
        <w:t>Companies traded in the public market must adhere to financial and performance</w:t>
      </w:r>
      <w:r w:rsidR="00EC167F">
        <w:rPr>
          <w:rFonts w:ascii="Calibri" w:hAnsi="Calibri" w:cs="Calibri"/>
          <w:sz w:val="22"/>
          <w:szCs w:val="22"/>
        </w:rPr>
        <w:t xml:space="preserve"> </w:t>
      </w:r>
      <w:r w:rsidRPr="00EC167F">
        <w:rPr>
          <w:rFonts w:ascii="Calibri" w:hAnsi="Calibri" w:cs="Calibri"/>
          <w:sz w:val="22"/>
          <w:szCs w:val="22"/>
        </w:rPr>
        <w:t>disclosure requirements and as a result information is more readily available.</w:t>
      </w:r>
    </w:p>
    <w:p w14:paraId="6375A020" w14:textId="7234A982" w:rsidR="00E9710D" w:rsidRPr="00EC167F" w:rsidRDefault="00E9710D" w:rsidP="00EC167F">
      <w:pPr>
        <w:pStyle w:val="ListParagraph"/>
        <w:numPr>
          <w:ilvl w:val="1"/>
          <w:numId w:val="3"/>
        </w:numPr>
        <w:rPr>
          <w:rFonts w:ascii="Calibri" w:hAnsi="Calibri" w:cs="Calibri"/>
          <w:sz w:val="22"/>
          <w:szCs w:val="22"/>
        </w:rPr>
      </w:pPr>
      <w:r w:rsidRPr="00EC167F">
        <w:rPr>
          <w:rFonts w:ascii="Calibri" w:hAnsi="Calibri" w:cs="Calibri"/>
          <w:sz w:val="22"/>
          <w:szCs w:val="22"/>
        </w:rPr>
        <w:t>Investors trading in company shares in the public market do not need to meet any</w:t>
      </w:r>
      <w:r w:rsidR="00EC167F">
        <w:rPr>
          <w:rFonts w:ascii="Calibri" w:hAnsi="Calibri" w:cs="Calibri"/>
          <w:sz w:val="22"/>
          <w:szCs w:val="22"/>
        </w:rPr>
        <w:t xml:space="preserve"> </w:t>
      </w:r>
      <w:r w:rsidRPr="00EC167F">
        <w:rPr>
          <w:rFonts w:ascii="Calibri" w:hAnsi="Calibri" w:cs="Calibri"/>
          <w:sz w:val="22"/>
          <w:szCs w:val="22"/>
        </w:rPr>
        <w:t>minimum financial threshold or level of investment sophistication.</w:t>
      </w:r>
    </w:p>
    <w:p w14:paraId="1A4429AC" w14:textId="3EA8836E" w:rsidR="00E9710D" w:rsidRPr="00EC167F" w:rsidRDefault="00E9710D" w:rsidP="00EC167F">
      <w:pPr>
        <w:pStyle w:val="ListParagraph"/>
        <w:numPr>
          <w:ilvl w:val="1"/>
          <w:numId w:val="3"/>
        </w:numPr>
        <w:rPr>
          <w:rFonts w:ascii="Calibri" w:hAnsi="Calibri" w:cs="Calibri"/>
          <w:sz w:val="22"/>
          <w:szCs w:val="22"/>
        </w:rPr>
      </w:pPr>
      <w:r w:rsidRPr="00EC167F">
        <w:rPr>
          <w:rFonts w:ascii="Calibri" w:hAnsi="Calibri" w:cs="Calibri"/>
          <w:sz w:val="22"/>
          <w:szCs w:val="22"/>
        </w:rPr>
        <w:t>When buying or selling, the time between executing a trade to settlement (receiving</w:t>
      </w:r>
      <w:r w:rsidR="00EC167F">
        <w:rPr>
          <w:rFonts w:ascii="Calibri" w:hAnsi="Calibri" w:cs="Calibri"/>
          <w:sz w:val="22"/>
          <w:szCs w:val="22"/>
        </w:rPr>
        <w:t xml:space="preserve"> </w:t>
      </w:r>
      <w:r w:rsidRPr="00EC167F">
        <w:rPr>
          <w:rFonts w:ascii="Calibri" w:hAnsi="Calibri" w:cs="Calibri"/>
          <w:sz w:val="22"/>
          <w:szCs w:val="22"/>
        </w:rPr>
        <w:t xml:space="preserve">funds or securities) is typically trade date plus one day. </w:t>
      </w:r>
    </w:p>
    <w:p w14:paraId="3860843A" w14:textId="77777777" w:rsidR="00E9710D" w:rsidRPr="00E9710D" w:rsidRDefault="00E9710D" w:rsidP="00E9710D">
      <w:pPr>
        <w:rPr>
          <w:rFonts w:ascii="Calibri" w:hAnsi="Calibri" w:cs="Calibri"/>
          <w:sz w:val="22"/>
          <w:szCs w:val="22"/>
        </w:rPr>
      </w:pPr>
    </w:p>
    <w:p w14:paraId="4597D7EC" w14:textId="6B2D52F4" w:rsidR="00E9710D" w:rsidRPr="00EC167F" w:rsidRDefault="00E9710D" w:rsidP="00E9710D">
      <w:pPr>
        <w:pStyle w:val="ListParagraph"/>
        <w:numPr>
          <w:ilvl w:val="0"/>
          <w:numId w:val="3"/>
        </w:numPr>
        <w:rPr>
          <w:rFonts w:ascii="Calibri" w:hAnsi="Calibri" w:cs="Calibri"/>
          <w:sz w:val="22"/>
          <w:szCs w:val="22"/>
        </w:rPr>
      </w:pPr>
      <w:r w:rsidRPr="00EC167F">
        <w:rPr>
          <w:rFonts w:ascii="Calibri" w:hAnsi="Calibri" w:cs="Calibri"/>
          <w:sz w:val="22"/>
          <w:szCs w:val="22"/>
        </w:rPr>
        <w:t>The ‘private market’ refers to investing in companies that are not publicly traded, or in other</w:t>
      </w:r>
      <w:r w:rsidR="00EC167F">
        <w:rPr>
          <w:rFonts w:ascii="Calibri" w:hAnsi="Calibri" w:cs="Calibri"/>
          <w:sz w:val="22"/>
          <w:szCs w:val="22"/>
        </w:rPr>
        <w:t xml:space="preserve"> </w:t>
      </w:r>
      <w:r w:rsidRPr="00EC167F">
        <w:rPr>
          <w:rFonts w:ascii="Calibri" w:hAnsi="Calibri" w:cs="Calibri"/>
          <w:sz w:val="22"/>
          <w:szCs w:val="22"/>
        </w:rPr>
        <w:t>words private companies.</w:t>
      </w:r>
    </w:p>
    <w:p w14:paraId="48F7457C" w14:textId="0B5A4044" w:rsidR="00E9710D" w:rsidRPr="00EC167F" w:rsidRDefault="00E9710D" w:rsidP="00EC167F">
      <w:pPr>
        <w:pStyle w:val="ListParagraph"/>
        <w:numPr>
          <w:ilvl w:val="1"/>
          <w:numId w:val="3"/>
        </w:numPr>
        <w:rPr>
          <w:rFonts w:ascii="Calibri" w:hAnsi="Calibri" w:cs="Calibri"/>
          <w:sz w:val="22"/>
          <w:szCs w:val="22"/>
        </w:rPr>
      </w:pPr>
      <w:r w:rsidRPr="00EC167F">
        <w:rPr>
          <w:rFonts w:ascii="Calibri" w:hAnsi="Calibri" w:cs="Calibri"/>
          <w:sz w:val="22"/>
          <w:szCs w:val="22"/>
        </w:rPr>
        <w:t>Private companies do not need to disclose financial and performance information, and</w:t>
      </w:r>
      <w:r w:rsidR="00EC167F">
        <w:rPr>
          <w:rFonts w:ascii="Calibri" w:hAnsi="Calibri" w:cs="Calibri"/>
          <w:sz w:val="22"/>
          <w:szCs w:val="22"/>
        </w:rPr>
        <w:t xml:space="preserve"> </w:t>
      </w:r>
      <w:r w:rsidRPr="00EC167F">
        <w:rPr>
          <w:rFonts w:ascii="Calibri" w:hAnsi="Calibri" w:cs="Calibri"/>
          <w:sz w:val="22"/>
          <w:szCs w:val="22"/>
        </w:rPr>
        <w:t xml:space="preserve">information about the company may be more difficult to </w:t>
      </w:r>
      <w:proofErr w:type="gramStart"/>
      <w:r w:rsidRPr="00EC167F">
        <w:rPr>
          <w:rFonts w:ascii="Calibri" w:hAnsi="Calibri" w:cs="Calibri"/>
          <w:sz w:val="22"/>
          <w:szCs w:val="22"/>
        </w:rPr>
        <w:t>find.•</w:t>
      </w:r>
      <w:proofErr w:type="gramEnd"/>
      <w:r w:rsidRPr="00EC167F">
        <w:rPr>
          <w:rFonts w:ascii="Calibri" w:hAnsi="Calibri" w:cs="Calibri"/>
          <w:sz w:val="22"/>
          <w:szCs w:val="22"/>
        </w:rPr>
        <w:t xml:space="preserve"> Investors trading in the private market must typically be, at minimum, an “accredited investor.”</w:t>
      </w:r>
    </w:p>
    <w:p w14:paraId="738DF2ED" w14:textId="22B58AC2" w:rsidR="00E9710D" w:rsidRPr="00EC167F" w:rsidRDefault="00E9710D" w:rsidP="00EC167F">
      <w:pPr>
        <w:pStyle w:val="ListParagraph"/>
        <w:numPr>
          <w:ilvl w:val="1"/>
          <w:numId w:val="3"/>
        </w:numPr>
        <w:rPr>
          <w:rFonts w:ascii="Calibri" w:hAnsi="Calibri" w:cs="Calibri"/>
          <w:sz w:val="22"/>
          <w:szCs w:val="22"/>
        </w:rPr>
      </w:pPr>
      <w:r w:rsidRPr="00EC167F">
        <w:rPr>
          <w:rFonts w:ascii="Calibri" w:hAnsi="Calibri" w:cs="Calibri"/>
          <w:sz w:val="22"/>
          <w:szCs w:val="22"/>
        </w:rPr>
        <w:t>When buying or selling a private company, the time between executing a trade to</w:t>
      </w:r>
      <w:r w:rsidR="00EC167F">
        <w:rPr>
          <w:rFonts w:ascii="Calibri" w:hAnsi="Calibri" w:cs="Calibri"/>
          <w:sz w:val="22"/>
          <w:szCs w:val="22"/>
        </w:rPr>
        <w:t xml:space="preserve"> </w:t>
      </w:r>
      <w:r w:rsidRPr="00EC167F">
        <w:rPr>
          <w:rFonts w:ascii="Calibri" w:hAnsi="Calibri" w:cs="Calibri"/>
          <w:sz w:val="22"/>
          <w:szCs w:val="22"/>
        </w:rPr>
        <w:t>settlement (receiving funds or securities) could extend up to several months.</w:t>
      </w:r>
    </w:p>
    <w:p w14:paraId="5677BEDA" w14:textId="77777777" w:rsidR="00E9710D" w:rsidRPr="00E9710D" w:rsidRDefault="00E9710D" w:rsidP="00E9710D">
      <w:pPr>
        <w:rPr>
          <w:rFonts w:ascii="Calibri" w:hAnsi="Calibri" w:cs="Calibri"/>
          <w:sz w:val="22"/>
          <w:szCs w:val="22"/>
        </w:rPr>
      </w:pPr>
    </w:p>
    <w:p w14:paraId="27AD67DC" w14:textId="3B26B197" w:rsidR="00E9710D" w:rsidRPr="00E9710D" w:rsidRDefault="00E9710D" w:rsidP="00E9710D">
      <w:pPr>
        <w:rPr>
          <w:rFonts w:ascii="Calibri" w:hAnsi="Calibri" w:cs="Calibri"/>
          <w:sz w:val="22"/>
          <w:szCs w:val="22"/>
          <w:u w:val="single"/>
        </w:rPr>
      </w:pPr>
      <w:r w:rsidRPr="00E9710D">
        <w:rPr>
          <w:rFonts w:ascii="Calibri" w:hAnsi="Calibri" w:cs="Calibri"/>
          <w:sz w:val="22"/>
          <w:szCs w:val="22"/>
          <w:u w:val="single"/>
        </w:rPr>
        <w:t>Accredited Investor</w:t>
      </w:r>
    </w:p>
    <w:p w14:paraId="483D4D9B" w14:textId="5A93AF7A" w:rsidR="00E9710D" w:rsidRPr="00EC167F" w:rsidRDefault="00E9710D" w:rsidP="00EC167F">
      <w:pPr>
        <w:pStyle w:val="ListParagraph"/>
        <w:numPr>
          <w:ilvl w:val="0"/>
          <w:numId w:val="4"/>
        </w:numPr>
        <w:rPr>
          <w:rFonts w:ascii="Calibri" w:hAnsi="Calibri" w:cs="Calibri"/>
          <w:sz w:val="22"/>
          <w:szCs w:val="22"/>
        </w:rPr>
      </w:pPr>
      <w:r w:rsidRPr="00EC167F">
        <w:rPr>
          <w:rFonts w:ascii="Calibri" w:hAnsi="Calibri" w:cs="Calibri"/>
          <w:sz w:val="22"/>
          <w:szCs w:val="22"/>
        </w:rPr>
        <w:t>An “accredited investor” is defined in Rule 501 of the SEC Regulation D, and in the context of a natural person, includes anyone who:</w:t>
      </w:r>
    </w:p>
    <w:p w14:paraId="3DB04D08" w14:textId="3993E49D" w:rsidR="00E9710D" w:rsidRPr="00EC167F" w:rsidRDefault="00E9710D" w:rsidP="00EC167F">
      <w:pPr>
        <w:pStyle w:val="ListParagraph"/>
        <w:numPr>
          <w:ilvl w:val="1"/>
          <w:numId w:val="5"/>
        </w:numPr>
        <w:rPr>
          <w:rFonts w:ascii="Calibri" w:hAnsi="Calibri" w:cs="Calibri"/>
          <w:sz w:val="22"/>
          <w:szCs w:val="22"/>
        </w:rPr>
      </w:pPr>
      <w:r w:rsidRPr="00EC167F">
        <w:rPr>
          <w:rFonts w:ascii="Calibri" w:hAnsi="Calibri" w:cs="Calibri"/>
          <w:sz w:val="22"/>
          <w:szCs w:val="22"/>
        </w:rPr>
        <w:t>Earned income that exceeded $200,000, or $300,000 together with a spouse, in each of</w:t>
      </w:r>
      <w:r w:rsidR="00EC167F">
        <w:rPr>
          <w:rFonts w:ascii="Calibri" w:hAnsi="Calibri" w:cs="Calibri"/>
          <w:sz w:val="22"/>
          <w:szCs w:val="22"/>
        </w:rPr>
        <w:t xml:space="preserve"> </w:t>
      </w:r>
      <w:r w:rsidRPr="00EC167F">
        <w:rPr>
          <w:rFonts w:ascii="Calibri" w:hAnsi="Calibri" w:cs="Calibri"/>
          <w:sz w:val="22"/>
          <w:szCs w:val="22"/>
        </w:rPr>
        <w:t>the prior two years, and reasonably expects the same for the current year, or</w:t>
      </w:r>
    </w:p>
    <w:p w14:paraId="0ED01364" w14:textId="14CB17FC" w:rsidR="00E9710D" w:rsidRPr="00EC167F" w:rsidRDefault="00E9710D" w:rsidP="00EC167F">
      <w:pPr>
        <w:pStyle w:val="ListParagraph"/>
        <w:numPr>
          <w:ilvl w:val="1"/>
          <w:numId w:val="5"/>
        </w:numPr>
        <w:rPr>
          <w:rFonts w:ascii="Calibri" w:hAnsi="Calibri" w:cs="Calibri"/>
          <w:sz w:val="22"/>
          <w:szCs w:val="22"/>
        </w:rPr>
      </w:pPr>
      <w:r w:rsidRPr="00EC167F">
        <w:rPr>
          <w:rFonts w:ascii="Calibri" w:hAnsi="Calibri" w:cs="Calibri"/>
          <w:sz w:val="22"/>
          <w:szCs w:val="22"/>
        </w:rPr>
        <w:t>Has a net worth over $1 million, either alone or together with a spouse (excluding the</w:t>
      </w:r>
      <w:r w:rsidR="00EC167F">
        <w:rPr>
          <w:rFonts w:ascii="Calibri" w:hAnsi="Calibri" w:cs="Calibri"/>
          <w:sz w:val="22"/>
          <w:szCs w:val="22"/>
        </w:rPr>
        <w:t xml:space="preserve"> </w:t>
      </w:r>
      <w:r w:rsidRPr="00EC167F">
        <w:rPr>
          <w:rFonts w:ascii="Calibri" w:hAnsi="Calibri" w:cs="Calibri"/>
          <w:sz w:val="22"/>
          <w:szCs w:val="22"/>
        </w:rPr>
        <w:t>value of their primary residence), or</w:t>
      </w:r>
    </w:p>
    <w:p w14:paraId="6848B061" w14:textId="1F184393" w:rsidR="00E9710D" w:rsidRPr="00EC167F" w:rsidRDefault="00E9710D" w:rsidP="00EC167F">
      <w:pPr>
        <w:pStyle w:val="ListParagraph"/>
        <w:numPr>
          <w:ilvl w:val="1"/>
          <w:numId w:val="5"/>
        </w:numPr>
        <w:rPr>
          <w:rFonts w:ascii="Calibri" w:hAnsi="Calibri" w:cs="Calibri"/>
          <w:sz w:val="22"/>
          <w:szCs w:val="22"/>
        </w:rPr>
      </w:pPr>
      <w:r w:rsidRPr="00EC167F">
        <w:rPr>
          <w:rFonts w:ascii="Calibri" w:hAnsi="Calibri" w:cs="Calibri"/>
          <w:sz w:val="22"/>
          <w:szCs w:val="22"/>
        </w:rPr>
        <w:t>Individuals who have certain professional certifications, designations or credentials, or</w:t>
      </w:r>
      <w:r w:rsidR="00EC167F">
        <w:rPr>
          <w:rFonts w:ascii="Calibri" w:hAnsi="Calibri" w:cs="Calibri"/>
          <w:sz w:val="22"/>
          <w:szCs w:val="22"/>
        </w:rPr>
        <w:t xml:space="preserve"> </w:t>
      </w:r>
      <w:r w:rsidRPr="00EC167F">
        <w:rPr>
          <w:rFonts w:ascii="Calibri" w:hAnsi="Calibri" w:cs="Calibri"/>
          <w:sz w:val="22"/>
          <w:szCs w:val="22"/>
        </w:rPr>
        <w:t>Individuals who are “knowledgeable employees” as defined in Rule 3c-5(a)(4) under the</w:t>
      </w:r>
      <w:r w:rsidR="00EC167F">
        <w:rPr>
          <w:rFonts w:ascii="Calibri" w:hAnsi="Calibri" w:cs="Calibri"/>
          <w:sz w:val="22"/>
          <w:szCs w:val="22"/>
        </w:rPr>
        <w:t xml:space="preserve"> </w:t>
      </w:r>
      <w:r w:rsidRPr="00EC167F">
        <w:rPr>
          <w:rFonts w:ascii="Calibri" w:hAnsi="Calibri" w:cs="Calibri"/>
          <w:sz w:val="22"/>
          <w:szCs w:val="22"/>
        </w:rPr>
        <w:t>Investment Company Act of 1940.</w:t>
      </w:r>
    </w:p>
    <w:p w14:paraId="699C71C3" w14:textId="77777777" w:rsidR="00E9710D" w:rsidRDefault="00E9710D" w:rsidP="00E9710D">
      <w:pPr>
        <w:rPr>
          <w:rFonts w:ascii="Calibri" w:hAnsi="Calibri" w:cs="Calibri"/>
          <w:sz w:val="22"/>
          <w:szCs w:val="22"/>
        </w:rPr>
      </w:pPr>
    </w:p>
    <w:p w14:paraId="18281313" w14:textId="704386EF" w:rsidR="00E9710D" w:rsidRPr="00E9710D" w:rsidRDefault="00E9710D" w:rsidP="00E9710D">
      <w:pPr>
        <w:rPr>
          <w:rFonts w:ascii="Calibri" w:hAnsi="Calibri" w:cs="Calibri"/>
          <w:sz w:val="22"/>
          <w:szCs w:val="22"/>
          <w:u w:val="single"/>
        </w:rPr>
      </w:pPr>
      <w:r w:rsidRPr="00E9710D">
        <w:rPr>
          <w:rFonts w:ascii="Calibri" w:hAnsi="Calibri" w:cs="Calibri"/>
          <w:sz w:val="22"/>
          <w:szCs w:val="22"/>
          <w:u w:val="single"/>
        </w:rPr>
        <w:lastRenderedPageBreak/>
        <w:t>Risks Inherent in the Private Markets</w:t>
      </w:r>
    </w:p>
    <w:p w14:paraId="54707D45" w14:textId="29826B10"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Investing in private company securities is not suitable for all investors.</w:t>
      </w:r>
    </w:p>
    <w:p w14:paraId="7DFB5A99" w14:textId="1301A937"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An investment in private company securities is highly speculative and involves a high</w:t>
      </w:r>
      <w:r w:rsidR="00EC167F" w:rsidRPr="00EC167F">
        <w:rPr>
          <w:rFonts w:ascii="Calibri" w:hAnsi="Calibri" w:cs="Calibri"/>
          <w:sz w:val="22"/>
          <w:szCs w:val="22"/>
        </w:rPr>
        <w:t xml:space="preserve"> </w:t>
      </w:r>
      <w:r w:rsidRPr="00EC167F">
        <w:rPr>
          <w:rFonts w:ascii="Calibri" w:hAnsi="Calibri" w:cs="Calibri"/>
          <w:sz w:val="22"/>
          <w:szCs w:val="22"/>
        </w:rPr>
        <w:t>degree of risk.</w:t>
      </w:r>
    </w:p>
    <w:p w14:paraId="2ECF9F56" w14:textId="4C36454B"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It should only be considered as a long-term investment.</w:t>
      </w:r>
    </w:p>
    <w:p w14:paraId="6E20748A" w14:textId="6A88117D"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You must be prepared to withstand a total loss of your investment.</w:t>
      </w:r>
    </w:p>
    <w:p w14:paraId="6E37EB33" w14:textId="6B3F0A3D"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Private company securities are also highly illiquid and there is no guarantee that a</w:t>
      </w:r>
      <w:r w:rsidR="00EC167F" w:rsidRPr="00EC167F">
        <w:rPr>
          <w:rFonts w:ascii="Calibri" w:hAnsi="Calibri" w:cs="Calibri"/>
          <w:sz w:val="22"/>
          <w:szCs w:val="22"/>
        </w:rPr>
        <w:t xml:space="preserve"> </w:t>
      </w:r>
      <w:r w:rsidRPr="00EC167F">
        <w:rPr>
          <w:rFonts w:ascii="Calibri" w:hAnsi="Calibri" w:cs="Calibri"/>
          <w:sz w:val="22"/>
          <w:szCs w:val="22"/>
        </w:rPr>
        <w:t>market will develop for such securities.</w:t>
      </w:r>
    </w:p>
    <w:p w14:paraId="03139C7A" w14:textId="115FAD59"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Securities laws generally prohibits the resale of restricted securities without an available</w:t>
      </w:r>
      <w:r w:rsidR="00EC167F" w:rsidRPr="00EC167F">
        <w:rPr>
          <w:rFonts w:ascii="Calibri" w:hAnsi="Calibri" w:cs="Calibri"/>
          <w:sz w:val="22"/>
          <w:szCs w:val="22"/>
        </w:rPr>
        <w:t xml:space="preserve"> </w:t>
      </w:r>
      <w:r w:rsidRPr="00EC167F">
        <w:rPr>
          <w:rFonts w:ascii="Calibri" w:hAnsi="Calibri" w:cs="Calibri"/>
          <w:sz w:val="22"/>
          <w:szCs w:val="22"/>
        </w:rPr>
        <w:t>exemption from registration which limits a holder’s ability to resale his or her private</w:t>
      </w:r>
      <w:r w:rsidR="00EC167F" w:rsidRPr="00EC167F">
        <w:rPr>
          <w:rFonts w:ascii="Calibri" w:hAnsi="Calibri" w:cs="Calibri"/>
          <w:sz w:val="22"/>
          <w:szCs w:val="22"/>
        </w:rPr>
        <w:t xml:space="preserve"> </w:t>
      </w:r>
      <w:r w:rsidRPr="00EC167F">
        <w:rPr>
          <w:rFonts w:ascii="Calibri" w:hAnsi="Calibri" w:cs="Calibri"/>
          <w:sz w:val="22"/>
          <w:szCs w:val="22"/>
        </w:rPr>
        <w:t>securities quickly. Such securities also may be subject to restrictions placed by the issuer</w:t>
      </w:r>
      <w:r w:rsidR="00EC167F" w:rsidRPr="00EC167F">
        <w:rPr>
          <w:rFonts w:ascii="Calibri" w:hAnsi="Calibri" w:cs="Calibri"/>
          <w:sz w:val="22"/>
          <w:szCs w:val="22"/>
        </w:rPr>
        <w:t xml:space="preserve"> </w:t>
      </w:r>
      <w:proofErr w:type="gramStart"/>
      <w:r w:rsidRPr="00EC167F">
        <w:rPr>
          <w:rFonts w:ascii="Calibri" w:hAnsi="Calibri" w:cs="Calibri"/>
          <w:sz w:val="22"/>
          <w:szCs w:val="22"/>
        </w:rPr>
        <w:t>in order to</w:t>
      </w:r>
      <w:proofErr w:type="gramEnd"/>
      <w:r w:rsidRPr="00EC167F">
        <w:rPr>
          <w:rFonts w:ascii="Calibri" w:hAnsi="Calibri" w:cs="Calibri"/>
          <w:sz w:val="22"/>
          <w:szCs w:val="22"/>
        </w:rPr>
        <w:t xml:space="preserve"> resale the securities.</w:t>
      </w:r>
    </w:p>
    <w:p w14:paraId="77F079D5" w14:textId="339F438E"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Each investment also carries its own specific risks, and you should complete your own</w:t>
      </w:r>
      <w:r w:rsidR="00EC167F" w:rsidRPr="00EC167F">
        <w:rPr>
          <w:rFonts w:ascii="Calibri" w:hAnsi="Calibri" w:cs="Calibri"/>
          <w:sz w:val="22"/>
          <w:szCs w:val="22"/>
        </w:rPr>
        <w:t xml:space="preserve"> </w:t>
      </w:r>
      <w:r w:rsidRPr="00EC167F">
        <w:rPr>
          <w:rFonts w:ascii="Calibri" w:hAnsi="Calibri" w:cs="Calibri"/>
          <w:sz w:val="22"/>
          <w:szCs w:val="22"/>
        </w:rPr>
        <w:t>independent due diligence regarding the investment, including obtaining additional</w:t>
      </w:r>
      <w:r w:rsidR="00EC167F" w:rsidRPr="00EC167F">
        <w:rPr>
          <w:rFonts w:ascii="Calibri" w:hAnsi="Calibri" w:cs="Calibri"/>
          <w:sz w:val="22"/>
          <w:szCs w:val="22"/>
        </w:rPr>
        <w:t xml:space="preserve"> </w:t>
      </w:r>
      <w:r w:rsidRPr="00EC167F">
        <w:rPr>
          <w:rFonts w:ascii="Calibri" w:hAnsi="Calibri" w:cs="Calibri"/>
          <w:sz w:val="22"/>
          <w:szCs w:val="22"/>
        </w:rPr>
        <w:t>information about the company, opinions, financial projections and legal or other</w:t>
      </w:r>
      <w:r w:rsidR="00EC167F" w:rsidRPr="00EC167F">
        <w:rPr>
          <w:rFonts w:ascii="Calibri" w:hAnsi="Calibri" w:cs="Calibri"/>
          <w:sz w:val="22"/>
          <w:szCs w:val="22"/>
        </w:rPr>
        <w:t xml:space="preserve"> </w:t>
      </w:r>
      <w:r w:rsidRPr="00EC167F">
        <w:rPr>
          <w:rFonts w:ascii="Calibri" w:hAnsi="Calibri" w:cs="Calibri"/>
          <w:sz w:val="22"/>
          <w:szCs w:val="22"/>
        </w:rPr>
        <w:t>investment advice. Information about private companies including its financials can also</w:t>
      </w:r>
      <w:r w:rsidR="00EC167F" w:rsidRPr="00EC167F">
        <w:rPr>
          <w:rFonts w:ascii="Calibri" w:hAnsi="Calibri" w:cs="Calibri"/>
          <w:sz w:val="22"/>
          <w:szCs w:val="22"/>
        </w:rPr>
        <w:t xml:space="preserve"> </w:t>
      </w:r>
      <w:r w:rsidRPr="00EC167F">
        <w:rPr>
          <w:rFonts w:ascii="Calibri" w:hAnsi="Calibri" w:cs="Calibri"/>
          <w:sz w:val="22"/>
          <w:szCs w:val="22"/>
        </w:rPr>
        <w:t>be limited and not readily available, as distinguished from public companies.</w:t>
      </w:r>
    </w:p>
    <w:p w14:paraId="2A0507FC" w14:textId="60DE2712" w:rsidR="00E9710D" w:rsidRPr="00EC167F" w:rsidRDefault="00E9710D" w:rsidP="00EC167F">
      <w:pPr>
        <w:pStyle w:val="ListParagraph"/>
        <w:numPr>
          <w:ilvl w:val="0"/>
          <w:numId w:val="7"/>
        </w:numPr>
        <w:rPr>
          <w:rFonts w:ascii="Calibri" w:hAnsi="Calibri" w:cs="Calibri"/>
          <w:sz w:val="22"/>
          <w:szCs w:val="22"/>
        </w:rPr>
      </w:pPr>
      <w:r w:rsidRPr="00EC167F">
        <w:rPr>
          <w:rFonts w:ascii="Calibri" w:hAnsi="Calibri" w:cs="Calibri"/>
          <w:sz w:val="22"/>
          <w:szCs w:val="22"/>
        </w:rPr>
        <w:t>Accordingly, investing in private company securities is appropriate only for those</w:t>
      </w:r>
      <w:r w:rsidR="00EC167F" w:rsidRPr="00EC167F">
        <w:rPr>
          <w:rFonts w:ascii="Calibri" w:hAnsi="Calibri" w:cs="Calibri"/>
          <w:sz w:val="22"/>
          <w:szCs w:val="22"/>
        </w:rPr>
        <w:t xml:space="preserve"> </w:t>
      </w:r>
      <w:r w:rsidRPr="00EC167F">
        <w:rPr>
          <w:rFonts w:ascii="Calibri" w:hAnsi="Calibri" w:cs="Calibri"/>
          <w:sz w:val="22"/>
          <w:szCs w:val="22"/>
        </w:rPr>
        <w:t>sophisticated investors who can also tolerate a high degree of risk and do not require a</w:t>
      </w:r>
      <w:r w:rsidR="00EC167F" w:rsidRPr="00EC167F">
        <w:rPr>
          <w:rFonts w:ascii="Calibri" w:hAnsi="Calibri" w:cs="Calibri"/>
          <w:sz w:val="22"/>
          <w:szCs w:val="22"/>
        </w:rPr>
        <w:t xml:space="preserve"> </w:t>
      </w:r>
      <w:r w:rsidRPr="00EC167F">
        <w:rPr>
          <w:rFonts w:ascii="Calibri" w:hAnsi="Calibri" w:cs="Calibri"/>
          <w:sz w:val="22"/>
          <w:szCs w:val="22"/>
        </w:rPr>
        <w:t>liquid investment.</w:t>
      </w:r>
    </w:p>
    <w:p w14:paraId="6B96FEE5" w14:textId="77777777" w:rsidR="00E9710D" w:rsidRPr="00E9710D" w:rsidRDefault="00E9710D" w:rsidP="00E9710D">
      <w:pPr>
        <w:rPr>
          <w:rFonts w:ascii="Calibri" w:hAnsi="Calibri" w:cs="Calibri"/>
          <w:sz w:val="22"/>
          <w:szCs w:val="22"/>
        </w:rPr>
      </w:pPr>
    </w:p>
    <w:p w14:paraId="1BEDF14C" w14:textId="45B1F102" w:rsidR="00E9710D" w:rsidRPr="00E9710D" w:rsidRDefault="00E9710D" w:rsidP="00E9710D">
      <w:pPr>
        <w:rPr>
          <w:rFonts w:ascii="Calibri" w:hAnsi="Calibri" w:cs="Calibri"/>
          <w:sz w:val="22"/>
          <w:szCs w:val="22"/>
          <w:u w:val="single"/>
        </w:rPr>
      </w:pPr>
      <w:r w:rsidRPr="00E9710D">
        <w:rPr>
          <w:rFonts w:ascii="Calibri" w:hAnsi="Calibri" w:cs="Calibri"/>
          <w:sz w:val="22"/>
          <w:szCs w:val="22"/>
          <w:u w:val="single"/>
        </w:rPr>
        <w:t>The Forge Platform</w:t>
      </w:r>
    </w:p>
    <w:p w14:paraId="08579F7B" w14:textId="77777777" w:rsidR="0014341F" w:rsidRDefault="00E9710D" w:rsidP="00E9710D">
      <w:pPr>
        <w:pStyle w:val="ListParagraph"/>
        <w:numPr>
          <w:ilvl w:val="0"/>
          <w:numId w:val="8"/>
        </w:numPr>
        <w:rPr>
          <w:rFonts w:ascii="Calibri" w:hAnsi="Calibri" w:cs="Calibri"/>
          <w:sz w:val="22"/>
          <w:szCs w:val="22"/>
        </w:rPr>
      </w:pPr>
      <w:r w:rsidRPr="0014341F">
        <w:rPr>
          <w:rFonts w:ascii="Calibri" w:hAnsi="Calibri" w:cs="Calibri"/>
          <w:sz w:val="22"/>
          <w:szCs w:val="22"/>
        </w:rPr>
        <w:t>Data and Analysis Tools. Learn about private companies by visiting their page on</w:t>
      </w:r>
      <w:r w:rsidR="0014341F">
        <w:rPr>
          <w:rFonts w:ascii="Calibri" w:hAnsi="Calibri" w:cs="Calibri"/>
          <w:sz w:val="22"/>
          <w:szCs w:val="22"/>
        </w:rPr>
        <w:t xml:space="preserve"> </w:t>
      </w:r>
      <w:r w:rsidRPr="0014341F">
        <w:rPr>
          <w:rFonts w:ascii="Calibri" w:hAnsi="Calibri" w:cs="Calibri"/>
          <w:sz w:val="22"/>
          <w:szCs w:val="22"/>
        </w:rPr>
        <w:t>www.forgeglobal.com. View news, financings and cap table information and select</w:t>
      </w:r>
      <w:r w:rsidR="0014341F">
        <w:rPr>
          <w:rFonts w:ascii="Calibri" w:hAnsi="Calibri" w:cs="Calibri"/>
          <w:sz w:val="22"/>
          <w:szCs w:val="22"/>
        </w:rPr>
        <w:t xml:space="preserve"> </w:t>
      </w:r>
      <w:r w:rsidRPr="0014341F">
        <w:rPr>
          <w:rFonts w:ascii="Calibri" w:hAnsi="Calibri" w:cs="Calibri"/>
          <w:sz w:val="22"/>
          <w:szCs w:val="22"/>
        </w:rPr>
        <w:t>valuation inputs to track their value over time.</w:t>
      </w:r>
    </w:p>
    <w:p w14:paraId="03F521C9" w14:textId="7FADDC46" w:rsidR="00233406" w:rsidRPr="00233406" w:rsidRDefault="00E9710D" w:rsidP="00233406">
      <w:pPr>
        <w:pStyle w:val="ListParagraph"/>
        <w:numPr>
          <w:ilvl w:val="0"/>
          <w:numId w:val="8"/>
        </w:numPr>
        <w:rPr>
          <w:rFonts w:ascii="Calibri" w:hAnsi="Calibri" w:cs="Calibri"/>
          <w:sz w:val="22"/>
          <w:szCs w:val="22"/>
        </w:rPr>
      </w:pPr>
      <w:r w:rsidRPr="0014341F">
        <w:rPr>
          <w:rFonts w:ascii="Calibri" w:hAnsi="Calibri" w:cs="Calibri"/>
          <w:sz w:val="22"/>
          <w:szCs w:val="22"/>
        </w:rPr>
        <w:t xml:space="preserve">Private Securities Specialist. </w:t>
      </w:r>
      <w:r w:rsidR="0014341F">
        <w:rPr>
          <w:rFonts w:ascii="Calibri" w:hAnsi="Calibri" w:cs="Calibri"/>
          <w:sz w:val="22"/>
          <w:szCs w:val="22"/>
        </w:rPr>
        <w:t>Forge</w:t>
      </w:r>
      <w:r w:rsidRPr="0014341F">
        <w:rPr>
          <w:rFonts w:ascii="Calibri" w:hAnsi="Calibri" w:cs="Calibri"/>
          <w:sz w:val="22"/>
          <w:szCs w:val="22"/>
        </w:rPr>
        <w:t xml:space="preserve"> personnel are FINRA registered representatives who</w:t>
      </w:r>
      <w:r w:rsidR="0014341F">
        <w:rPr>
          <w:rFonts w:ascii="Calibri" w:hAnsi="Calibri" w:cs="Calibri"/>
          <w:sz w:val="22"/>
          <w:szCs w:val="22"/>
        </w:rPr>
        <w:t xml:space="preserve"> </w:t>
      </w:r>
      <w:r w:rsidRPr="0014341F">
        <w:rPr>
          <w:rFonts w:ascii="Calibri" w:hAnsi="Calibri" w:cs="Calibri"/>
          <w:sz w:val="22"/>
          <w:szCs w:val="22"/>
        </w:rPr>
        <w:t>are experts at trading private equity. They’re here to answer your questions and make</w:t>
      </w:r>
      <w:r w:rsidR="0014341F">
        <w:rPr>
          <w:rFonts w:ascii="Calibri" w:hAnsi="Calibri" w:cs="Calibri"/>
          <w:sz w:val="22"/>
          <w:szCs w:val="22"/>
        </w:rPr>
        <w:t xml:space="preserve"> </w:t>
      </w:r>
      <w:r w:rsidRPr="0014341F">
        <w:rPr>
          <w:rFonts w:ascii="Calibri" w:hAnsi="Calibri" w:cs="Calibri"/>
          <w:sz w:val="22"/>
          <w:szCs w:val="22"/>
        </w:rPr>
        <w:t>sure your transactions are seamlessly executed.</w:t>
      </w:r>
      <w:r w:rsidR="00233406">
        <w:rPr>
          <w:rFonts w:ascii="Calibri" w:hAnsi="Calibri" w:cs="Calibri"/>
          <w:sz w:val="22"/>
          <w:szCs w:val="22"/>
        </w:rPr>
        <w:t xml:space="preserve"> </w:t>
      </w:r>
      <w:r w:rsidR="00233406" w:rsidRPr="00233406">
        <w:rPr>
          <w:rFonts w:ascii="Calibri" w:hAnsi="Calibri" w:cs="Calibri"/>
          <w:sz w:val="22"/>
          <w:szCs w:val="22"/>
        </w:rPr>
        <w:t>Consult your private market specialist to learn</w:t>
      </w:r>
      <w:r w:rsidR="00233406">
        <w:rPr>
          <w:rFonts w:ascii="Calibri" w:hAnsi="Calibri" w:cs="Calibri"/>
          <w:sz w:val="22"/>
          <w:szCs w:val="22"/>
        </w:rPr>
        <w:t xml:space="preserve"> </w:t>
      </w:r>
      <w:r w:rsidR="00233406" w:rsidRPr="00233406">
        <w:rPr>
          <w:rFonts w:ascii="Calibri" w:hAnsi="Calibri" w:cs="Calibri"/>
          <w:sz w:val="22"/>
          <w:szCs w:val="22"/>
        </w:rPr>
        <w:t>more about private market trading and start to</w:t>
      </w:r>
      <w:r w:rsidR="00233406">
        <w:rPr>
          <w:rFonts w:ascii="Calibri" w:hAnsi="Calibri" w:cs="Calibri"/>
          <w:sz w:val="22"/>
          <w:szCs w:val="22"/>
        </w:rPr>
        <w:t xml:space="preserve"> </w:t>
      </w:r>
      <w:r w:rsidR="00233406" w:rsidRPr="00233406">
        <w:rPr>
          <w:rFonts w:ascii="Calibri" w:hAnsi="Calibri" w:cs="Calibri"/>
          <w:sz w:val="22"/>
          <w:szCs w:val="22"/>
        </w:rPr>
        <w:t>receive Forge's market analysis and data insights</w:t>
      </w:r>
    </w:p>
    <w:p w14:paraId="61B1EA30" w14:textId="25BF6CE5" w:rsidR="0014341F" w:rsidRDefault="00E9710D" w:rsidP="00E9710D">
      <w:pPr>
        <w:pStyle w:val="ListParagraph"/>
        <w:numPr>
          <w:ilvl w:val="0"/>
          <w:numId w:val="8"/>
        </w:numPr>
        <w:rPr>
          <w:rFonts w:ascii="Calibri" w:hAnsi="Calibri" w:cs="Calibri"/>
          <w:sz w:val="22"/>
          <w:szCs w:val="22"/>
        </w:rPr>
      </w:pPr>
      <w:r w:rsidRPr="0014341F">
        <w:rPr>
          <w:rFonts w:ascii="Calibri" w:hAnsi="Calibri" w:cs="Calibri"/>
          <w:sz w:val="22"/>
          <w:szCs w:val="22"/>
        </w:rPr>
        <w:t xml:space="preserve">Minimum Investment Amount. </w:t>
      </w:r>
      <w:r w:rsidR="0014341F">
        <w:rPr>
          <w:rFonts w:ascii="Calibri" w:hAnsi="Calibri" w:cs="Calibri"/>
          <w:sz w:val="22"/>
          <w:szCs w:val="22"/>
        </w:rPr>
        <w:t>Forge’s</w:t>
      </w:r>
      <w:r w:rsidRPr="0014341F">
        <w:rPr>
          <w:rFonts w:ascii="Calibri" w:hAnsi="Calibri" w:cs="Calibri"/>
          <w:sz w:val="22"/>
          <w:szCs w:val="22"/>
        </w:rPr>
        <w:t xml:space="preserve"> standard minimum transaction size is</w:t>
      </w:r>
      <w:r w:rsidR="0014341F">
        <w:rPr>
          <w:rFonts w:ascii="Calibri" w:hAnsi="Calibri" w:cs="Calibri"/>
          <w:sz w:val="22"/>
          <w:szCs w:val="22"/>
        </w:rPr>
        <w:t xml:space="preserve"> </w:t>
      </w:r>
      <w:r w:rsidRPr="0014341F">
        <w:rPr>
          <w:rFonts w:ascii="Calibri" w:hAnsi="Calibri" w:cs="Calibri"/>
          <w:sz w:val="22"/>
          <w:szCs w:val="22"/>
        </w:rPr>
        <w:t>$100,000</w:t>
      </w:r>
      <w:r w:rsidR="0014341F">
        <w:rPr>
          <w:rFonts w:ascii="Calibri" w:hAnsi="Calibri" w:cs="Calibri"/>
          <w:sz w:val="22"/>
          <w:szCs w:val="22"/>
        </w:rPr>
        <w:t xml:space="preserve"> </w:t>
      </w:r>
      <w:r w:rsidRPr="0014341F">
        <w:rPr>
          <w:rFonts w:ascii="Calibri" w:hAnsi="Calibri" w:cs="Calibri"/>
          <w:sz w:val="22"/>
          <w:szCs w:val="22"/>
        </w:rPr>
        <w:t>USD; however, we may allow you to buy or sell an amount less than the</w:t>
      </w:r>
      <w:r w:rsidR="0014341F">
        <w:rPr>
          <w:rFonts w:ascii="Calibri" w:hAnsi="Calibri" w:cs="Calibri"/>
          <w:sz w:val="22"/>
          <w:szCs w:val="22"/>
        </w:rPr>
        <w:t xml:space="preserve"> </w:t>
      </w:r>
      <w:r w:rsidRPr="0014341F">
        <w:rPr>
          <w:rFonts w:ascii="Calibri" w:hAnsi="Calibri" w:cs="Calibri"/>
          <w:sz w:val="22"/>
          <w:szCs w:val="22"/>
        </w:rPr>
        <w:t>minimum, e.g., when an issuer allows smaller trade amounts or to receive a partial</w:t>
      </w:r>
      <w:r w:rsidR="0014341F">
        <w:rPr>
          <w:rFonts w:ascii="Calibri" w:hAnsi="Calibri" w:cs="Calibri"/>
          <w:sz w:val="22"/>
          <w:szCs w:val="22"/>
        </w:rPr>
        <w:t xml:space="preserve"> </w:t>
      </w:r>
      <w:r w:rsidRPr="0014341F">
        <w:rPr>
          <w:rFonts w:ascii="Calibri" w:hAnsi="Calibri" w:cs="Calibri"/>
          <w:sz w:val="22"/>
          <w:szCs w:val="22"/>
        </w:rPr>
        <w:t>execution of a larger order.</w:t>
      </w:r>
    </w:p>
    <w:p w14:paraId="702A884E" w14:textId="77777777" w:rsidR="0014341F" w:rsidRDefault="00E9710D" w:rsidP="00E9710D">
      <w:pPr>
        <w:pStyle w:val="ListParagraph"/>
        <w:numPr>
          <w:ilvl w:val="0"/>
          <w:numId w:val="8"/>
        </w:numPr>
        <w:rPr>
          <w:rFonts w:ascii="Calibri" w:hAnsi="Calibri" w:cs="Calibri"/>
          <w:sz w:val="22"/>
          <w:szCs w:val="22"/>
        </w:rPr>
      </w:pPr>
      <w:r w:rsidRPr="0014341F">
        <w:rPr>
          <w:rFonts w:ascii="Calibri" w:hAnsi="Calibri" w:cs="Calibri"/>
          <w:sz w:val="22"/>
          <w:szCs w:val="22"/>
        </w:rPr>
        <w:t>Accredited Investor. Purchasers must, at minimum, be an accredited investor.</w:t>
      </w:r>
    </w:p>
    <w:p w14:paraId="68D0C1D1" w14:textId="5580A0A9" w:rsidR="00E9710D" w:rsidRPr="0014341F" w:rsidRDefault="0014341F" w:rsidP="00E9710D">
      <w:pPr>
        <w:pStyle w:val="ListParagraph"/>
        <w:numPr>
          <w:ilvl w:val="0"/>
          <w:numId w:val="8"/>
        </w:numPr>
        <w:rPr>
          <w:rFonts w:ascii="Calibri" w:hAnsi="Calibri" w:cs="Calibri"/>
          <w:sz w:val="22"/>
          <w:szCs w:val="22"/>
        </w:rPr>
      </w:pPr>
      <w:r>
        <w:rPr>
          <w:rFonts w:ascii="Calibri" w:hAnsi="Calibri" w:cs="Calibri"/>
          <w:sz w:val="22"/>
          <w:szCs w:val="22"/>
        </w:rPr>
        <w:t>Forge</w:t>
      </w:r>
      <w:r w:rsidR="00C23126">
        <w:rPr>
          <w:rFonts w:ascii="Calibri" w:hAnsi="Calibri" w:cs="Calibri"/>
          <w:sz w:val="22"/>
          <w:szCs w:val="22"/>
        </w:rPr>
        <w:t>’s Fee</w:t>
      </w:r>
      <w:r w:rsidR="00E9710D" w:rsidRPr="0014341F">
        <w:rPr>
          <w:rFonts w:ascii="Calibri" w:hAnsi="Calibri" w:cs="Calibri"/>
          <w:sz w:val="22"/>
          <w:szCs w:val="22"/>
        </w:rPr>
        <w:t xml:space="preserve">. You will pay us a </w:t>
      </w:r>
      <w:r w:rsidR="00C23126">
        <w:rPr>
          <w:rFonts w:ascii="Calibri" w:hAnsi="Calibri" w:cs="Calibri"/>
          <w:sz w:val="22"/>
          <w:szCs w:val="22"/>
        </w:rPr>
        <w:t xml:space="preserve">transaction </w:t>
      </w:r>
      <w:r w:rsidR="00E9710D" w:rsidRPr="0014341F">
        <w:rPr>
          <w:rFonts w:ascii="Calibri" w:hAnsi="Calibri" w:cs="Calibri"/>
          <w:sz w:val="22"/>
          <w:szCs w:val="22"/>
        </w:rPr>
        <w:t>fee every time you buy or sell a private</w:t>
      </w:r>
      <w:r>
        <w:rPr>
          <w:rFonts w:ascii="Calibri" w:hAnsi="Calibri" w:cs="Calibri"/>
          <w:sz w:val="22"/>
          <w:szCs w:val="22"/>
        </w:rPr>
        <w:t xml:space="preserve"> </w:t>
      </w:r>
      <w:r w:rsidR="00E9710D" w:rsidRPr="0014341F">
        <w:rPr>
          <w:rFonts w:ascii="Calibri" w:hAnsi="Calibri" w:cs="Calibri"/>
          <w:sz w:val="22"/>
          <w:szCs w:val="22"/>
        </w:rPr>
        <w:t xml:space="preserve">company security. Typically, our </w:t>
      </w:r>
      <w:r w:rsidR="00C23126">
        <w:rPr>
          <w:rFonts w:ascii="Calibri" w:hAnsi="Calibri" w:cs="Calibri"/>
          <w:sz w:val="22"/>
          <w:szCs w:val="22"/>
        </w:rPr>
        <w:t>transaction fee</w:t>
      </w:r>
      <w:r w:rsidR="00E9710D" w:rsidRPr="0014341F">
        <w:rPr>
          <w:rFonts w:ascii="Calibri" w:hAnsi="Calibri" w:cs="Calibri"/>
          <w:sz w:val="22"/>
          <w:szCs w:val="22"/>
        </w:rPr>
        <w:t xml:space="preserve"> is 5%. You may pay a higher </w:t>
      </w:r>
      <w:r w:rsidR="00C23126">
        <w:rPr>
          <w:rFonts w:ascii="Calibri" w:hAnsi="Calibri" w:cs="Calibri"/>
          <w:sz w:val="22"/>
          <w:szCs w:val="22"/>
        </w:rPr>
        <w:t>fee</w:t>
      </w:r>
      <w:r w:rsidR="00E9710D" w:rsidRPr="0014341F">
        <w:rPr>
          <w:rFonts w:ascii="Calibri" w:hAnsi="Calibri" w:cs="Calibri"/>
          <w:sz w:val="22"/>
          <w:szCs w:val="22"/>
        </w:rPr>
        <w:t xml:space="preserve"> if</w:t>
      </w:r>
      <w:r>
        <w:rPr>
          <w:rFonts w:ascii="Calibri" w:hAnsi="Calibri" w:cs="Calibri"/>
          <w:sz w:val="22"/>
          <w:szCs w:val="22"/>
        </w:rPr>
        <w:t xml:space="preserve"> </w:t>
      </w:r>
      <w:r w:rsidR="00E9710D" w:rsidRPr="0014341F">
        <w:rPr>
          <w:rFonts w:ascii="Calibri" w:hAnsi="Calibri" w:cs="Calibri"/>
          <w:sz w:val="22"/>
          <w:szCs w:val="22"/>
        </w:rPr>
        <w:t>the total dollar amount of the transaction is less than our minimum transaction amount</w:t>
      </w:r>
      <w:r>
        <w:rPr>
          <w:rFonts w:ascii="Calibri" w:hAnsi="Calibri" w:cs="Calibri"/>
          <w:sz w:val="22"/>
          <w:szCs w:val="22"/>
        </w:rPr>
        <w:t xml:space="preserve"> </w:t>
      </w:r>
      <w:r w:rsidR="00E9710D" w:rsidRPr="0014341F">
        <w:rPr>
          <w:rFonts w:ascii="Calibri" w:hAnsi="Calibri" w:cs="Calibri"/>
          <w:sz w:val="22"/>
          <w:szCs w:val="22"/>
        </w:rPr>
        <w:t xml:space="preserve">of $100,000. The </w:t>
      </w:r>
      <w:r w:rsidR="00C23126">
        <w:rPr>
          <w:rFonts w:ascii="Calibri" w:hAnsi="Calibri" w:cs="Calibri"/>
          <w:sz w:val="22"/>
          <w:szCs w:val="22"/>
        </w:rPr>
        <w:t>fee</w:t>
      </w:r>
      <w:r w:rsidR="00E9710D" w:rsidRPr="0014341F">
        <w:rPr>
          <w:rFonts w:ascii="Calibri" w:hAnsi="Calibri" w:cs="Calibri"/>
          <w:sz w:val="22"/>
          <w:szCs w:val="22"/>
        </w:rPr>
        <w:t xml:space="preserve"> charged to you will be due upon settlement (closing) of</w:t>
      </w:r>
      <w:r>
        <w:rPr>
          <w:rFonts w:ascii="Calibri" w:hAnsi="Calibri" w:cs="Calibri"/>
          <w:sz w:val="22"/>
          <w:szCs w:val="22"/>
        </w:rPr>
        <w:t xml:space="preserve"> </w:t>
      </w:r>
      <w:r w:rsidR="00E9710D" w:rsidRPr="0014341F">
        <w:rPr>
          <w:rFonts w:ascii="Calibri" w:hAnsi="Calibri" w:cs="Calibri"/>
          <w:sz w:val="22"/>
          <w:szCs w:val="22"/>
        </w:rPr>
        <w:t>your transaction. You may pay additional fees imposed by the issuer, such as legal</w:t>
      </w:r>
      <w:r>
        <w:rPr>
          <w:rFonts w:ascii="Calibri" w:hAnsi="Calibri" w:cs="Calibri"/>
          <w:sz w:val="22"/>
          <w:szCs w:val="22"/>
        </w:rPr>
        <w:t xml:space="preserve"> </w:t>
      </w:r>
      <w:r w:rsidR="00E9710D" w:rsidRPr="0014341F">
        <w:rPr>
          <w:rFonts w:ascii="Calibri" w:hAnsi="Calibri" w:cs="Calibri"/>
          <w:sz w:val="22"/>
          <w:szCs w:val="22"/>
        </w:rPr>
        <w:t>opinions, transfer fees</w:t>
      </w:r>
      <w:r w:rsidR="00C23126">
        <w:rPr>
          <w:rFonts w:ascii="Calibri" w:hAnsi="Calibri" w:cs="Calibri"/>
          <w:sz w:val="22"/>
          <w:szCs w:val="22"/>
        </w:rPr>
        <w:t>,</w:t>
      </w:r>
      <w:r w:rsidR="00E9710D" w:rsidRPr="0014341F">
        <w:rPr>
          <w:rFonts w:ascii="Calibri" w:hAnsi="Calibri" w:cs="Calibri"/>
          <w:sz w:val="22"/>
          <w:szCs w:val="22"/>
        </w:rPr>
        <w:t xml:space="preserve"> or escrow.</w:t>
      </w:r>
    </w:p>
    <w:p w14:paraId="247D0CD9" w14:textId="77777777" w:rsidR="0014341F" w:rsidRDefault="00E9710D" w:rsidP="00E9710D">
      <w:pPr>
        <w:pStyle w:val="ListParagraph"/>
        <w:numPr>
          <w:ilvl w:val="0"/>
          <w:numId w:val="8"/>
        </w:numPr>
        <w:rPr>
          <w:rFonts w:ascii="Calibri" w:hAnsi="Calibri" w:cs="Calibri"/>
          <w:sz w:val="22"/>
          <w:szCs w:val="22"/>
        </w:rPr>
      </w:pPr>
      <w:r w:rsidRPr="0014341F">
        <w:rPr>
          <w:rFonts w:ascii="Calibri" w:hAnsi="Calibri" w:cs="Calibri"/>
          <w:sz w:val="22"/>
          <w:szCs w:val="22"/>
        </w:rPr>
        <w:t>Proof of Ownership. Sellers must provide proof of ownership in the private company.</w:t>
      </w:r>
    </w:p>
    <w:p w14:paraId="6C7FA9CC" w14:textId="622878DF" w:rsidR="00E9710D" w:rsidRPr="0014341F" w:rsidRDefault="00E9710D" w:rsidP="00E9710D">
      <w:pPr>
        <w:pStyle w:val="ListParagraph"/>
        <w:numPr>
          <w:ilvl w:val="0"/>
          <w:numId w:val="8"/>
        </w:numPr>
        <w:rPr>
          <w:rFonts w:ascii="Calibri" w:hAnsi="Calibri" w:cs="Calibri"/>
          <w:sz w:val="22"/>
          <w:szCs w:val="22"/>
        </w:rPr>
      </w:pPr>
      <w:r w:rsidRPr="0014341F">
        <w:rPr>
          <w:rFonts w:ascii="Calibri" w:hAnsi="Calibri" w:cs="Calibri"/>
          <w:sz w:val="22"/>
          <w:szCs w:val="22"/>
        </w:rPr>
        <w:t xml:space="preserve">Anti-Money Laundering Review. U.S. federal laws </w:t>
      </w:r>
      <w:proofErr w:type="gramStart"/>
      <w:r w:rsidRPr="0014341F">
        <w:rPr>
          <w:rFonts w:ascii="Calibri" w:hAnsi="Calibri" w:cs="Calibri"/>
          <w:sz w:val="22"/>
          <w:szCs w:val="22"/>
        </w:rPr>
        <w:t>requires</w:t>
      </w:r>
      <w:proofErr w:type="gramEnd"/>
      <w:r w:rsidRPr="0014341F">
        <w:rPr>
          <w:rFonts w:ascii="Calibri" w:hAnsi="Calibri" w:cs="Calibri"/>
          <w:sz w:val="22"/>
          <w:szCs w:val="22"/>
        </w:rPr>
        <w:t xml:space="preserve"> all financial institutions to</w:t>
      </w:r>
      <w:r w:rsidR="0014341F">
        <w:rPr>
          <w:rFonts w:ascii="Calibri" w:hAnsi="Calibri" w:cs="Calibri"/>
          <w:sz w:val="22"/>
          <w:szCs w:val="22"/>
        </w:rPr>
        <w:t xml:space="preserve"> </w:t>
      </w:r>
      <w:r w:rsidRPr="0014341F">
        <w:rPr>
          <w:rFonts w:ascii="Calibri" w:hAnsi="Calibri" w:cs="Calibri"/>
          <w:sz w:val="22"/>
          <w:szCs w:val="22"/>
        </w:rPr>
        <w:t>obtain, verify, and record information that identifies each person or entity with whom</w:t>
      </w:r>
      <w:r w:rsidR="0014341F">
        <w:rPr>
          <w:rFonts w:ascii="Calibri" w:hAnsi="Calibri" w:cs="Calibri"/>
          <w:sz w:val="22"/>
          <w:szCs w:val="22"/>
        </w:rPr>
        <w:t xml:space="preserve"> </w:t>
      </w:r>
      <w:r w:rsidRPr="0014341F">
        <w:rPr>
          <w:rFonts w:ascii="Calibri" w:hAnsi="Calibri" w:cs="Calibri"/>
          <w:sz w:val="22"/>
          <w:szCs w:val="22"/>
        </w:rPr>
        <w:t>we conduct securities transactions. In addition to asking you for your name and address</w:t>
      </w:r>
      <w:r w:rsidR="0014341F">
        <w:rPr>
          <w:rFonts w:ascii="Calibri" w:hAnsi="Calibri" w:cs="Calibri"/>
          <w:sz w:val="22"/>
          <w:szCs w:val="22"/>
        </w:rPr>
        <w:t xml:space="preserve"> </w:t>
      </w:r>
      <w:r w:rsidRPr="0014341F">
        <w:rPr>
          <w:rFonts w:ascii="Calibri" w:hAnsi="Calibri" w:cs="Calibri"/>
          <w:sz w:val="22"/>
          <w:szCs w:val="22"/>
        </w:rPr>
        <w:t xml:space="preserve">and other identifying information, </w:t>
      </w:r>
      <w:r w:rsidR="0014341F">
        <w:rPr>
          <w:rFonts w:ascii="Calibri" w:hAnsi="Calibri" w:cs="Calibri"/>
          <w:sz w:val="22"/>
          <w:szCs w:val="22"/>
        </w:rPr>
        <w:t>Forge</w:t>
      </w:r>
      <w:r w:rsidRPr="0014341F">
        <w:rPr>
          <w:rFonts w:ascii="Calibri" w:hAnsi="Calibri" w:cs="Calibri"/>
          <w:sz w:val="22"/>
          <w:szCs w:val="22"/>
        </w:rPr>
        <w:t xml:space="preserve"> may also request other identifying information</w:t>
      </w:r>
      <w:r w:rsidR="0014341F">
        <w:rPr>
          <w:rFonts w:ascii="Calibri" w:hAnsi="Calibri" w:cs="Calibri"/>
          <w:sz w:val="22"/>
          <w:szCs w:val="22"/>
        </w:rPr>
        <w:t xml:space="preserve"> </w:t>
      </w:r>
      <w:r w:rsidRPr="0014341F">
        <w:rPr>
          <w:rFonts w:ascii="Calibri" w:hAnsi="Calibri" w:cs="Calibri"/>
          <w:sz w:val="22"/>
          <w:szCs w:val="22"/>
        </w:rPr>
        <w:t>and documentation.</w:t>
      </w:r>
    </w:p>
    <w:p w14:paraId="747765AE" w14:textId="77777777" w:rsidR="00E9710D" w:rsidRPr="00E9710D" w:rsidRDefault="00E9710D" w:rsidP="00E9710D">
      <w:pPr>
        <w:rPr>
          <w:rFonts w:ascii="Calibri" w:hAnsi="Calibri" w:cs="Calibri"/>
          <w:sz w:val="22"/>
          <w:szCs w:val="22"/>
        </w:rPr>
      </w:pPr>
    </w:p>
    <w:p w14:paraId="78A1EB52" w14:textId="6A52605D" w:rsidR="00E9710D" w:rsidRPr="00E9710D" w:rsidRDefault="00E9710D" w:rsidP="00E9710D">
      <w:pPr>
        <w:rPr>
          <w:rFonts w:ascii="Calibri" w:hAnsi="Calibri" w:cs="Calibri"/>
          <w:sz w:val="22"/>
          <w:szCs w:val="22"/>
          <w:u w:val="single"/>
        </w:rPr>
      </w:pPr>
      <w:r w:rsidRPr="00E9710D">
        <w:rPr>
          <w:rFonts w:ascii="Calibri" w:hAnsi="Calibri" w:cs="Calibri"/>
          <w:sz w:val="22"/>
          <w:szCs w:val="22"/>
          <w:u w:val="single"/>
        </w:rPr>
        <w:t xml:space="preserve">Typical Transaction </w:t>
      </w:r>
      <w:r w:rsidR="00B36A85">
        <w:rPr>
          <w:rFonts w:ascii="Calibri" w:hAnsi="Calibri" w:cs="Calibri"/>
          <w:sz w:val="22"/>
          <w:szCs w:val="22"/>
          <w:u w:val="single"/>
        </w:rPr>
        <w:t>Process</w:t>
      </w:r>
    </w:p>
    <w:p w14:paraId="76CD9E80" w14:textId="3DE89B46" w:rsidR="00E9710D" w:rsidRPr="0014341F" w:rsidRDefault="00E9710D" w:rsidP="0014341F">
      <w:pPr>
        <w:pStyle w:val="ListParagraph"/>
        <w:numPr>
          <w:ilvl w:val="0"/>
          <w:numId w:val="9"/>
        </w:numPr>
        <w:rPr>
          <w:rFonts w:ascii="Calibri" w:hAnsi="Calibri" w:cs="Calibri"/>
          <w:sz w:val="22"/>
          <w:szCs w:val="22"/>
        </w:rPr>
      </w:pPr>
      <w:r w:rsidRPr="0014341F">
        <w:rPr>
          <w:rFonts w:ascii="Calibri" w:hAnsi="Calibri" w:cs="Calibri"/>
          <w:sz w:val="22"/>
          <w:szCs w:val="22"/>
        </w:rPr>
        <w:t>Buyers and sellers submit an indication of interest in buying/selling shares.</w:t>
      </w:r>
    </w:p>
    <w:p w14:paraId="2BF969A8" w14:textId="77777777" w:rsidR="0014341F" w:rsidRDefault="00E9710D" w:rsidP="00E9710D">
      <w:pPr>
        <w:pStyle w:val="ListParagraph"/>
        <w:numPr>
          <w:ilvl w:val="0"/>
          <w:numId w:val="9"/>
        </w:numPr>
        <w:rPr>
          <w:rFonts w:ascii="Calibri" w:hAnsi="Calibri" w:cs="Calibri"/>
          <w:sz w:val="22"/>
          <w:szCs w:val="22"/>
        </w:rPr>
      </w:pPr>
      <w:r w:rsidRPr="0014341F">
        <w:rPr>
          <w:rFonts w:ascii="Calibri" w:hAnsi="Calibri" w:cs="Calibri"/>
          <w:sz w:val="22"/>
          <w:szCs w:val="22"/>
        </w:rPr>
        <w:t xml:space="preserve">The buyer and seller agree on a price and </w:t>
      </w:r>
      <w:proofErr w:type="gramStart"/>
      <w:r w:rsidRPr="0014341F">
        <w:rPr>
          <w:rFonts w:ascii="Calibri" w:hAnsi="Calibri" w:cs="Calibri"/>
          <w:sz w:val="22"/>
          <w:szCs w:val="22"/>
        </w:rPr>
        <w:t>a number of</w:t>
      </w:r>
      <w:proofErr w:type="gramEnd"/>
      <w:r w:rsidRPr="0014341F">
        <w:rPr>
          <w:rFonts w:ascii="Calibri" w:hAnsi="Calibri" w:cs="Calibri"/>
          <w:sz w:val="22"/>
          <w:szCs w:val="22"/>
        </w:rPr>
        <w:t xml:space="preserve"> shares.</w:t>
      </w:r>
    </w:p>
    <w:p w14:paraId="2E8080D3" w14:textId="1B9D0D84" w:rsidR="00E9710D" w:rsidRPr="0014341F" w:rsidRDefault="0014341F" w:rsidP="00E9710D">
      <w:pPr>
        <w:pStyle w:val="ListParagraph"/>
        <w:numPr>
          <w:ilvl w:val="0"/>
          <w:numId w:val="9"/>
        </w:numPr>
        <w:rPr>
          <w:rFonts w:ascii="Calibri" w:hAnsi="Calibri" w:cs="Calibri"/>
          <w:sz w:val="22"/>
          <w:szCs w:val="22"/>
        </w:rPr>
      </w:pPr>
      <w:r>
        <w:rPr>
          <w:rFonts w:ascii="Calibri" w:hAnsi="Calibri" w:cs="Calibri"/>
          <w:sz w:val="22"/>
          <w:szCs w:val="22"/>
        </w:rPr>
        <w:lastRenderedPageBreak/>
        <w:t>Forge</w:t>
      </w:r>
      <w:r w:rsidR="00E9710D" w:rsidRPr="0014341F">
        <w:rPr>
          <w:rFonts w:ascii="Calibri" w:hAnsi="Calibri" w:cs="Calibri"/>
          <w:sz w:val="22"/>
          <w:szCs w:val="22"/>
        </w:rPr>
        <w:t xml:space="preserve"> assists the buyer and seller in completing terms sheets, executing client</w:t>
      </w:r>
      <w:r>
        <w:rPr>
          <w:rFonts w:ascii="Calibri" w:hAnsi="Calibri" w:cs="Calibri"/>
          <w:sz w:val="22"/>
          <w:szCs w:val="22"/>
        </w:rPr>
        <w:t xml:space="preserve"> </w:t>
      </w:r>
      <w:r w:rsidR="00E9710D" w:rsidRPr="0014341F">
        <w:rPr>
          <w:rFonts w:ascii="Calibri" w:hAnsi="Calibri" w:cs="Calibri"/>
          <w:sz w:val="22"/>
          <w:szCs w:val="22"/>
        </w:rPr>
        <w:t>engagement and purchase agreements, and notices to the company. When purchasing</w:t>
      </w:r>
      <w:r>
        <w:rPr>
          <w:rFonts w:ascii="Calibri" w:hAnsi="Calibri" w:cs="Calibri"/>
          <w:sz w:val="22"/>
          <w:szCs w:val="22"/>
        </w:rPr>
        <w:t xml:space="preserve"> </w:t>
      </w:r>
      <w:r w:rsidR="00E9710D" w:rsidRPr="0014341F">
        <w:rPr>
          <w:rFonts w:ascii="Calibri" w:hAnsi="Calibri" w:cs="Calibri"/>
          <w:sz w:val="22"/>
          <w:szCs w:val="22"/>
        </w:rPr>
        <w:t xml:space="preserve">interests in a Fund, </w:t>
      </w:r>
      <w:r>
        <w:rPr>
          <w:rFonts w:ascii="Calibri" w:hAnsi="Calibri" w:cs="Calibri"/>
          <w:sz w:val="22"/>
          <w:szCs w:val="22"/>
        </w:rPr>
        <w:t>Forge</w:t>
      </w:r>
      <w:r w:rsidR="00E9710D" w:rsidRPr="0014341F">
        <w:rPr>
          <w:rFonts w:ascii="Calibri" w:hAnsi="Calibri" w:cs="Calibri"/>
          <w:sz w:val="22"/>
          <w:szCs w:val="22"/>
        </w:rPr>
        <w:t xml:space="preserve"> assist the buyer by providing applicable offering documents, such as a Private Placement</w:t>
      </w:r>
      <w:r>
        <w:rPr>
          <w:rFonts w:ascii="Calibri" w:hAnsi="Calibri" w:cs="Calibri"/>
          <w:sz w:val="22"/>
          <w:szCs w:val="22"/>
        </w:rPr>
        <w:t xml:space="preserve"> </w:t>
      </w:r>
      <w:r w:rsidR="00E9710D" w:rsidRPr="0014341F">
        <w:rPr>
          <w:rFonts w:ascii="Calibri" w:hAnsi="Calibri" w:cs="Calibri"/>
          <w:sz w:val="22"/>
          <w:szCs w:val="22"/>
        </w:rPr>
        <w:t>Memorandum, Subscription Agreement, and Operating Agreement.</w:t>
      </w:r>
    </w:p>
    <w:p w14:paraId="219D1D8D" w14:textId="21A6B486" w:rsidR="00E9710D" w:rsidRPr="0014341F" w:rsidRDefault="0014341F" w:rsidP="00E9710D">
      <w:pPr>
        <w:pStyle w:val="ListParagraph"/>
        <w:numPr>
          <w:ilvl w:val="0"/>
          <w:numId w:val="9"/>
        </w:numPr>
        <w:rPr>
          <w:rFonts w:ascii="Calibri" w:hAnsi="Calibri" w:cs="Calibri"/>
          <w:sz w:val="22"/>
          <w:szCs w:val="22"/>
        </w:rPr>
      </w:pPr>
      <w:r>
        <w:rPr>
          <w:rFonts w:ascii="Calibri" w:hAnsi="Calibri" w:cs="Calibri"/>
          <w:sz w:val="22"/>
          <w:szCs w:val="22"/>
        </w:rPr>
        <w:t>Forge</w:t>
      </w:r>
      <w:r w:rsidR="00E9710D" w:rsidRPr="0014341F">
        <w:rPr>
          <w:rFonts w:ascii="Calibri" w:hAnsi="Calibri" w:cs="Calibri"/>
          <w:sz w:val="22"/>
          <w:szCs w:val="22"/>
        </w:rPr>
        <w:t xml:space="preserve"> works with the company to ensure the transaction follows its preferred Right of</w:t>
      </w:r>
      <w:r>
        <w:rPr>
          <w:rFonts w:ascii="Calibri" w:hAnsi="Calibri" w:cs="Calibri"/>
          <w:sz w:val="22"/>
          <w:szCs w:val="22"/>
        </w:rPr>
        <w:t xml:space="preserve"> </w:t>
      </w:r>
      <w:r w:rsidR="00E9710D" w:rsidRPr="0014341F">
        <w:rPr>
          <w:rFonts w:ascii="Calibri" w:hAnsi="Calibri" w:cs="Calibri"/>
          <w:sz w:val="22"/>
          <w:szCs w:val="22"/>
        </w:rPr>
        <w:t>First Refusal (“ROFR”) or settlement process. The ROFR provides a company with the</w:t>
      </w:r>
      <w:r>
        <w:rPr>
          <w:rFonts w:ascii="Calibri" w:hAnsi="Calibri" w:cs="Calibri"/>
          <w:sz w:val="22"/>
          <w:szCs w:val="22"/>
        </w:rPr>
        <w:t xml:space="preserve"> </w:t>
      </w:r>
      <w:r w:rsidR="00E9710D" w:rsidRPr="0014341F">
        <w:rPr>
          <w:rFonts w:ascii="Calibri" w:hAnsi="Calibri" w:cs="Calibri"/>
          <w:sz w:val="22"/>
          <w:szCs w:val="22"/>
        </w:rPr>
        <w:t>option to step in as buyer in a transaction.</w:t>
      </w:r>
    </w:p>
    <w:p w14:paraId="035D9A4E" w14:textId="16FD4C19" w:rsidR="00E9710D" w:rsidRPr="0014341F" w:rsidRDefault="0014341F" w:rsidP="00E9710D">
      <w:pPr>
        <w:pStyle w:val="ListParagraph"/>
        <w:numPr>
          <w:ilvl w:val="0"/>
          <w:numId w:val="9"/>
        </w:numPr>
        <w:rPr>
          <w:rFonts w:ascii="Calibri" w:hAnsi="Calibri" w:cs="Calibri"/>
          <w:sz w:val="22"/>
          <w:szCs w:val="22"/>
        </w:rPr>
      </w:pPr>
      <w:r>
        <w:rPr>
          <w:rFonts w:ascii="Calibri" w:hAnsi="Calibri" w:cs="Calibri"/>
          <w:sz w:val="22"/>
          <w:szCs w:val="22"/>
        </w:rPr>
        <w:t>Forge</w:t>
      </w:r>
      <w:r w:rsidR="00E9710D" w:rsidRPr="0014341F">
        <w:rPr>
          <w:rFonts w:ascii="Calibri" w:hAnsi="Calibri" w:cs="Calibri"/>
          <w:sz w:val="22"/>
          <w:szCs w:val="22"/>
        </w:rPr>
        <w:t xml:space="preserve"> assists the buyer and seller in executing the company’s stock transfer agreement,</w:t>
      </w:r>
      <w:r>
        <w:rPr>
          <w:rFonts w:ascii="Calibri" w:hAnsi="Calibri" w:cs="Calibri"/>
          <w:sz w:val="22"/>
          <w:szCs w:val="22"/>
        </w:rPr>
        <w:t xml:space="preserve"> </w:t>
      </w:r>
      <w:r w:rsidR="00E9710D" w:rsidRPr="0014341F">
        <w:rPr>
          <w:rFonts w:ascii="Calibri" w:hAnsi="Calibri" w:cs="Calibri"/>
          <w:sz w:val="22"/>
          <w:szCs w:val="22"/>
        </w:rPr>
        <w:t>and legal opinion (if required by the company).</w:t>
      </w:r>
    </w:p>
    <w:p w14:paraId="3D19FF84" w14:textId="11416729" w:rsidR="00E9710D" w:rsidRPr="0014341F" w:rsidRDefault="00E9710D" w:rsidP="0014341F">
      <w:pPr>
        <w:pStyle w:val="ListParagraph"/>
        <w:numPr>
          <w:ilvl w:val="0"/>
          <w:numId w:val="9"/>
        </w:numPr>
        <w:rPr>
          <w:rFonts w:ascii="Calibri" w:hAnsi="Calibri" w:cs="Calibri"/>
          <w:sz w:val="22"/>
          <w:szCs w:val="22"/>
        </w:rPr>
      </w:pPr>
      <w:r w:rsidRPr="0014341F">
        <w:rPr>
          <w:rFonts w:ascii="Calibri" w:hAnsi="Calibri" w:cs="Calibri"/>
          <w:sz w:val="22"/>
          <w:szCs w:val="22"/>
        </w:rPr>
        <w:t>Cap table changes are made by company at the closing of a transaction.</w:t>
      </w:r>
    </w:p>
    <w:p w14:paraId="687ABAD8" w14:textId="2ACC7F8B" w:rsidR="00E9710D" w:rsidRPr="0014341F" w:rsidRDefault="00E9710D" w:rsidP="0014341F">
      <w:pPr>
        <w:pStyle w:val="ListParagraph"/>
        <w:numPr>
          <w:ilvl w:val="0"/>
          <w:numId w:val="9"/>
        </w:numPr>
        <w:rPr>
          <w:rFonts w:ascii="Calibri" w:hAnsi="Calibri" w:cs="Calibri"/>
          <w:sz w:val="22"/>
          <w:szCs w:val="22"/>
        </w:rPr>
      </w:pPr>
      <w:r w:rsidRPr="0014341F">
        <w:rPr>
          <w:rFonts w:ascii="Calibri" w:hAnsi="Calibri" w:cs="Calibri"/>
          <w:sz w:val="22"/>
          <w:szCs w:val="22"/>
        </w:rPr>
        <w:t>The typical transaction time is 45-60 days</w:t>
      </w:r>
    </w:p>
    <w:p w14:paraId="1BBEE8AE" w14:textId="508FF6A6" w:rsidR="002A3490" w:rsidRDefault="002A3490" w:rsidP="00E9710D">
      <w:pPr>
        <w:rPr>
          <w:rFonts w:ascii="Calibri" w:hAnsi="Calibri" w:cs="Calibri"/>
          <w:sz w:val="22"/>
          <w:szCs w:val="22"/>
        </w:rPr>
      </w:pPr>
    </w:p>
    <w:p w14:paraId="2012785E" w14:textId="6EE5C7E9" w:rsidR="0079597D" w:rsidRDefault="0079597D" w:rsidP="00E9710D">
      <w:pPr>
        <w:rPr>
          <w:rFonts w:ascii="Calibri" w:hAnsi="Calibri" w:cs="Calibri"/>
          <w:sz w:val="22"/>
          <w:szCs w:val="22"/>
          <w:u w:val="single"/>
        </w:rPr>
      </w:pPr>
      <w:r w:rsidRPr="0079597D">
        <w:rPr>
          <w:rFonts w:ascii="Calibri" w:hAnsi="Calibri" w:cs="Calibri"/>
          <w:sz w:val="22"/>
          <w:szCs w:val="22"/>
          <w:u w:val="single"/>
        </w:rPr>
        <w:t>Forge Pro</w:t>
      </w:r>
    </w:p>
    <w:p w14:paraId="161BB5A7" w14:textId="4DBC718F" w:rsidR="00233406" w:rsidRPr="00233406" w:rsidRDefault="00233406" w:rsidP="00233406">
      <w:pPr>
        <w:pStyle w:val="ListParagraph"/>
        <w:numPr>
          <w:ilvl w:val="0"/>
          <w:numId w:val="10"/>
        </w:numPr>
        <w:rPr>
          <w:rFonts w:ascii="Calibri" w:hAnsi="Calibri" w:cs="Calibri"/>
          <w:sz w:val="22"/>
          <w:szCs w:val="22"/>
        </w:rPr>
      </w:pPr>
      <w:r w:rsidRPr="00233406">
        <w:rPr>
          <w:rFonts w:ascii="Calibri" w:hAnsi="Calibri" w:cs="Calibri"/>
          <w:sz w:val="22"/>
          <w:szCs w:val="22"/>
        </w:rPr>
        <w:t>Forge Data provides investors with same-day bids/asks, live pricing information, and closed trade prices</w:t>
      </w:r>
      <w:r>
        <w:rPr>
          <w:rFonts w:ascii="Calibri" w:hAnsi="Calibri" w:cs="Calibri"/>
          <w:sz w:val="22"/>
          <w:szCs w:val="22"/>
        </w:rPr>
        <w:t xml:space="preserve"> </w:t>
      </w:r>
      <w:r w:rsidRPr="00233406">
        <w:rPr>
          <w:rFonts w:ascii="Calibri" w:hAnsi="Calibri" w:cs="Calibri"/>
          <w:sz w:val="22"/>
          <w:szCs w:val="22"/>
        </w:rPr>
        <w:t>and volumes to make investment decisions and mark portfolios to market.</w:t>
      </w:r>
    </w:p>
    <w:p w14:paraId="35A68B98" w14:textId="453179D5" w:rsidR="0079597D" w:rsidRPr="0079597D" w:rsidRDefault="0079597D" w:rsidP="0079597D">
      <w:pPr>
        <w:pStyle w:val="ListParagraph"/>
        <w:numPr>
          <w:ilvl w:val="0"/>
          <w:numId w:val="10"/>
        </w:numPr>
        <w:rPr>
          <w:rFonts w:ascii="Calibri" w:hAnsi="Calibri" w:cs="Calibri"/>
          <w:sz w:val="22"/>
          <w:szCs w:val="22"/>
        </w:rPr>
      </w:pPr>
      <w:r w:rsidRPr="0079597D">
        <w:rPr>
          <w:rFonts w:ascii="Calibri" w:hAnsi="Calibri" w:cs="Calibri"/>
          <w:sz w:val="22"/>
          <w:szCs w:val="22"/>
        </w:rPr>
        <w:t xml:space="preserve">Comprehensive secondary market order entry features, trade management tools, and market analytics </w:t>
      </w:r>
    </w:p>
    <w:p w14:paraId="51461724" w14:textId="77777777" w:rsidR="0079597D" w:rsidRPr="0079597D" w:rsidRDefault="0079597D" w:rsidP="0079597D">
      <w:pPr>
        <w:pStyle w:val="ListParagraph"/>
        <w:numPr>
          <w:ilvl w:val="0"/>
          <w:numId w:val="10"/>
        </w:numPr>
        <w:rPr>
          <w:rFonts w:ascii="Calibri" w:hAnsi="Calibri" w:cs="Calibri"/>
          <w:sz w:val="22"/>
          <w:szCs w:val="22"/>
        </w:rPr>
      </w:pPr>
      <w:r w:rsidRPr="0079597D">
        <w:rPr>
          <w:rFonts w:ascii="Calibri" w:hAnsi="Calibri" w:cs="Calibri"/>
          <w:sz w:val="22"/>
          <w:szCs w:val="22"/>
        </w:rPr>
        <w:t xml:space="preserve">New live order book from active Forge trading clients plus notifications with pricing updates on watched companies </w:t>
      </w:r>
    </w:p>
    <w:p w14:paraId="08F2A084" w14:textId="77777777" w:rsidR="0079597D" w:rsidRPr="0079597D" w:rsidRDefault="0079597D" w:rsidP="0079597D">
      <w:pPr>
        <w:pStyle w:val="ListParagraph"/>
        <w:numPr>
          <w:ilvl w:val="0"/>
          <w:numId w:val="10"/>
        </w:numPr>
        <w:rPr>
          <w:rFonts w:ascii="Calibri" w:hAnsi="Calibri" w:cs="Calibri"/>
          <w:sz w:val="22"/>
          <w:szCs w:val="22"/>
        </w:rPr>
      </w:pPr>
      <w:r w:rsidRPr="0079597D">
        <w:rPr>
          <w:rFonts w:ascii="Calibri" w:hAnsi="Calibri" w:cs="Calibri"/>
          <w:sz w:val="22"/>
          <w:szCs w:val="22"/>
        </w:rPr>
        <w:t xml:space="preserve">Risk and compliance features from Forge (NYSE: FRGE), the only public company focused on private secondaries markets </w:t>
      </w:r>
    </w:p>
    <w:p w14:paraId="42D74EEE" w14:textId="77777777" w:rsidR="0079597D" w:rsidRPr="0079597D" w:rsidRDefault="0079597D" w:rsidP="0079597D">
      <w:pPr>
        <w:rPr>
          <w:rFonts w:ascii="Calibri" w:hAnsi="Calibri" w:cs="Calibri"/>
          <w:sz w:val="22"/>
          <w:szCs w:val="22"/>
          <w:u w:val="single"/>
        </w:rPr>
      </w:pPr>
    </w:p>
    <w:p w14:paraId="4B26A6CF" w14:textId="77777777" w:rsidR="0079597D" w:rsidRPr="0079597D" w:rsidRDefault="0079597D" w:rsidP="0079597D">
      <w:pPr>
        <w:pStyle w:val="NormalWeb"/>
        <w:spacing w:before="0" w:beforeAutospacing="0" w:after="0" w:afterAutospacing="0"/>
        <w:rPr>
          <w:rFonts w:ascii="Calibri" w:hAnsi="Calibri" w:cs="Calibri"/>
          <w:sz w:val="22"/>
          <w:szCs w:val="22"/>
        </w:rPr>
      </w:pPr>
      <w:r w:rsidRPr="0079597D">
        <w:rPr>
          <w:rFonts w:ascii="Calibri" w:hAnsi="Calibri" w:cs="Calibri"/>
          <w:sz w:val="22"/>
          <w:szCs w:val="22"/>
        </w:rPr>
        <w:t xml:space="preserve">Trade Management </w:t>
      </w:r>
    </w:p>
    <w:p w14:paraId="24DA3AD4" w14:textId="5A5B6D9E" w:rsidR="0079597D" w:rsidRPr="0079597D" w:rsidRDefault="0079597D" w:rsidP="0079597D">
      <w:pPr>
        <w:pStyle w:val="NormalWeb"/>
        <w:numPr>
          <w:ilvl w:val="0"/>
          <w:numId w:val="11"/>
        </w:numPr>
        <w:spacing w:before="0" w:beforeAutospacing="0" w:after="0" w:afterAutospacing="0"/>
        <w:rPr>
          <w:rFonts w:ascii="Calibri" w:hAnsi="Calibri" w:cs="Calibri"/>
          <w:sz w:val="22"/>
          <w:szCs w:val="22"/>
        </w:rPr>
      </w:pPr>
      <w:r w:rsidRPr="0079597D">
        <w:rPr>
          <w:rFonts w:ascii="Calibri" w:hAnsi="Calibri" w:cs="Calibri"/>
          <w:sz w:val="22"/>
          <w:szCs w:val="22"/>
        </w:rPr>
        <w:t>Submit indications of interest (IOIs) to buy/sell private company share</w:t>
      </w:r>
    </w:p>
    <w:p w14:paraId="630F9282" w14:textId="17177E2B" w:rsidR="0079597D" w:rsidRPr="0079597D" w:rsidRDefault="0079597D" w:rsidP="0079597D">
      <w:pPr>
        <w:pStyle w:val="NormalWeb"/>
        <w:numPr>
          <w:ilvl w:val="0"/>
          <w:numId w:val="11"/>
        </w:numPr>
        <w:spacing w:before="0" w:beforeAutospacing="0" w:after="0" w:afterAutospacing="0"/>
        <w:rPr>
          <w:rFonts w:ascii="Calibri" w:hAnsi="Calibri" w:cs="Calibri"/>
          <w:sz w:val="22"/>
          <w:szCs w:val="22"/>
        </w:rPr>
      </w:pPr>
      <w:r w:rsidRPr="0079597D">
        <w:rPr>
          <w:rFonts w:ascii="Calibri" w:hAnsi="Calibri" w:cs="Calibri"/>
          <w:sz w:val="22"/>
          <w:szCs w:val="22"/>
        </w:rPr>
        <w:t>Specify common vs. preferred stock, direct vs. SPV, etc.</w:t>
      </w:r>
    </w:p>
    <w:p w14:paraId="6774679B" w14:textId="327734D0" w:rsidR="0079597D" w:rsidRDefault="0079597D" w:rsidP="0079597D">
      <w:pPr>
        <w:pStyle w:val="NormalWeb"/>
        <w:numPr>
          <w:ilvl w:val="0"/>
          <w:numId w:val="11"/>
        </w:numPr>
        <w:spacing w:before="0" w:beforeAutospacing="0" w:after="0" w:afterAutospacing="0"/>
        <w:rPr>
          <w:rFonts w:ascii="Calibri" w:hAnsi="Calibri" w:cs="Calibri"/>
          <w:sz w:val="22"/>
          <w:szCs w:val="22"/>
        </w:rPr>
      </w:pPr>
      <w:r w:rsidRPr="0079597D">
        <w:rPr>
          <w:rFonts w:ascii="Calibri" w:hAnsi="Calibri" w:cs="Calibri"/>
          <w:sz w:val="22"/>
          <w:szCs w:val="22"/>
        </w:rPr>
        <w:t>Track trade status and</w:t>
      </w:r>
      <w:r>
        <w:rPr>
          <w:rFonts w:ascii="Calibri" w:hAnsi="Calibri" w:cs="Calibri"/>
          <w:sz w:val="22"/>
          <w:szCs w:val="22"/>
        </w:rPr>
        <w:t xml:space="preserve"> </w:t>
      </w:r>
      <w:r w:rsidRPr="0079597D">
        <w:rPr>
          <w:rFonts w:ascii="Calibri" w:hAnsi="Calibri" w:cs="Calibri"/>
          <w:sz w:val="22"/>
          <w:szCs w:val="22"/>
        </w:rPr>
        <w:t xml:space="preserve">execute transaction documents </w:t>
      </w:r>
    </w:p>
    <w:p w14:paraId="6D670206" w14:textId="77777777" w:rsidR="0079597D" w:rsidRDefault="0079597D" w:rsidP="0079597D">
      <w:pPr>
        <w:pStyle w:val="NormalWeb"/>
        <w:spacing w:before="0" w:beforeAutospacing="0" w:after="0" w:afterAutospacing="0"/>
        <w:rPr>
          <w:rFonts w:ascii="Calibri" w:hAnsi="Calibri" w:cs="Calibri"/>
          <w:sz w:val="22"/>
          <w:szCs w:val="22"/>
        </w:rPr>
      </w:pPr>
    </w:p>
    <w:p w14:paraId="1F78C42A" w14:textId="400D147D" w:rsidR="0079597D" w:rsidRPr="0079597D" w:rsidRDefault="0079597D" w:rsidP="0079597D">
      <w:pPr>
        <w:pStyle w:val="NormalWeb"/>
        <w:spacing w:before="0" w:beforeAutospacing="0" w:after="0" w:afterAutospacing="0"/>
        <w:rPr>
          <w:rFonts w:ascii="Calibri" w:hAnsi="Calibri" w:cs="Calibri"/>
          <w:sz w:val="22"/>
          <w:szCs w:val="22"/>
        </w:rPr>
      </w:pPr>
      <w:r w:rsidRPr="0079597D">
        <w:rPr>
          <w:rFonts w:ascii="Calibri" w:hAnsi="Calibri" w:cs="Calibri"/>
          <w:sz w:val="22"/>
          <w:szCs w:val="22"/>
        </w:rPr>
        <w:t xml:space="preserve">Live IOI book with bid/ask prices, volumes, and spreads </w:t>
      </w:r>
    </w:p>
    <w:p w14:paraId="3F3249D8" w14:textId="6CA557CE" w:rsidR="0079597D" w:rsidRPr="0079597D" w:rsidRDefault="0079597D" w:rsidP="0079597D">
      <w:pPr>
        <w:pStyle w:val="NormalWeb"/>
        <w:numPr>
          <w:ilvl w:val="0"/>
          <w:numId w:val="12"/>
        </w:numPr>
        <w:spacing w:before="0" w:beforeAutospacing="0" w:after="0" w:afterAutospacing="0"/>
        <w:rPr>
          <w:rFonts w:ascii="Calibri" w:hAnsi="Calibri" w:cs="Calibri"/>
          <w:sz w:val="22"/>
          <w:szCs w:val="22"/>
        </w:rPr>
      </w:pPr>
      <w:r w:rsidRPr="0079597D">
        <w:rPr>
          <w:rFonts w:ascii="Calibri" w:hAnsi="Calibri" w:cs="Calibri"/>
          <w:sz w:val="22"/>
          <w:szCs w:val="22"/>
        </w:rPr>
        <w:t xml:space="preserve">900+ companies with live indications of interest </w:t>
      </w:r>
    </w:p>
    <w:p w14:paraId="60DB3ED7" w14:textId="020760E0" w:rsidR="0079597D" w:rsidRPr="0079597D" w:rsidRDefault="0079597D" w:rsidP="0079597D">
      <w:pPr>
        <w:pStyle w:val="NormalWeb"/>
        <w:numPr>
          <w:ilvl w:val="0"/>
          <w:numId w:val="12"/>
        </w:numPr>
        <w:spacing w:before="0" w:beforeAutospacing="0" w:after="0" w:afterAutospacing="0"/>
        <w:rPr>
          <w:rFonts w:ascii="Calibri" w:hAnsi="Calibri" w:cs="Calibri"/>
          <w:sz w:val="22"/>
          <w:szCs w:val="22"/>
        </w:rPr>
      </w:pPr>
      <w:r w:rsidRPr="0079597D">
        <w:rPr>
          <w:rFonts w:ascii="Calibri" w:hAnsi="Calibri" w:cs="Calibri"/>
          <w:sz w:val="22"/>
          <w:szCs w:val="22"/>
        </w:rPr>
        <w:t>Historic order book with completed trade data and VWAP</w:t>
      </w:r>
    </w:p>
    <w:p w14:paraId="5606B7B7" w14:textId="1A56EC9B" w:rsidR="0079597D" w:rsidRPr="0079597D" w:rsidRDefault="0079597D" w:rsidP="0079597D">
      <w:pPr>
        <w:pStyle w:val="NormalWeb"/>
        <w:numPr>
          <w:ilvl w:val="0"/>
          <w:numId w:val="12"/>
        </w:numPr>
        <w:spacing w:before="0" w:beforeAutospacing="0" w:after="0" w:afterAutospacing="0"/>
        <w:rPr>
          <w:rFonts w:ascii="Calibri" w:hAnsi="Calibri" w:cs="Calibri"/>
          <w:sz w:val="22"/>
          <w:szCs w:val="22"/>
        </w:rPr>
      </w:pPr>
      <w:r w:rsidRPr="0079597D">
        <w:rPr>
          <w:rFonts w:ascii="Calibri" w:hAnsi="Calibri" w:cs="Calibri"/>
          <w:sz w:val="22"/>
          <w:szCs w:val="22"/>
        </w:rPr>
        <w:t xml:space="preserve">Derived pricing based on Forge’s proprietary data </w:t>
      </w:r>
    </w:p>
    <w:p w14:paraId="6B0096E3" w14:textId="77777777" w:rsidR="0079597D" w:rsidRPr="0079597D" w:rsidRDefault="0079597D" w:rsidP="0079597D">
      <w:pPr>
        <w:pStyle w:val="NormalWeb"/>
        <w:spacing w:before="0" w:beforeAutospacing="0" w:after="0" w:afterAutospacing="0"/>
        <w:rPr>
          <w:rFonts w:ascii="Calibri" w:hAnsi="Calibri" w:cs="Calibri"/>
          <w:sz w:val="22"/>
          <w:szCs w:val="22"/>
        </w:rPr>
      </w:pPr>
    </w:p>
    <w:p w14:paraId="59F248A4" w14:textId="77777777" w:rsidR="0079597D" w:rsidRPr="0079597D" w:rsidRDefault="0079597D" w:rsidP="0079597D">
      <w:pPr>
        <w:rPr>
          <w:rFonts w:ascii="Calibri" w:eastAsia="Times New Roman" w:hAnsi="Calibri" w:cs="Calibri"/>
          <w:kern w:val="0"/>
          <w:sz w:val="22"/>
          <w:szCs w:val="22"/>
          <w14:ligatures w14:val="none"/>
        </w:rPr>
      </w:pPr>
      <w:r w:rsidRPr="0079597D">
        <w:rPr>
          <w:rFonts w:ascii="Calibri" w:eastAsia="Times New Roman" w:hAnsi="Calibri" w:cs="Calibri"/>
          <w:kern w:val="0"/>
          <w:sz w:val="22"/>
          <w:szCs w:val="22"/>
          <w14:ligatures w14:val="none"/>
        </w:rPr>
        <w:t xml:space="preserve">Valuation and Firmographic Data </w:t>
      </w:r>
    </w:p>
    <w:p w14:paraId="3ED9A920" w14:textId="111D814F" w:rsidR="0079597D" w:rsidRPr="0079597D" w:rsidRDefault="0079597D" w:rsidP="0079597D">
      <w:pPr>
        <w:pStyle w:val="ListParagraph"/>
        <w:numPr>
          <w:ilvl w:val="0"/>
          <w:numId w:val="13"/>
        </w:numPr>
        <w:rPr>
          <w:rFonts w:ascii="Calibri" w:eastAsia="Times New Roman" w:hAnsi="Calibri" w:cs="Calibri"/>
          <w:kern w:val="0"/>
          <w:sz w:val="22"/>
          <w:szCs w:val="22"/>
          <w14:ligatures w14:val="none"/>
        </w:rPr>
      </w:pPr>
      <w:r w:rsidRPr="0079597D">
        <w:rPr>
          <w:rFonts w:ascii="Calibri" w:eastAsia="Times New Roman" w:hAnsi="Calibri" w:cs="Calibri"/>
          <w:kern w:val="0"/>
          <w:sz w:val="22"/>
          <w:szCs w:val="22"/>
          <w14:ligatures w14:val="none"/>
        </w:rPr>
        <w:t xml:space="preserve">18,000private company mutual fund marks across 350+ companies and 150+ funds </w:t>
      </w:r>
    </w:p>
    <w:p w14:paraId="3F39F988" w14:textId="0FE91654" w:rsidR="0079597D" w:rsidRPr="0079597D" w:rsidRDefault="0079597D" w:rsidP="0079597D">
      <w:pPr>
        <w:pStyle w:val="ListParagraph"/>
        <w:numPr>
          <w:ilvl w:val="0"/>
          <w:numId w:val="13"/>
        </w:numPr>
        <w:rPr>
          <w:rFonts w:ascii="Calibri" w:eastAsia="Times New Roman" w:hAnsi="Calibri" w:cs="Calibri"/>
          <w:kern w:val="0"/>
          <w:sz w:val="22"/>
          <w:szCs w:val="22"/>
          <w14:ligatures w14:val="none"/>
        </w:rPr>
      </w:pPr>
      <w:r w:rsidRPr="0079597D">
        <w:rPr>
          <w:rFonts w:ascii="Calibri" w:eastAsia="Times New Roman" w:hAnsi="Calibri" w:cs="Calibri"/>
          <w:kern w:val="0"/>
          <w:sz w:val="22"/>
          <w:szCs w:val="22"/>
          <w14:ligatures w14:val="none"/>
        </w:rPr>
        <w:t>IPO/M&amp;A exit scenarios, public company/private company comparisons, and sector insights</w:t>
      </w:r>
    </w:p>
    <w:p w14:paraId="2E26A622" w14:textId="72B6801C" w:rsidR="0079597D" w:rsidRPr="0079597D" w:rsidRDefault="0079597D" w:rsidP="0079597D">
      <w:pPr>
        <w:pStyle w:val="ListParagraph"/>
        <w:numPr>
          <w:ilvl w:val="0"/>
          <w:numId w:val="13"/>
        </w:numPr>
        <w:rPr>
          <w:rFonts w:ascii="Calibri" w:eastAsia="Times New Roman" w:hAnsi="Calibri" w:cs="Calibri"/>
          <w:kern w:val="0"/>
          <w:sz w:val="22"/>
          <w:szCs w:val="22"/>
          <w14:ligatures w14:val="none"/>
        </w:rPr>
      </w:pPr>
      <w:r w:rsidRPr="0079597D">
        <w:rPr>
          <w:rFonts w:ascii="Calibri" w:eastAsia="Times New Roman" w:hAnsi="Calibri" w:cs="Calibri"/>
          <w:kern w:val="0"/>
          <w:sz w:val="22"/>
          <w:szCs w:val="22"/>
          <w14:ligatures w14:val="none"/>
        </w:rPr>
        <w:t>Funding round data, valuation history and investor terms for 2,300 companies</w:t>
      </w:r>
    </w:p>
    <w:p w14:paraId="1BC02405" w14:textId="3CDD14A8" w:rsidR="0079597D" w:rsidRDefault="0079597D" w:rsidP="0079597D">
      <w:pPr>
        <w:pStyle w:val="ListParagraph"/>
        <w:numPr>
          <w:ilvl w:val="0"/>
          <w:numId w:val="13"/>
        </w:numPr>
        <w:rPr>
          <w:rFonts w:ascii="Calibri" w:eastAsia="Times New Roman" w:hAnsi="Calibri" w:cs="Calibri"/>
          <w:kern w:val="0"/>
          <w:sz w:val="22"/>
          <w:szCs w:val="22"/>
          <w14:ligatures w14:val="none"/>
        </w:rPr>
      </w:pPr>
      <w:r w:rsidRPr="0079597D">
        <w:rPr>
          <w:rFonts w:ascii="Calibri" w:eastAsia="Times New Roman" w:hAnsi="Calibri" w:cs="Calibri"/>
          <w:kern w:val="0"/>
          <w:sz w:val="22"/>
          <w:szCs w:val="22"/>
          <w14:ligatures w14:val="none"/>
        </w:rPr>
        <w:t xml:space="preserve">Source documents, including fundraising and legal filings </w:t>
      </w:r>
    </w:p>
    <w:p w14:paraId="63844B38" w14:textId="77777777" w:rsidR="000432F8" w:rsidRDefault="000432F8" w:rsidP="000432F8">
      <w:pPr>
        <w:rPr>
          <w:rFonts w:ascii="Calibri" w:eastAsia="Times New Roman" w:hAnsi="Calibri" w:cs="Calibri"/>
          <w:kern w:val="0"/>
          <w:sz w:val="22"/>
          <w:szCs w:val="22"/>
          <w14:ligatures w14:val="none"/>
        </w:rPr>
      </w:pPr>
    </w:p>
    <w:p w14:paraId="59D05AA8" w14:textId="23CD4478" w:rsidR="000432F8" w:rsidRPr="000432F8" w:rsidRDefault="000432F8" w:rsidP="000432F8">
      <w:pPr>
        <w:rPr>
          <w:rFonts w:ascii="Calibri" w:eastAsia="Times New Roman" w:hAnsi="Calibri" w:cs="Calibri"/>
          <w:kern w:val="0"/>
          <w:sz w:val="22"/>
          <w:szCs w:val="22"/>
          <w:u w:val="single"/>
          <w14:ligatures w14:val="none"/>
        </w:rPr>
      </w:pPr>
      <w:r w:rsidRPr="000432F8">
        <w:rPr>
          <w:rFonts w:ascii="Calibri" w:eastAsia="Times New Roman" w:hAnsi="Calibri" w:cs="Calibri"/>
          <w:kern w:val="0"/>
          <w:sz w:val="22"/>
          <w:szCs w:val="22"/>
          <w:u w:val="single"/>
          <w14:ligatures w14:val="none"/>
        </w:rPr>
        <w:t>What is my</w:t>
      </w:r>
      <w:r>
        <w:rPr>
          <w:rFonts w:ascii="Calibri" w:eastAsia="Times New Roman" w:hAnsi="Calibri" w:cs="Calibri"/>
          <w:kern w:val="0"/>
          <w:sz w:val="22"/>
          <w:szCs w:val="22"/>
          <w:u w:val="single"/>
          <w14:ligatures w14:val="none"/>
        </w:rPr>
        <w:t xml:space="preserve"> s</w:t>
      </w:r>
      <w:r w:rsidRPr="000432F8">
        <w:rPr>
          <w:rFonts w:ascii="Calibri" w:eastAsia="Times New Roman" w:hAnsi="Calibri" w:cs="Calibri"/>
          <w:kern w:val="0"/>
          <w:sz w:val="22"/>
          <w:szCs w:val="22"/>
          <w:u w:val="single"/>
          <w14:ligatures w14:val="none"/>
        </w:rPr>
        <w:t xml:space="preserve">tock </w:t>
      </w:r>
      <w:r>
        <w:rPr>
          <w:rFonts w:ascii="Calibri" w:eastAsia="Times New Roman" w:hAnsi="Calibri" w:cs="Calibri"/>
          <w:kern w:val="0"/>
          <w:sz w:val="22"/>
          <w:szCs w:val="22"/>
          <w:u w:val="single"/>
          <w14:ligatures w14:val="none"/>
        </w:rPr>
        <w:t>w</w:t>
      </w:r>
      <w:r w:rsidRPr="000432F8">
        <w:rPr>
          <w:rFonts w:ascii="Calibri" w:eastAsia="Times New Roman" w:hAnsi="Calibri" w:cs="Calibri"/>
          <w:kern w:val="0"/>
          <w:sz w:val="22"/>
          <w:szCs w:val="22"/>
          <w:u w:val="single"/>
          <w14:ligatures w14:val="none"/>
        </w:rPr>
        <w:t>orth</w:t>
      </w:r>
      <w:r>
        <w:rPr>
          <w:rFonts w:ascii="Calibri" w:eastAsia="Times New Roman" w:hAnsi="Calibri" w:cs="Calibri"/>
          <w:kern w:val="0"/>
          <w:sz w:val="22"/>
          <w:szCs w:val="22"/>
          <w:u w:val="single"/>
          <w14:ligatures w14:val="none"/>
        </w:rPr>
        <w:t xml:space="preserve"> in [Company</w:t>
      </w:r>
      <w:r w:rsidRPr="000432F8">
        <w:rPr>
          <w:rFonts w:ascii="Calibri" w:eastAsia="Times New Roman" w:hAnsi="Calibri" w:cs="Calibri"/>
          <w:kern w:val="0"/>
          <w:sz w:val="22"/>
          <w:szCs w:val="22"/>
          <w:u w:val="single"/>
          <w14:ligatures w14:val="none"/>
        </w:rPr>
        <w:t>?</w:t>
      </w:r>
    </w:p>
    <w:p w14:paraId="5E88E0FF" w14:textId="50E056C9" w:rsidR="0079597D" w:rsidRPr="000432F8" w:rsidRDefault="000432F8" w:rsidP="000432F8">
      <w:pPr>
        <w:pStyle w:val="ListParagraph"/>
        <w:numPr>
          <w:ilvl w:val="0"/>
          <w:numId w:val="15"/>
        </w:numPr>
        <w:rPr>
          <w:rFonts w:ascii="Calibri" w:hAnsi="Calibri" w:cs="Calibri"/>
          <w:sz w:val="22"/>
          <w:szCs w:val="22"/>
          <w:u w:val="single"/>
        </w:rPr>
      </w:pPr>
      <w:r>
        <w:rPr>
          <w:rFonts w:ascii="Calibri" w:hAnsi="Calibri" w:cs="Calibri"/>
          <w:sz w:val="22"/>
          <w:szCs w:val="22"/>
        </w:rPr>
        <w:t>Direct the client to last closed transaction price/date, VWAP, or bid/ask spread. If there has never been a transaction in that company, let client know that</w:t>
      </w:r>
    </w:p>
    <w:p w14:paraId="06566539" w14:textId="77777777" w:rsidR="00233406" w:rsidRDefault="00233406" w:rsidP="0079597D">
      <w:pPr>
        <w:rPr>
          <w:rFonts w:ascii="Calibri" w:hAnsi="Calibri" w:cs="Calibri"/>
          <w:sz w:val="22"/>
          <w:szCs w:val="22"/>
          <w:u w:val="single"/>
        </w:rPr>
      </w:pPr>
    </w:p>
    <w:p w14:paraId="7F9AD021" w14:textId="516ADA20" w:rsidR="000432F8" w:rsidRDefault="000432F8" w:rsidP="0079597D">
      <w:pPr>
        <w:rPr>
          <w:rFonts w:ascii="Calibri" w:hAnsi="Calibri" w:cs="Calibri"/>
          <w:sz w:val="22"/>
          <w:szCs w:val="22"/>
          <w:u w:val="single"/>
        </w:rPr>
      </w:pPr>
      <w:r>
        <w:rPr>
          <w:rFonts w:ascii="Calibri" w:hAnsi="Calibri" w:cs="Calibri"/>
          <w:sz w:val="22"/>
          <w:szCs w:val="22"/>
          <w:u w:val="single"/>
        </w:rPr>
        <w:t>What price can I buy stock in [Company]?</w:t>
      </w:r>
    </w:p>
    <w:p w14:paraId="07272786" w14:textId="72FCD5B4" w:rsidR="000432F8" w:rsidRPr="000432F8" w:rsidRDefault="000432F8" w:rsidP="000432F8">
      <w:pPr>
        <w:pStyle w:val="ListParagraph"/>
        <w:numPr>
          <w:ilvl w:val="0"/>
          <w:numId w:val="15"/>
        </w:numPr>
        <w:rPr>
          <w:rFonts w:ascii="Calibri" w:hAnsi="Calibri" w:cs="Calibri"/>
          <w:sz w:val="22"/>
          <w:szCs w:val="22"/>
          <w:u w:val="single"/>
        </w:rPr>
      </w:pPr>
      <w:r>
        <w:rPr>
          <w:rFonts w:ascii="Calibri" w:hAnsi="Calibri" w:cs="Calibri"/>
          <w:sz w:val="22"/>
          <w:szCs w:val="22"/>
        </w:rPr>
        <w:t>Direct the client to last closed transaction, VWAP, or bid/ask spread.  If there is an Opportunity in [Company], direct buyer to that Opportunity</w:t>
      </w:r>
    </w:p>
    <w:sectPr w:rsidR="000432F8" w:rsidRPr="00043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C2D08"/>
    <w:multiLevelType w:val="hybridMultilevel"/>
    <w:tmpl w:val="B108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1568F"/>
    <w:multiLevelType w:val="hybridMultilevel"/>
    <w:tmpl w:val="180A8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10EEF"/>
    <w:multiLevelType w:val="hybridMultilevel"/>
    <w:tmpl w:val="2AF2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232BC"/>
    <w:multiLevelType w:val="hybridMultilevel"/>
    <w:tmpl w:val="32AA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8087E"/>
    <w:multiLevelType w:val="hybridMultilevel"/>
    <w:tmpl w:val="2DA0A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305CE5"/>
    <w:multiLevelType w:val="hybridMultilevel"/>
    <w:tmpl w:val="18D032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302C9"/>
    <w:multiLevelType w:val="hybridMultilevel"/>
    <w:tmpl w:val="0550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D84E59"/>
    <w:multiLevelType w:val="hybridMultilevel"/>
    <w:tmpl w:val="73F4C7DA"/>
    <w:lvl w:ilvl="0" w:tplc="04090001">
      <w:start w:val="1"/>
      <w:numFmt w:val="bullet"/>
      <w:lvlText w:val=""/>
      <w:lvlJc w:val="left"/>
      <w:pPr>
        <w:ind w:left="720" w:hanging="360"/>
      </w:pPr>
      <w:rPr>
        <w:rFonts w:ascii="Symbol" w:hAnsi="Symbol" w:hint="default"/>
      </w:rPr>
    </w:lvl>
    <w:lvl w:ilvl="1" w:tplc="8F9E26A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D0D6A"/>
    <w:multiLevelType w:val="hybridMultilevel"/>
    <w:tmpl w:val="ACC2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D1C73"/>
    <w:multiLevelType w:val="hybridMultilevel"/>
    <w:tmpl w:val="6154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B68A1"/>
    <w:multiLevelType w:val="hybridMultilevel"/>
    <w:tmpl w:val="131A2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B2FBB"/>
    <w:multiLevelType w:val="hybridMultilevel"/>
    <w:tmpl w:val="09F202B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FD80C68"/>
    <w:multiLevelType w:val="hybridMultilevel"/>
    <w:tmpl w:val="5308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744C3F"/>
    <w:multiLevelType w:val="multilevel"/>
    <w:tmpl w:val="C264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84704"/>
    <w:multiLevelType w:val="hybridMultilevel"/>
    <w:tmpl w:val="3680366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7350807">
    <w:abstractNumId w:val="2"/>
  </w:num>
  <w:num w:numId="2" w16cid:durableId="72895872">
    <w:abstractNumId w:val="8"/>
  </w:num>
  <w:num w:numId="3" w16cid:durableId="1754620477">
    <w:abstractNumId w:val="1"/>
  </w:num>
  <w:num w:numId="4" w16cid:durableId="457842768">
    <w:abstractNumId w:val="7"/>
  </w:num>
  <w:num w:numId="5" w16cid:durableId="365175693">
    <w:abstractNumId w:val="14"/>
  </w:num>
  <w:num w:numId="6" w16cid:durableId="293676729">
    <w:abstractNumId w:val="5"/>
  </w:num>
  <w:num w:numId="7" w16cid:durableId="1347826897">
    <w:abstractNumId w:val="11"/>
  </w:num>
  <w:num w:numId="8" w16cid:durableId="949043885">
    <w:abstractNumId w:val="4"/>
  </w:num>
  <w:num w:numId="9" w16cid:durableId="1756438432">
    <w:abstractNumId w:val="10"/>
  </w:num>
  <w:num w:numId="10" w16cid:durableId="1284992794">
    <w:abstractNumId w:val="0"/>
  </w:num>
  <w:num w:numId="11" w16cid:durableId="2054763983">
    <w:abstractNumId w:val="13"/>
  </w:num>
  <w:num w:numId="12" w16cid:durableId="1440832310">
    <w:abstractNumId w:val="12"/>
  </w:num>
  <w:num w:numId="13" w16cid:durableId="1864977870">
    <w:abstractNumId w:val="3"/>
  </w:num>
  <w:num w:numId="14" w16cid:durableId="1588423089">
    <w:abstractNumId w:val="9"/>
  </w:num>
  <w:num w:numId="15" w16cid:durableId="19543595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0D"/>
    <w:rsid w:val="000432F8"/>
    <w:rsid w:val="00046552"/>
    <w:rsid w:val="00047332"/>
    <w:rsid w:val="0014341F"/>
    <w:rsid w:val="00233406"/>
    <w:rsid w:val="00283BDF"/>
    <w:rsid w:val="002A3490"/>
    <w:rsid w:val="00422CED"/>
    <w:rsid w:val="006526FA"/>
    <w:rsid w:val="00654C5B"/>
    <w:rsid w:val="0079597D"/>
    <w:rsid w:val="008C302A"/>
    <w:rsid w:val="00B36A85"/>
    <w:rsid w:val="00C23126"/>
    <w:rsid w:val="00D03E55"/>
    <w:rsid w:val="00E9710D"/>
    <w:rsid w:val="00EB4881"/>
    <w:rsid w:val="00EC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2DC4E"/>
  <w15:chartTrackingRefBased/>
  <w15:docId w15:val="{C385B645-95A6-BC44-9863-08AF5382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1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1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1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1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1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1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10D"/>
    <w:rPr>
      <w:rFonts w:eastAsiaTheme="majorEastAsia" w:cstheme="majorBidi"/>
      <w:color w:val="272727" w:themeColor="text1" w:themeTint="D8"/>
    </w:rPr>
  </w:style>
  <w:style w:type="paragraph" w:styleId="Title">
    <w:name w:val="Title"/>
    <w:basedOn w:val="Normal"/>
    <w:next w:val="Normal"/>
    <w:link w:val="TitleChar"/>
    <w:uiPriority w:val="10"/>
    <w:qFormat/>
    <w:rsid w:val="00E971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1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1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710D"/>
    <w:rPr>
      <w:i/>
      <w:iCs/>
      <w:color w:val="404040" w:themeColor="text1" w:themeTint="BF"/>
    </w:rPr>
  </w:style>
  <w:style w:type="paragraph" w:styleId="ListParagraph">
    <w:name w:val="List Paragraph"/>
    <w:basedOn w:val="Normal"/>
    <w:uiPriority w:val="34"/>
    <w:qFormat/>
    <w:rsid w:val="00E9710D"/>
    <w:pPr>
      <w:ind w:left="720"/>
      <w:contextualSpacing/>
    </w:pPr>
  </w:style>
  <w:style w:type="character" w:styleId="IntenseEmphasis">
    <w:name w:val="Intense Emphasis"/>
    <w:basedOn w:val="DefaultParagraphFont"/>
    <w:uiPriority w:val="21"/>
    <w:qFormat/>
    <w:rsid w:val="00E9710D"/>
    <w:rPr>
      <w:i/>
      <w:iCs/>
      <w:color w:val="0F4761" w:themeColor="accent1" w:themeShade="BF"/>
    </w:rPr>
  </w:style>
  <w:style w:type="paragraph" w:styleId="IntenseQuote">
    <w:name w:val="Intense Quote"/>
    <w:basedOn w:val="Normal"/>
    <w:next w:val="Normal"/>
    <w:link w:val="IntenseQuoteChar"/>
    <w:uiPriority w:val="30"/>
    <w:qFormat/>
    <w:rsid w:val="00E97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10D"/>
    <w:rPr>
      <w:i/>
      <w:iCs/>
      <w:color w:val="0F4761" w:themeColor="accent1" w:themeShade="BF"/>
    </w:rPr>
  </w:style>
  <w:style w:type="character" w:styleId="IntenseReference">
    <w:name w:val="Intense Reference"/>
    <w:basedOn w:val="DefaultParagraphFont"/>
    <w:uiPriority w:val="32"/>
    <w:qFormat/>
    <w:rsid w:val="00E9710D"/>
    <w:rPr>
      <w:b/>
      <w:bCs/>
      <w:smallCaps/>
      <w:color w:val="0F4761" w:themeColor="accent1" w:themeShade="BF"/>
      <w:spacing w:val="5"/>
    </w:rPr>
  </w:style>
  <w:style w:type="character" w:styleId="Hyperlink">
    <w:name w:val="Hyperlink"/>
    <w:basedOn w:val="DefaultParagraphFont"/>
    <w:uiPriority w:val="99"/>
    <w:unhideWhenUsed/>
    <w:rsid w:val="0079597D"/>
    <w:rPr>
      <w:color w:val="467886" w:themeColor="hyperlink"/>
      <w:u w:val="single"/>
    </w:rPr>
  </w:style>
  <w:style w:type="character" w:styleId="UnresolvedMention">
    <w:name w:val="Unresolved Mention"/>
    <w:basedOn w:val="DefaultParagraphFont"/>
    <w:uiPriority w:val="99"/>
    <w:semiHidden/>
    <w:unhideWhenUsed/>
    <w:rsid w:val="0079597D"/>
    <w:rPr>
      <w:color w:val="605E5C"/>
      <w:shd w:val="clear" w:color="auto" w:fill="E1DFDD"/>
    </w:rPr>
  </w:style>
  <w:style w:type="paragraph" w:styleId="NormalWeb">
    <w:name w:val="Normal (Web)"/>
    <w:basedOn w:val="Normal"/>
    <w:uiPriority w:val="99"/>
    <w:semiHidden/>
    <w:unhideWhenUsed/>
    <w:rsid w:val="0079597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80165">
      <w:bodyDiv w:val="1"/>
      <w:marLeft w:val="0"/>
      <w:marRight w:val="0"/>
      <w:marTop w:val="0"/>
      <w:marBottom w:val="0"/>
      <w:divBdr>
        <w:top w:val="none" w:sz="0" w:space="0" w:color="auto"/>
        <w:left w:val="none" w:sz="0" w:space="0" w:color="auto"/>
        <w:bottom w:val="none" w:sz="0" w:space="0" w:color="auto"/>
        <w:right w:val="none" w:sz="0" w:space="0" w:color="auto"/>
      </w:divBdr>
      <w:divsChild>
        <w:div w:id="1702172937">
          <w:marLeft w:val="0"/>
          <w:marRight w:val="0"/>
          <w:marTop w:val="0"/>
          <w:marBottom w:val="0"/>
          <w:divBdr>
            <w:top w:val="none" w:sz="0" w:space="0" w:color="auto"/>
            <w:left w:val="none" w:sz="0" w:space="0" w:color="auto"/>
            <w:bottom w:val="none" w:sz="0" w:space="0" w:color="auto"/>
            <w:right w:val="none" w:sz="0" w:space="0" w:color="auto"/>
          </w:divBdr>
          <w:divsChild>
            <w:div w:id="685209671">
              <w:marLeft w:val="0"/>
              <w:marRight w:val="0"/>
              <w:marTop w:val="0"/>
              <w:marBottom w:val="0"/>
              <w:divBdr>
                <w:top w:val="none" w:sz="0" w:space="0" w:color="auto"/>
                <w:left w:val="none" w:sz="0" w:space="0" w:color="auto"/>
                <w:bottom w:val="none" w:sz="0" w:space="0" w:color="auto"/>
                <w:right w:val="none" w:sz="0" w:space="0" w:color="auto"/>
              </w:divBdr>
              <w:divsChild>
                <w:div w:id="21372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9740">
      <w:bodyDiv w:val="1"/>
      <w:marLeft w:val="0"/>
      <w:marRight w:val="0"/>
      <w:marTop w:val="0"/>
      <w:marBottom w:val="0"/>
      <w:divBdr>
        <w:top w:val="none" w:sz="0" w:space="0" w:color="auto"/>
        <w:left w:val="none" w:sz="0" w:space="0" w:color="auto"/>
        <w:bottom w:val="none" w:sz="0" w:space="0" w:color="auto"/>
        <w:right w:val="none" w:sz="0" w:space="0" w:color="auto"/>
      </w:divBdr>
      <w:divsChild>
        <w:div w:id="2131245821">
          <w:marLeft w:val="0"/>
          <w:marRight w:val="0"/>
          <w:marTop w:val="0"/>
          <w:marBottom w:val="0"/>
          <w:divBdr>
            <w:top w:val="none" w:sz="0" w:space="0" w:color="auto"/>
            <w:left w:val="none" w:sz="0" w:space="0" w:color="auto"/>
            <w:bottom w:val="none" w:sz="0" w:space="0" w:color="auto"/>
            <w:right w:val="none" w:sz="0" w:space="0" w:color="auto"/>
          </w:divBdr>
          <w:divsChild>
            <w:div w:id="1725176904">
              <w:marLeft w:val="0"/>
              <w:marRight w:val="0"/>
              <w:marTop w:val="0"/>
              <w:marBottom w:val="0"/>
              <w:divBdr>
                <w:top w:val="none" w:sz="0" w:space="0" w:color="auto"/>
                <w:left w:val="none" w:sz="0" w:space="0" w:color="auto"/>
                <w:bottom w:val="none" w:sz="0" w:space="0" w:color="auto"/>
                <w:right w:val="none" w:sz="0" w:space="0" w:color="auto"/>
              </w:divBdr>
              <w:divsChild>
                <w:div w:id="7490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4115">
      <w:bodyDiv w:val="1"/>
      <w:marLeft w:val="0"/>
      <w:marRight w:val="0"/>
      <w:marTop w:val="0"/>
      <w:marBottom w:val="0"/>
      <w:divBdr>
        <w:top w:val="none" w:sz="0" w:space="0" w:color="auto"/>
        <w:left w:val="none" w:sz="0" w:space="0" w:color="auto"/>
        <w:bottom w:val="none" w:sz="0" w:space="0" w:color="auto"/>
        <w:right w:val="none" w:sz="0" w:space="0" w:color="auto"/>
      </w:divBdr>
      <w:divsChild>
        <w:div w:id="831264630">
          <w:marLeft w:val="0"/>
          <w:marRight w:val="0"/>
          <w:marTop w:val="0"/>
          <w:marBottom w:val="0"/>
          <w:divBdr>
            <w:top w:val="none" w:sz="0" w:space="0" w:color="auto"/>
            <w:left w:val="none" w:sz="0" w:space="0" w:color="auto"/>
            <w:bottom w:val="none" w:sz="0" w:space="0" w:color="auto"/>
            <w:right w:val="none" w:sz="0" w:space="0" w:color="auto"/>
          </w:divBdr>
          <w:divsChild>
            <w:div w:id="1680883808">
              <w:marLeft w:val="0"/>
              <w:marRight w:val="0"/>
              <w:marTop w:val="0"/>
              <w:marBottom w:val="0"/>
              <w:divBdr>
                <w:top w:val="none" w:sz="0" w:space="0" w:color="auto"/>
                <w:left w:val="none" w:sz="0" w:space="0" w:color="auto"/>
                <w:bottom w:val="none" w:sz="0" w:space="0" w:color="auto"/>
                <w:right w:val="none" w:sz="0" w:space="0" w:color="auto"/>
              </w:divBdr>
              <w:divsChild>
                <w:div w:id="2791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68679">
      <w:bodyDiv w:val="1"/>
      <w:marLeft w:val="0"/>
      <w:marRight w:val="0"/>
      <w:marTop w:val="0"/>
      <w:marBottom w:val="0"/>
      <w:divBdr>
        <w:top w:val="none" w:sz="0" w:space="0" w:color="auto"/>
        <w:left w:val="none" w:sz="0" w:space="0" w:color="auto"/>
        <w:bottom w:val="none" w:sz="0" w:space="0" w:color="auto"/>
        <w:right w:val="none" w:sz="0" w:space="0" w:color="auto"/>
      </w:divBdr>
      <w:divsChild>
        <w:div w:id="789055246">
          <w:marLeft w:val="0"/>
          <w:marRight w:val="0"/>
          <w:marTop w:val="0"/>
          <w:marBottom w:val="0"/>
          <w:divBdr>
            <w:top w:val="none" w:sz="0" w:space="0" w:color="auto"/>
            <w:left w:val="none" w:sz="0" w:space="0" w:color="auto"/>
            <w:bottom w:val="none" w:sz="0" w:space="0" w:color="auto"/>
            <w:right w:val="none" w:sz="0" w:space="0" w:color="auto"/>
          </w:divBdr>
          <w:divsChild>
            <w:div w:id="429470972">
              <w:marLeft w:val="0"/>
              <w:marRight w:val="0"/>
              <w:marTop w:val="0"/>
              <w:marBottom w:val="0"/>
              <w:divBdr>
                <w:top w:val="none" w:sz="0" w:space="0" w:color="auto"/>
                <w:left w:val="none" w:sz="0" w:space="0" w:color="auto"/>
                <w:bottom w:val="none" w:sz="0" w:space="0" w:color="auto"/>
                <w:right w:val="none" w:sz="0" w:space="0" w:color="auto"/>
              </w:divBdr>
              <w:divsChild>
                <w:div w:id="658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589977">
      <w:bodyDiv w:val="1"/>
      <w:marLeft w:val="0"/>
      <w:marRight w:val="0"/>
      <w:marTop w:val="0"/>
      <w:marBottom w:val="0"/>
      <w:divBdr>
        <w:top w:val="none" w:sz="0" w:space="0" w:color="auto"/>
        <w:left w:val="none" w:sz="0" w:space="0" w:color="auto"/>
        <w:bottom w:val="none" w:sz="0" w:space="0" w:color="auto"/>
        <w:right w:val="none" w:sz="0" w:space="0" w:color="auto"/>
      </w:divBdr>
      <w:divsChild>
        <w:div w:id="1803814557">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15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8650">
      <w:bodyDiv w:val="1"/>
      <w:marLeft w:val="0"/>
      <w:marRight w:val="0"/>
      <w:marTop w:val="0"/>
      <w:marBottom w:val="0"/>
      <w:divBdr>
        <w:top w:val="none" w:sz="0" w:space="0" w:color="auto"/>
        <w:left w:val="none" w:sz="0" w:space="0" w:color="auto"/>
        <w:bottom w:val="none" w:sz="0" w:space="0" w:color="auto"/>
        <w:right w:val="none" w:sz="0" w:space="0" w:color="auto"/>
      </w:divBdr>
      <w:divsChild>
        <w:div w:id="409885804">
          <w:marLeft w:val="0"/>
          <w:marRight w:val="0"/>
          <w:marTop w:val="0"/>
          <w:marBottom w:val="0"/>
          <w:divBdr>
            <w:top w:val="none" w:sz="0" w:space="0" w:color="auto"/>
            <w:left w:val="none" w:sz="0" w:space="0" w:color="auto"/>
            <w:bottom w:val="none" w:sz="0" w:space="0" w:color="auto"/>
            <w:right w:val="none" w:sz="0" w:space="0" w:color="auto"/>
          </w:divBdr>
          <w:divsChild>
            <w:div w:id="165439339">
              <w:marLeft w:val="0"/>
              <w:marRight w:val="0"/>
              <w:marTop w:val="0"/>
              <w:marBottom w:val="0"/>
              <w:divBdr>
                <w:top w:val="none" w:sz="0" w:space="0" w:color="auto"/>
                <w:left w:val="none" w:sz="0" w:space="0" w:color="auto"/>
                <w:bottom w:val="none" w:sz="0" w:space="0" w:color="auto"/>
                <w:right w:val="none" w:sz="0" w:space="0" w:color="auto"/>
              </w:divBdr>
              <w:divsChild>
                <w:div w:id="7704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14924">
      <w:bodyDiv w:val="1"/>
      <w:marLeft w:val="0"/>
      <w:marRight w:val="0"/>
      <w:marTop w:val="0"/>
      <w:marBottom w:val="0"/>
      <w:divBdr>
        <w:top w:val="none" w:sz="0" w:space="0" w:color="auto"/>
        <w:left w:val="none" w:sz="0" w:space="0" w:color="auto"/>
        <w:bottom w:val="none" w:sz="0" w:space="0" w:color="auto"/>
        <w:right w:val="none" w:sz="0" w:space="0" w:color="auto"/>
      </w:divBdr>
      <w:divsChild>
        <w:div w:id="681208101">
          <w:marLeft w:val="0"/>
          <w:marRight w:val="0"/>
          <w:marTop w:val="0"/>
          <w:marBottom w:val="0"/>
          <w:divBdr>
            <w:top w:val="none" w:sz="0" w:space="0" w:color="auto"/>
            <w:left w:val="none" w:sz="0" w:space="0" w:color="auto"/>
            <w:bottom w:val="none" w:sz="0" w:space="0" w:color="auto"/>
            <w:right w:val="none" w:sz="0" w:space="0" w:color="auto"/>
          </w:divBdr>
          <w:divsChild>
            <w:div w:id="1549491204">
              <w:marLeft w:val="0"/>
              <w:marRight w:val="0"/>
              <w:marTop w:val="0"/>
              <w:marBottom w:val="0"/>
              <w:divBdr>
                <w:top w:val="none" w:sz="0" w:space="0" w:color="auto"/>
                <w:left w:val="none" w:sz="0" w:space="0" w:color="auto"/>
                <w:bottom w:val="none" w:sz="0" w:space="0" w:color="auto"/>
                <w:right w:val="none" w:sz="0" w:space="0" w:color="auto"/>
              </w:divBdr>
              <w:divsChild>
                <w:div w:id="2427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6201">
      <w:bodyDiv w:val="1"/>
      <w:marLeft w:val="0"/>
      <w:marRight w:val="0"/>
      <w:marTop w:val="0"/>
      <w:marBottom w:val="0"/>
      <w:divBdr>
        <w:top w:val="none" w:sz="0" w:space="0" w:color="auto"/>
        <w:left w:val="none" w:sz="0" w:space="0" w:color="auto"/>
        <w:bottom w:val="none" w:sz="0" w:space="0" w:color="auto"/>
        <w:right w:val="none" w:sz="0" w:space="0" w:color="auto"/>
      </w:divBdr>
      <w:divsChild>
        <w:div w:id="1687171848">
          <w:marLeft w:val="0"/>
          <w:marRight w:val="0"/>
          <w:marTop w:val="0"/>
          <w:marBottom w:val="0"/>
          <w:divBdr>
            <w:top w:val="none" w:sz="0" w:space="0" w:color="auto"/>
            <w:left w:val="none" w:sz="0" w:space="0" w:color="auto"/>
            <w:bottom w:val="none" w:sz="0" w:space="0" w:color="auto"/>
            <w:right w:val="none" w:sz="0" w:space="0" w:color="auto"/>
          </w:divBdr>
          <w:divsChild>
            <w:div w:id="711536352">
              <w:marLeft w:val="0"/>
              <w:marRight w:val="0"/>
              <w:marTop w:val="0"/>
              <w:marBottom w:val="0"/>
              <w:divBdr>
                <w:top w:val="none" w:sz="0" w:space="0" w:color="auto"/>
                <w:left w:val="none" w:sz="0" w:space="0" w:color="auto"/>
                <w:bottom w:val="none" w:sz="0" w:space="0" w:color="auto"/>
                <w:right w:val="none" w:sz="0" w:space="0" w:color="auto"/>
              </w:divBdr>
              <w:divsChild>
                <w:div w:id="8133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20286">
      <w:bodyDiv w:val="1"/>
      <w:marLeft w:val="0"/>
      <w:marRight w:val="0"/>
      <w:marTop w:val="0"/>
      <w:marBottom w:val="0"/>
      <w:divBdr>
        <w:top w:val="none" w:sz="0" w:space="0" w:color="auto"/>
        <w:left w:val="none" w:sz="0" w:space="0" w:color="auto"/>
        <w:bottom w:val="none" w:sz="0" w:space="0" w:color="auto"/>
        <w:right w:val="none" w:sz="0" w:space="0" w:color="auto"/>
      </w:divBdr>
      <w:divsChild>
        <w:div w:id="1510674228">
          <w:marLeft w:val="0"/>
          <w:marRight w:val="0"/>
          <w:marTop w:val="0"/>
          <w:marBottom w:val="0"/>
          <w:divBdr>
            <w:top w:val="none" w:sz="0" w:space="0" w:color="auto"/>
            <w:left w:val="none" w:sz="0" w:space="0" w:color="auto"/>
            <w:bottom w:val="none" w:sz="0" w:space="0" w:color="auto"/>
            <w:right w:val="none" w:sz="0" w:space="0" w:color="auto"/>
          </w:divBdr>
          <w:divsChild>
            <w:div w:id="937517726">
              <w:marLeft w:val="0"/>
              <w:marRight w:val="0"/>
              <w:marTop w:val="0"/>
              <w:marBottom w:val="0"/>
              <w:divBdr>
                <w:top w:val="none" w:sz="0" w:space="0" w:color="auto"/>
                <w:left w:val="none" w:sz="0" w:space="0" w:color="auto"/>
                <w:bottom w:val="none" w:sz="0" w:space="0" w:color="auto"/>
                <w:right w:val="none" w:sz="0" w:space="0" w:color="auto"/>
              </w:divBdr>
              <w:divsChild>
                <w:div w:id="98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746387">
      <w:bodyDiv w:val="1"/>
      <w:marLeft w:val="0"/>
      <w:marRight w:val="0"/>
      <w:marTop w:val="0"/>
      <w:marBottom w:val="0"/>
      <w:divBdr>
        <w:top w:val="none" w:sz="0" w:space="0" w:color="auto"/>
        <w:left w:val="none" w:sz="0" w:space="0" w:color="auto"/>
        <w:bottom w:val="none" w:sz="0" w:space="0" w:color="auto"/>
        <w:right w:val="none" w:sz="0" w:space="0" w:color="auto"/>
      </w:divBdr>
      <w:divsChild>
        <w:div w:id="218052487">
          <w:marLeft w:val="0"/>
          <w:marRight w:val="0"/>
          <w:marTop w:val="0"/>
          <w:marBottom w:val="0"/>
          <w:divBdr>
            <w:top w:val="none" w:sz="0" w:space="0" w:color="auto"/>
            <w:left w:val="none" w:sz="0" w:space="0" w:color="auto"/>
            <w:bottom w:val="none" w:sz="0" w:space="0" w:color="auto"/>
            <w:right w:val="none" w:sz="0" w:space="0" w:color="auto"/>
          </w:divBdr>
          <w:divsChild>
            <w:div w:id="1591239240">
              <w:marLeft w:val="0"/>
              <w:marRight w:val="0"/>
              <w:marTop w:val="0"/>
              <w:marBottom w:val="0"/>
              <w:divBdr>
                <w:top w:val="none" w:sz="0" w:space="0" w:color="auto"/>
                <w:left w:val="none" w:sz="0" w:space="0" w:color="auto"/>
                <w:bottom w:val="none" w:sz="0" w:space="0" w:color="auto"/>
                <w:right w:val="none" w:sz="0" w:space="0" w:color="auto"/>
              </w:divBdr>
              <w:divsChild>
                <w:div w:id="6486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5904">
      <w:bodyDiv w:val="1"/>
      <w:marLeft w:val="0"/>
      <w:marRight w:val="0"/>
      <w:marTop w:val="0"/>
      <w:marBottom w:val="0"/>
      <w:divBdr>
        <w:top w:val="none" w:sz="0" w:space="0" w:color="auto"/>
        <w:left w:val="none" w:sz="0" w:space="0" w:color="auto"/>
        <w:bottom w:val="none" w:sz="0" w:space="0" w:color="auto"/>
        <w:right w:val="none" w:sz="0" w:space="0" w:color="auto"/>
      </w:divBdr>
      <w:divsChild>
        <w:div w:id="1428501854">
          <w:marLeft w:val="0"/>
          <w:marRight w:val="0"/>
          <w:marTop w:val="0"/>
          <w:marBottom w:val="0"/>
          <w:divBdr>
            <w:top w:val="none" w:sz="0" w:space="0" w:color="auto"/>
            <w:left w:val="none" w:sz="0" w:space="0" w:color="auto"/>
            <w:bottom w:val="none" w:sz="0" w:space="0" w:color="auto"/>
            <w:right w:val="none" w:sz="0" w:space="0" w:color="auto"/>
          </w:divBdr>
          <w:divsChild>
            <w:div w:id="1258564630">
              <w:marLeft w:val="0"/>
              <w:marRight w:val="0"/>
              <w:marTop w:val="0"/>
              <w:marBottom w:val="0"/>
              <w:divBdr>
                <w:top w:val="none" w:sz="0" w:space="0" w:color="auto"/>
                <w:left w:val="none" w:sz="0" w:space="0" w:color="auto"/>
                <w:bottom w:val="none" w:sz="0" w:space="0" w:color="auto"/>
                <w:right w:val="none" w:sz="0" w:space="0" w:color="auto"/>
              </w:divBdr>
              <w:divsChild>
                <w:div w:id="6937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Deyan</dc:creator>
  <cp:keywords/>
  <dc:description/>
  <cp:lastModifiedBy>Bo Brandt</cp:lastModifiedBy>
  <cp:revision>7</cp:revision>
  <dcterms:created xsi:type="dcterms:W3CDTF">2024-08-01T19:49:00Z</dcterms:created>
  <dcterms:modified xsi:type="dcterms:W3CDTF">2024-09-26T19:05:00Z</dcterms:modified>
</cp:coreProperties>
</file>