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2877" w:rsidRDefault="00000000">
      <w:pPr>
        <w:spacing w:after="60"/>
        <w:jc w:val="center"/>
      </w:pPr>
      <w:r>
        <w:rPr>
          <w:b/>
          <w:bCs/>
          <w:sz w:val="28"/>
          <w:szCs w:val="28"/>
        </w:rPr>
        <w:t>A Data-Driven Customer Segmentation and Product Recommendation System for SME E-Commerce</w:t>
      </w:r>
    </w:p>
    <w:p w:rsidR="00952877" w:rsidRDefault="00000000">
      <w:pPr>
        <w:spacing w:before="200"/>
        <w:jc w:val="center"/>
      </w:pPr>
      <w:r>
        <w:rPr>
          <w:sz w:val="22"/>
          <w:szCs w:val="22"/>
        </w:rPr>
        <w:t>Emeka Hilary Nwosu</w:t>
      </w:r>
    </w:p>
    <w:p w:rsidR="00952877" w:rsidRDefault="00000000">
      <w:pPr>
        <w:jc w:val="center"/>
      </w:pPr>
      <w:r>
        <w:rPr>
          <w:i/>
          <w:iCs/>
          <w:sz w:val="18"/>
          <w:szCs w:val="18"/>
        </w:rPr>
        <w:t>Department of Computer Science and Technology, Ulster University, Birmingham City, England</w:t>
      </w:r>
    </w:p>
    <w:p w:rsidR="00952877" w:rsidRDefault="00000000">
      <w:pPr>
        <w:spacing w:after="300"/>
        <w:jc w:val="center"/>
      </w:pPr>
      <w:r>
        <w:rPr>
          <w:i/>
          <w:iCs/>
          <w:sz w:val="18"/>
          <w:szCs w:val="18"/>
        </w:rPr>
        <w:t>Student ID: 20023332  |  Supervisor: Michael Ajao-Olarinoye</w:t>
      </w:r>
    </w:p>
    <w:p w:rsidR="00952877" w:rsidRPr="0067319E" w:rsidRDefault="00000000" w:rsidP="0067319E">
      <w:pPr>
        <w:spacing w:after="100"/>
        <w:ind w:left="576" w:right="576"/>
        <w:jc w:val="both"/>
        <w:rPr>
          <w:i/>
          <w:iCs/>
        </w:rPr>
      </w:pPr>
      <w:r>
        <w:rPr>
          <w:b/>
          <w:bCs/>
          <w:i/>
          <w:iCs/>
        </w:rPr>
        <w:t>Abstract—</w:t>
      </w:r>
      <w:r w:rsidRPr="0067319E">
        <w:rPr>
          <w:i/>
          <w:iCs/>
        </w:rPr>
        <w:t xml:space="preserve"> </w:t>
      </w:r>
      <w:r w:rsidR="0067319E" w:rsidRPr="0067319E">
        <w:rPr>
          <w:i/>
          <w:iCs/>
        </w:rPr>
        <w:t>In ecommerce, small and medium-sized businesses (SMEs) typically gather transactional data every day, but do not have the analytical tools that larger retailers have to turn that data into customer insight and personalised recommendations. In this paper, we present a data-driven customer segmentation system and a product recommendation system intentionally designed to fit the challenges of e-commerce resource constraints as faced by SMEs, and illustrate them by applying them to the UCI Online Retail dataset. After a thorough cleaning pipeline a Recency-Frequency-Monetary (RFM) set of features were created and customers were segmented using K-Means and hierarchical clustering which were compared by the Davies-Bouldin index and Silhouette score. A product recommendation component based on association rule mining (ARM) and item-based collaborative filtering (IBCF) was compared against a baseline of popularity and showed better segmentation results than this baseline, using Precision@K and Recall@K: K-Means (k = 2) achieved a best separation with Silhouette = 0.433, Davies-Bouldin = 0.784 and generated a “High-Value Active” segment of 38.4% of the customers, which contributes with 85.1% of the revenue. For Item-based collaborative filtering, the Precision@5 and Recall@5 were 0.0813 and 0.0631, respectively, which were approximately 6-7 times the popularity baseline. The segmentation and the recommendations were both delivered via a FastAPI backend and a React dashboard, proving segmentation and recommendation can be integrated in an overall pipeline that is easy to reproduce, low cost and can be adopted by SME</w:t>
      </w:r>
      <w:r>
        <w:rPr>
          <w:i/>
          <w:iCs/>
        </w:rPr>
        <w:t>.</w:t>
      </w:r>
    </w:p>
    <w:p w:rsidR="00952877" w:rsidRDefault="00000000">
      <w:pPr>
        <w:spacing w:after="200"/>
        <w:ind w:left="576" w:right="576"/>
        <w:jc w:val="both"/>
      </w:pPr>
      <w:r>
        <w:rPr>
          <w:b/>
          <w:bCs/>
          <w:i/>
          <w:iCs/>
        </w:rPr>
        <w:t xml:space="preserve">Keywords— </w:t>
      </w:r>
      <w:r>
        <w:rPr>
          <w:i/>
          <w:iCs/>
        </w:rPr>
        <w:t>Customer Segmentation; SME E-Commerce; RFM Analysis; K-Means Clustering; Hierarchical Clustering; Product Recommendation; Association Rule Mining; Collaborative Filtering</w:t>
      </w:r>
    </w:p>
    <w:p w:rsidR="00952877" w:rsidRDefault="00952877">
      <w:pPr>
        <w:sectPr w:rsidR="00952877">
          <w:type w:val="continuous"/>
          <w:pgSz w:w="12240" w:h="15840"/>
          <w:pgMar w:top="1080" w:right="900" w:bottom="1080" w:left="900" w:header="708" w:footer="708" w:gutter="0"/>
          <w:cols w:space="720"/>
          <w:docGrid w:linePitch="360"/>
        </w:sectPr>
      </w:pPr>
    </w:p>
    <w:p w:rsidR="00952877" w:rsidRDefault="00000000">
      <w:pPr>
        <w:spacing w:before="200" w:after="120"/>
        <w:jc w:val="center"/>
      </w:pPr>
      <w:r>
        <w:rPr>
          <w:b/>
          <w:bCs/>
          <w:caps/>
        </w:rPr>
        <w:t>I. Introduction</w:t>
      </w:r>
    </w:p>
    <w:p w:rsidR="0067319E" w:rsidRDefault="0067319E" w:rsidP="0067319E">
      <w:pPr>
        <w:spacing w:after="120"/>
        <w:jc w:val="both"/>
      </w:pPr>
      <w:r>
        <w:t>Small and medium enterprises (SMEs) make up a large part of the economy around the world, and digital transformation has enabled the smallest retailers to sell online. Each online transaction generates a transactional footprint, but most SMEs have not yet developed the tools to transform this data into actionable insights, mostly due to cost and complexity and due to a lack of in-house analytical skills [12]. Segmentation and recommendation engines are used to keep customers and boost sales by large technology firms regularly, but are not widely accessible for smaller retailers.</w:t>
      </w:r>
    </w:p>
    <w:p w:rsidR="0067319E" w:rsidRDefault="0067319E" w:rsidP="0067319E">
      <w:pPr>
        <w:spacing w:after="120"/>
        <w:jc w:val="both"/>
      </w:pPr>
      <w:r>
        <w:t>One of the most time-tested pathways to business intelligence is customer segmentation from raw transaction data. The Recency, Frequency and Monetary (RFM) model is one of the most popular segmentation methods, as it is easy to explain, easy to interpret and based on real purchasing behaviour [2] and was shown to work in a practical way for a small online retailer in the UK [1]. The complementary task addressed by recommendation systems is, "What should be recommended next, given knowledge about a particular customer. The key techniques that are still widely used for this purpose are item-based collaborative filtering [9] and association rule mining [7] that can be directly applied to invoice-level transactional data.</w:t>
      </w:r>
    </w:p>
    <w:p w:rsidR="0067319E" w:rsidRDefault="0067319E" w:rsidP="0067319E">
      <w:pPr>
        <w:spacing w:after="120"/>
        <w:jc w:val="both"/>
      </w:pPr>
      <w:r>
        <w:t xml:space="preserve">Much existing research separates Segmentation and Recommendation problems and is usually evaluated on enterprise scale or proprietary datasets which are not representative of the SME environment. However, this work identifies a shortcoming, and that is that it is an end-to-end segmentation + recommendation pipeline, but it has not been </w:t>
      </w:r>
      <w:r>
        <w:t>designed with a specific focus on the resource limitations of an SME, and so the UCI Online Retail transactional dataset has been used as an empirical proxy for it. The goal is to find out what clustering/recommendation approach is most suitable for a resource limited e-commerce application and to present this within an interactive application instead of a static analysis.</w:t>
      </w:r>
    </w:p>
    <w:p w:rsidR="0067319E" w:rsidRDefault="0067319E" w:rsidP="0067319E">
      <w:pPr>
        <w:spacing w:after="120"/>
        <w:jc w:val="both"/>
      </w:pPr>
      <w:r>
        <w:t>The novelty of the work is three fold: (i) segmentation and recommendation are not treated as separate problems anymore, but as one problem, using the same transaction data; (ii) the methodology, tool choice and evaluation criteria are intentionally targeted towards SME constraints; and (iii) more than one clustering technique (K-Means and hierarchical clustering) and more than one recommendation technique (association rule mining and item-based collaborative filtering) are evaluated under the same framework and benchmarked against a popularity baseline as suggested by Wong et al. [4] for the same data set.</w:t>
      </w:r>
    </w:p>
    <w:p w:rsidR="0067319E" w:rsidRDefault="0067319E" w:rsidP="0067319E">
      <w:pPr>
        <w:spacing w:after="120"/>
        <w:jc w:val="both"/>
      </w:pPr>
      <w:r>
        <w:t>Five research questions are formulated, namely (RQ1) How can transactional business data be transformed into actionable insight for SMEs?; (RQ2) Which clustering technique gives the best grouping of customers?; (RQ3) How can the customer buying trends enhance product recommendations?; (RQ4) What is the measurable impact of personalisation relative to the non-personalised baseline?; and (RQ5) How can customer analytics be delivered to improve SME decisions in practice beyond the level of a notebook exercise?</w:t>
      </w:r>
    </w:p>
    <w:p w:rsidR="00952877" w:rsidRDefault="00952877">
      <w:pPr>
        <w:spacing w:after="120"/>
        <w:jc w:val="both"/>
      </w:pPr>
    </w:p>
    <w:p w:rsidR="00952877" w:rsidRDefault="00000000">
      <w:pPr>
        <w:spacing w:before="200" w:after="120"/>
        <w:jc w:val="center"/>
      </w:pPr>
      <w:r>
        <w:rPr>
          <w:b/>
          <w:bCs/>
          <w:caps/>
        </w:rPr>
        <w:t>II. Related Work</w:t>
      </w:r>
    </w:p>
    <w:p w:rsidR="00952877" w:rsidRDefault="00000000">
      <w:pPr>
        <w:spacing w:before="160" w:after="80"/>
      </w:pPr>
      <w:r>
        <w:rPr>
          <w:b/>
          <w:bCs/>
          <w:i/>
          <w:iCs/>
        </w:rPr>
        <w:t>A. RFM Segmentation</w:t>
      </w:r>
    </w:p>
    <w:p w:rsidR="00952877" w:rsidRDefault="0067319E">
      <w:pPr>
        <w:spacing w:after="120"/>
        <w:jc w:val="both"/>
      </w:pPr>
      <w:r w:rsidRPr="0067319E">
        <w:lastRenderedPageBreak/>
        <w:t>Hughes introduced the RFM framework as a viable solution to find the most valuable customers based on a company's transactional data [2]. Its durability is because it is based on very little computation, it only uses information from the transactions, and it is interpreted by people who do not know how to use computers in business. Tabianan et al. demonstrated that creating segments by using RFM scoring and K-Means clustering yields segments with interpretable business segments (such as loyal customers or segments that are likely to churn) [3]. In order to remain in line with the original analysis of the UCI Online Retail dataset [1] used to create the pipeline, this study follows the standard three-dimensional RFM system.</w:t>
      </w:r>
    </w:p>
    <w:p w:rsidR="00952877" w:rsidRDefault="00000000">
      <w:pPr>
        <w:spacing w:before="160" w:after="80"/>
      </w:pPr>
      <w:r>
        <w:rPr>
          <w:b/>
          <w:bCs/>
          <w:i/>
          <w:iCs/>
        </w:rPr>
        <w:t>B. Clustering Algorithms</w:t>
      </w:r>
    </w:p>
    <w:p w:rsidR="00952877" w:rsidRDefault="001928C0">
      <w:pPr>
        <w:spacing w:after="120"/>
        <w:jc w:val="both"/>
      </w:pPr>
      <w:r w:rsidRPr="001928C0">
        <w:t>K-Means is widely used for customer segmentations because it is simple and computationally efficient, though the number of clusters k has to be given beforehand which is addressed with the use of the Silhouette score [5] and the Davies-Bouldin index [6] or a k-distance elbow plot. Since it requires no a priori knowledge of k, it can generate a dendrogram that is useful for communicating the results to non-technical stakeholders, it is quadratic in the size of the data set, and is called hierarchical (agglomerative) clustering with Ward's linkage criterion [11]. In the context of this research, applications of multiple evaluation metrics have been used to compare the performance of the K-Means and hierarchical method, but it was found that neither of these methods performed best on all customer data sets [4], consistent with a UK retail clustering benchmark which reported Silhouette scores ranging from 0.6 to 0.8 depending on the evaluation method and dimensionality-reduction technique [13]</w:t>
      </w:r>
      <w:r>
        <w:t>.</w:t>
      </w:r>
    </w:p>
    <w:p w:rsidR="00952877" w:rsidRDefault="00000000">
      <w:pPr>
        <w:spacing w:before="160" w:after="80"/>
      </w:pPr>
      <w:r>
        <w:rPr>
          <w:b/>
          <w:bCs/>
          <w:i/>
          <w:iCs/>
        </w:rPr>
        <w:t>C. Density-Based Clustering (DBSCAN)</w:t>
      </w:r>
    </w:p>
    <w:p w:rsidR="00952877" w:rsidRDefault="001928C0">
      <w:pPr>
        <w:spacing w:after="120"/>
        <w:jc w:val="both"/>
      </w:pPr>
      <w:r w:rsidRPr="001928C0">
        <w:t>The Density-Based Spatial Clustering of Applications with Noise (DBSCAN) [16] algorithm is a clustering method that groups points that are closely located together, and clearly identifies low-density points as noise, without needing to specify the number of clusters beforehand. It has two parameters that are usually adjusted by a k-distance graph: neighbourhood radius (eps) and minimum-points (minPts). Though DBSCAN does not necessarily presume spherical, equally sized clusters, it is sometimes referred to as an exploratory outlier in customer-segmentation studies, but can be sensitive to parameter choice and to the varying density of customer sub-populations and make it less stable than K-Means or hierarchical clustering on skewed transactional data</w:t>
      </w:r>
      <w:r>
        <w:t>.</w:t>
      </w:r>
    </w:p>
    <w:p w:rsidR="00952877" w:rsidRDefault="00000000">
      <w:pPr>
        <w:spacing w:before="160" w:after="80"/>
      </w:pPr>
      <w:r>
        <w:rPr>
          <w:b/>
          <w:bCs/>
          <w:i/>
          <w:iCs/>
        </w:rPr>
        <w:t>D. Recommendation Techniques</w:t>
      </w:r>
    </w:p>
    <w:p w:rsidR="00952877" w:rsidRDefault="001928C0">
      <w:pPr>
        <w:spacing w:after="120"/>
        <w:jc w:val="both"/>
      </w:pPr>
      <w:r w:rsidRPr="001928C0">
        <w:t xml:space="preserve">Association rule mining is used to find items that co-occur in transactions often. Apriori [7] uses the anti-monotonicity of the support measure to reduce the search space, while FP-Growth [8] does not generate candidate itemsets explicitly, but rather uses a compressed frequent-pattern tree that performs well on larger transaction logs, and is guaranteed to generate the same frequent itemsets. In contrast to user-based approaches, item-based collaborative filtering [9] takes the product and user similarity matrix derived from co-purchase behaviour to generate recommendations, which is more scalable and is less prone to the cold-start problem, and is the basis of a large-scale </w:t>
      </w:r>
      <w:r w:rsidRPr="001928C0">
        <w:t>system like Amazon's item-to-item recommender [10]. Such assessments often incorporate a non-personalized popularity baseline to provide a falsifiable lower bound on which to measure the value of personalization</w:t>
      </w:r>
      <w:r>
        <w:t>.</w:t>
      </w:r>
    </w:p>
    <w:p w:rsidR="00952877" w:rsidRDefault="00000000">
      <w:pPr>
        <w:spacing w:before="160" w:after="80"/>
      </w:pPr>
      <w:r>
        <w:rPr>
          <w:b/>
          <w:bCs/>
          <w:i/>
          <w:iCs/>
        </w:rPr>
        <w:t>E. Evaluation Metrics</w:t>
      </w:r>
    </w:p>
    <w:p w:rsidR="00952877" w:rsidRDefault="001928C0">
      <w:pPr>
        <w:spacing w:after="120"/>
        <w:jc w:val="both"/>
      </w:pPr>
      <w:r w:rsidRPr="001928C0">
        <w:t>Rank-aware information-retrieval measures like Precision@K and Recall@K are widely used to evaluate the quality of recommender systems, using a held-out subset of each user's known interactions [17]. The precision at K (Precision@K) is the fraction of the top K recommended items that are relevant, and the recall at K (Recall@K) is the fraction of all relevant items that were included in the top K list. In the absence of ground-truth labels, for association rules, the standard descriptive statistics of the rule quality are support, confidence and lift [7], while for clustering it is the Silhouette score [5] and Davies-Bouldin index [6]</w:t>
      </w:r>
      <w:r>
        <w:t>.</w:t>
      </w:r>
    </w:p>
    <w:p w:rsidR="00952877" w:rsidRDefault="00000000">
      <w:pPr>
        <w:spacing w:before="160" w:after="80"/>
      </w:pPr>
      <w:r>
        <w:rPr>
          <w:b/>
          <w:bCs/>
          <w:i/>
          <w:iCs/>
        </w:rPr>
        <w:t>F. SME Technology Adoption and Positioning of this Study</w:t>
      </w:r>
    </w:p>
    <w:p w:rsidR="00952877" w:rsidRDefault="001928C0">
      <w:pPr>
        <w:spacing w:after="120"/>
        <w:jc w:val="both"/>
      </w:pPr>
      <w:r w:rsidRPr="001928C0">
        <w:t>While large retailers can systematically use the data signals in their purchase process for personalization, SMEs possess the same data signals, but do not have the in-house capability, budget or structured governance processes to make the data work for them in the same way [12]. Some of the factors that have been repeatedly cited in the literature as impediments to the adoption of analytics are financial resources, digital skills and fragmented IT infrastructure, while perceived ease of use and organizational fit are key to successful adoption as well as the raw predictive accuracy. This work is motivated by three gaps. First, the research of segmentation and recommendation is seldom combined together in the same pipeline over the same data. Secondly, most of the published work is based on Enterprise scale platforms, not the smaller, resource constrained SME context. Thirdly, comparative studies which compare multiple clustering techniques as well as compare multiple recommendation techniques, under the same evaluation framework, have been less frequently conducted than single algorithm studies. This study tackles all three by combining segmentation and recommendation in a single pipeline, limiting the methodology to SME constraints, and comparing a segmentation based on K-Means clustering with hierarchical clustering, and an association rule-based recommendation system with an item-based collaborative filtering.This study tackles all three by combining the two tasks in a single pipeline, by limiting the methodology to SME constraints, and by comparing K-Means clustering with hierarchical clustering in the same evaluation framework, and association rule-based recommendation with item-based collaborative filtering in the same evaluation framework</w:t>
      </w:r>
      <w:r>
        <w:t>.</w:t>
      </w:r>
    </w:p>
    <w:p w:rsidR="00D83BEF" w:rsidRDefault="00D83BEF">
      <w:pPr>
        <w:spacing w:after="120"/>
        <w:jc w:val="both"/>
      </w:pPr>
    </w:p>
    <w:p w:rsidR="00952877" w:rsidRDefault="00000000">
      <w:pPr>
        <w:spacing w:before="200" w:after="120"/>
        <w:jc w:val="center"/>
      </w:pPr>
      <w:r>
        <w:rPr>
          <w:b/>
          <w:bCs/>
          <w:caps/>
        </w:rPr>
        <w:t>III. Methodology</w:t>
      </w:r>
    </w:p>
    <w:p w:rsidR="00952877" w:rsidRDefault="00000000">
      <w:pPr>
        <w:spacing w:before="160" w:after="80"/>
      </w:pPr>
      <w:r>
        <w:rPr>
          <w:b/>
          <w:bCs/>
          <w:i/>
          <w:iCs/>
        </w:rPr>
        <w:t>A. Research Design</w:t>
      </w:r>
    </w:p>
    <w:p w:rsidR="00952877" w:rsidRDefault="001928C0">
      <w:pPr>
        <w:spacing w:after="120"/>
        <w:jc w:val="both"/>
      </w:pPr>
      <w:r w:rsidRPr="001928C0">
        <w:t>The design of this study is quantitative type of experiment research design according to the standard data mining process model. Qualitative interpretation is not used throughout – quantitative behavioural features (RFM metrics and product co-</w:t>
      </w:r>
      <w:r w:rsidRPr="001928C0">
        <w:lastRenderedPageBreak/>
        <w:t>purchase statistics) are used; more than one algorithm is specifically designed, tuned and compared against each other in terms of objective metrics (three clustering configurations, three recommendation approaches) than one algorithm is applied and assumed to be sufficient. Overall procedure consists of five phases: Data acquisition and cleaning, Feature construction, Customer Segmentation and Evaluation, Product Recommendation and Evaluation, Delivery via an interactive web application. All intermediate artefacts created during the stages are inspectable, allowing for independent validation of each step, before the next is constructed on it.</w:t>
      </w:r>
    </w:p>
    <w:p w:rsidR="00952877" w:rsidRDefault="00000000">
      <w:pPr>
        <w:spacing w:before="160" w:after="80"/>
      </w:pPr>
      <w:r>
        <w:rPr>
          <w:b/>
          <w:bCs/>
          <w:i/>
          <w:iCs/>
        </w:rPr>
        <w:t>B. Dataset</w:t>
      </w:r>
    </w:p>
    <w:p w:rsidR="00952877" w:rsidRDefault="001928C0">
      <w:pPr>
        <w:spacing w:after="120"/>
        <w:jc w:val="both"/>
      </w:pPr>
      <w:r w:rsidRPr="001928C0">
        <w:t>The UCI Online Retail dataset [14] is used in this study, which is a real transaction log from a non-store online retailer located in the UK and selling all-occasion gifts, from 1st December 2010 to 9th December 2011. The raw data includes 541,909 line items with eight fields: InvoiceNo, StockCode, Description, Quantity, InvoiceDate, UnitPrice, CustomerID, Country. Every line in each row is an individual line on a customer's invoice; a single order can have multiple lines. The dataset was selected for being a real e-commerce log (as opposed to synthetic data), for having a customer identifier that allows to segment the data down to the customer level, and for being of scale a typical SME order-management system could reasonably generate</w:t>
      </w:r>
      <w:r>
        <w:t>.</w:t>
      </w:r>
    </w:p>
    <w:p w:rsidR="00952877" w:rsidRDefault="00000000">
      <w:pPr>
        <w:spacing w:before="160" w:after="80"/>
      </w:pPr>
      <w:r>
        <w:rPr>
          <w:b/>
          <w:bCs/>
          <w:i/>
          <w:iCs/>
        </w:rPr>
        <w:t>C. Data Preprocessing</w:t>
      </w:r>
    </w:p>
    <w:p w:rsidR="001928C0" w:rsidRDefault="001928C0">
      <w:pPr>
        <w:spacing w:after="120"/>
        <w:jc w:val="both"/>
      </w:pPr>
      <w:r w:rsidRPr="001928C0">
        <w:t>Cancelled transactions (transactions starting with ‘C’) and the rows with a quantity or price less than zero, as well as rows where the CustomerID wasn't specified (roughly a quarter of the data, as usual for guest checkouts) and exact duplicates and lines with no ProductDescription were removed, and the TotalPrice on each remaining line item calculated as UnitPrice</w:t>
      </w:r>
      <w:r>
        <w:t xml:space="preserve"> × </w:t>
      </w:r>
      <w:r w:rsidRPr="001928C0">
        <w:t>Quantity. This narrowed the data down from 541,909 line items to 392,692 line items with a 72.4% retention rate, which included 4,338 customers, 3,665 products and 37 countries with 82.0% of the revenue coming from the United Kingdom. At each cleaning stage the row count was reported to make it possible to trace the effect of each rule on the data set.</w:t>
      </w:r>
    </w:p>
    <w:p w:rsidR="00952877" w:rsidRDefault="00000000">
      <w:pPr>
        <w:spacing w:before="160" w:after="80"/>
      </w:pPr>
      <w:r>
        <w:rPr>
          <w:b/>
          <w:bCs/>
          <w:i/>
          <w:iCs/>
        </w:rPr>
        <w:t>D. Feature Engineering</w:t>
      </w:r>
    </w:p>
    <w:p w:rsidR="00952877" w:rsidRDefault="001928C0">
      <w:pPr>
        <w:spacing w:after="120"/>
        <w:jc w:val="both"/>
      </w:pPr>
      <w:r w:rsidRPr="001928C0">
        <w:t>Five features were extracted: Recency (days since the most recent order placed by the customer, calculated from a fixed reference date), Frequency (number of different invoices), Monetary value (total value of all the orders placed by a customer), Average Order Value (Monetary / Frequency), and Tenure (days between the first and last order placed by the customer, as contextual information for interpreting the clusters). All three of these — Recency, Frequency and Monetary — were strongly right-skewed, and that's the norm with data that involves transactions: the majority of customers have low transaction frequency and low spend, with a few having high frequency and high spend. To avoid an extreme value customer dominating the distance measure used in K-Means and hierarchical clustering, the dimensions of Frequency and Monetary (and Recency to a lesser extent) were therefore log transformed (log(1+x)) and all three dimensions were standardized to a zero mean and unit variance</w:t>
      </w:r>
      <w:r>
        <w:t>.</w:t>
      </w:r>
    </w:p>
    <w:p w:rsidR="00952877" w:rsidRDefault="00000000">
      <w:pPr>
        <w:spacing w:before="160" w:after="80"/>
      </w:pPr>
      <w:r>
        <w:rPr>
          <w:b/>
          <w:bCs/>
          <w:i/>
          <w:iCs/>
        </w:rPr>
        <w:t>E. Customer Segmentation</w:t>
      </w:r>
    </w:p>
    <w:p w:rsidR="00952877" w:rsidRDefault="001928C0">
      <w:pPr>
        <w:spacing w:after="120"/>
        <w:jc w:val="both"/>
      </w:pPr>
      <w:r w:rsidRPr="001928C0">
        <w:t>This is combined with two methods of machine learning clustering: a rule-based RFM quintile scoring baseline [2] was added. The k values considered are 2 through 10 and fitted using K-Means on the scaled RFM feature space with Silhouette score [5] as the main criterion for choosing the value of k, which was verified by the Davies Bouldin index [6]. For comparison, the same range of k was used in the hierarchical clustering using Ward's linkage [11]. A density-based comparison was also made using DBSCAN [16] which was also run as an option; the neighborhood radius was determined from a k-distance plot and the number of resulting clusters and the percentage of points classified as noise were recorded.</w:t>
      </w:r>
    </w:p>
    <w:p w:rsidR="00952877" w:rsidRDefault="00000000">
      <w:pPr>
        <w:spacing w:before="160" w:after="80"/>
      </w:pPr>
      <w:r>
        <w:rPr>
          <w:b/>
          <w:bCs/>
          <w:i/>
          <w:iCs/>
        </w:rPr>
        <w:t>F. Product Recommendation</w:t>
      </w:r>
    </w:p>
    <w:p w:rsidR="00952877" w:rsidRDefault="007B6072">
      <w:pPr>
        <w:spacing w:after="120"/>
        <w:jc w:val="both"/>
      </w:pPr>
      <w:r w:rsidRPr="007B6072">
        <w:t>Market-basket analysis was considered only for United Kingdom invoices and only for those products that were part of at least 30 different invoices, in order to limit the size of the invoice-by-product matrix to a manageable level and ensure that the rules are statistically reliable. Both Apriori [7] and FP-Growth [8] were used to extract frequent itemset and association rules with minimum support 2% and minimum lift 1.0. In the item-based collaborative filtering system [9] the similarity between products was calculated based on their co-occurrence in an invoice and recommendations for a customer were produced by adding similarity scores over the items bought from them and sorting the remaining items by their similarity. The added value of personalisation was made falsifiable in the same way as compared with similar e-commerce recommender evaluations [17] by employing a popularity baseline recommending the overall best-sellers.</w:t>
      </w:r>
    </w:p>
    <w:p w:rsidR="00952877" w:rsidRDefault="00000000">
      <w:pPr>
        <w:spacing w:before="160" w:after="80"/>
      </w:pPr>
      <w:r>
        <w:rPr>
          <w:b/>
          <w:bCs/>
          <w:i/>
          <w:iCs/>
        </w:rPr>
        <w:t>G. System Architecture</w:t>
      </w:r>
    </w:p>
    <w:p w:rsidR="00952877" w:rsidRDefault="007B6072">
      <w:pPr>
        <w:spacing w:after="120"/>
        <w:jc w:val="both"/>
      </w:pPr>
      <w:r w:rsidRPr="007B6072">
        <w:t>The trained models and lookup tables (K-Means model, scaler, item-item similarity matrix, association rules, popularity ranking, per-customer purchase histories) were serialised and made available via a Python FastAPI API with a REST interface [15] with an endpoint that can classify a new unseen customer by using the same trained scaler and K-Means model. These endpoints were consumed by a React front-end to display segment summaries, customer/Product lookup and model-quality metrics. The three separations – offline model-building, stateless API layer, independently deployable front-end – are standard applied-machine-learning practice so that one part of the system (such as a new clustering algorithm, or a mobile client consuming the same endpoints, for example) can be replaced without affecting the others</w:t>
      </w:r>
      <w:r>
        <w:t>.</w:t>
      </w:r>
    </w:p>
    <w:p w:rsidR="00952877" w:rsidRDefault="00000000">
      <w:pPr>
        <w:spacing w:before="160" w:after="80"/>
      </w:pPr>
      <w:r>
        <w:rPr>
          <w:b/>
          <w:bCs/>
          <w:i/>
          <w:iCs/>
        </w:rPr>
        <w:t>H. Tools and Technologies</w:t>
      </w:r>
    </w:p>
    <w:p w:rsidR="00952877" w:rsidRDefault="007B6072">
      <w:pPr>
        <w:spacing w:after="120"/>
        <w:jc w:val="both"/>
      </w:pPr>
      <w:r w:rsidRPr="007B6072">
        <w:t>To ensure that the solution is available for resource poor SMEs, all the tools employed are open source and easily accessible</w:t>
      </w:r>
      <w:r>
        <w:t xml:space="preserve">. These tools are </w:t>
      </w:r>
      <w:r w:rsidRPr="007B6072">
        <w:t>summarized in Table I</w:t>
      </w:r>
      <w:r>
        <w:t>.</w:t>
      </w:r>
    </w:p>
    <w:tbl>
      <w:tblPr>
        <w:tblW w:w="5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3000"/>
      </w:tblGrid>
      <w:tr w:rsidR="00952877" w:rsidTr="007B6072">
        <w:tc>
          <w:tcPr>
            <w:tcW w:w="2000" w:type="dxa"/>
          </w:tcPr>
          <w:p w:rsidR="00952877" w:rsidRPr="007B6072" w:rsidRDefault="00000000">
            <w:pPr>
              <w:spacing w:before="20" w:after="20"/>
              <w:jc w:val="center"/>
            </w:pPr>
            <w:r w:rsidRPr="007B6072">
              <w:rPr>
                <w:b/>
                <w:bCs/>
              </w:rPr>
              <w:t>Tool</w:t>
            </w:r>
          </w:p>
        </w:tc>
        <w:tc>
          <w:tcPr>
            <w:tcW w:w="3000" w:type="dxa"/>
          </w:tcPr>
          <w:p w:rsidR="00952877" w:rsidRPr="007B6072" w:rsidRDefault="00000000">
            <w:pPr>
              <w:spacing w:before="20" w:after="20"/>
              <w:jc w:val="center"/>
            </w:pPr>
            <w:r w:rsidRPr="007B6072">
              <w:rPr>
                <w:b/>
                <w:bCs/>
              </w:rPr>
              <w:t>Purpose</w:t>
            </w:r>
          </w:p>
        </w:tc>
      </w:tr>
      <w:tr w:rsidR="00952877">
        <w:tc>
          <w:tcPr>
            <w:tcW w:w="2000" w:type="dxa"/>
          </w:tcPr>
          <w:p w:rsidR="00952877" w:rsidRPr="007B6072" w:rsidRDefault="00000000">
            <w:pPr>
              <w:spacing w:before="20" w:after="20"/>
              <w:jc w:val="center"/>
            </w:pPr>
            <w:r w:rsidRPr="007B6072">
              <w:t>Python 3 / Pandas / NumPy</w:t>
            </w:r>
          </w:p>
        </w:tc>
        <w:tc>
          <w:tcPr>
            <w:tcW w:w="3000" w:type="dxa"/>
          </w:tcPr>
          <w:p w:rsidR="00952877" w:rsidRPr="007B6072" w:rsidRDefault="00000000">
            <w:pPr>
              <w:spacing w:before="20" w:after="20"/>
              <w:jc w:val="center"/>
            </w:pPr>
            <w:r w:rsidRPr="007B6072">
              <w:t>Data loading, cleaning, feature engineering</w:t>
            </w:r>
          </w:p>
        </w:tc>
      </w:tr>
      <w:tr w:rsidR="00952877">
        <w:tc>
          <w:tcPr>
            <w:tcW w:w="2000" w:type="dxa"/>
          </w:tcPr>
          <w:p w:rsidR="00952877" w:rsidRPr="007B6072" w:rsidRDefault="00000000">
            <w:pPr>
              <w:spacing w:before="20" w:after="20"/>
              <w:jc w:val="center"/>
            </w:pPr>
            <w:r w:rsidRPr="007B6072">
              <w:t>Scikit-learn</w:t>
            </w:r>
          </w:p>
        </w:tc>
        <w:tc>
          <w:tcPr>
            <w:tcW w:w="3000" w:type="dxa"/>
          </w:tcPr>
          <w:p w:rsidR="00952877" w:rsidRPr="007B6072" w:rsidRDefault="00000000">
            <w:pPr>
              <w:spacing w:before="20" w:after="20"/>
              <w:jc w:val="center"/>
            </w:pPr>
            <w:r w:rsidRPr="007B6072">
              <w:t>K-Means, hierarchical, DBSCAN, scaling, metrics</w:t>
            </w:r>
          </w:p>
        </w:tc>
      </w:tr>
      <w:tr w:rsidR="00952877">
        <w:tc>
          <w:tcPr>
            <w:tcW w:w="2000" w:type="dxa"/>
          </w:tcPr>
          <w:p w:rsidR="00952877" w:rsidRPr="007B6072" w:rsidRDefault="00000000">
            <w:pPr>
              <w:spacing w:before="20" w:after="20"/>
              <w:jc w:val="center"/>
            </w:pPr>
            <w:r w:rsidRPr="007B6072">
              <w:lastRenderedPageBreak/>
              <w:t>mlxtend</w:t>
            </w:r>
          </w:p>
        </w:tc>
        <w:tc>
          <w:tcPr>
            <w:tcW w:w="3000" w:type="dxa"/>
          </w:tcPr>
          <w:p w:rsidR="00952877" w:rsidRPr="007B6072" w:rsidRDefault="00000000">
            <w:pPr>
              <w:spacing w:before="20" w:after="20"/>
              <w:jc w:val="center"/>
            </w:pPr>
            <w:r w:rsidRPr="007B6072">
              <w:t>Apriori and FP-Growth rule mining</w:t>
            </w:r>
          </w:p>
        </w:tc>
      </w:tr>
      <w:tr w:rsidR="00952877">
        <w:tc>
          <w:tcPr>
            <w:tcW w:w="2000" w:type="dxa"/>
          </w:tcPr>
          <w:p w:rsidR="00952877" w:rsidRPr="007B6072" w:rsidRDefault="00000000">
            <w:pPr>
              <w:spacing w:before="20" w:after="20"/>
              <w:jc w:val="center"/>
            </w:pPr>
            <w:r w:rsidRPr="007B6072">
              <w:t>SciPy / Matplotlib</w:t>
            </w:r>
          </w:p>
        </w:tc>
        <w:tc>
          <w:tcPr>
            <w:tcW w:w="3000" w:type="dxa"/>
          </w:tcPr>
          <w:p w:rsidR="00952877" w:rsidRPr="007B6072" w:rsidRDefault="00000000">
            <w:pPr>
              <w:spacing w:before="20" w:after="20"/>
              <w:jc w:val="center"/>
            </w:pPr>
            <w:r w:rsidRPr="007B6072">
              <w:t>Linkage computation and visualisation</w:t>
            </w:r>
          </w:p>
        </w:tc>
      </w:tr>
      <w:tr w:rsidR="00952877">
        <w:tc>
          <w:tcPr>
            <w:tcW w:w="2000" w:type="dxa"/>
          </w:tcPr>
          <w:p w:rsidR="00952877" w:rsidRPr="007B6072" w:rsidRDefault="00000000">
            <w:pPr>
              <w:spacing w:before="20" w:after="20"/>
              <w:jc w:val="center"/>
            </w:pPr>
            <w:r w:rsidRPr="007B6072">
              <w:t>FastAPI / Uvicorn</w:t>
            </w:r>
          </w:p>
        </w:tc>
        <w:tc>
          <w:tcPr>
            <w:tcW w:w="3000" w:type="dxa"/>
          </w:tcPr>
          <w:p w:rsidR="00952877" w:rsidRPr="007B6072" w:rsidRDefault="00000000">
            <w:pPr>
              <w:spacing w:before="20" w:after="20"/>
              <w:jc w:val="center"/>
            </w:pPr>
            <w:r w:rsidRPr="007B6072">
              <w:t>REST API serving trained models</w:t>
            </w:r>
          </w:p>
        </w:tc>
      </w:tr>
      <w:tr w:rsidR="00952877">
        <w:tc>
          <w:tcPr>
            <w:tcW w:w="2000" w:type="dxa"/>
          </w:tcPr>
          <w:p w:rsidR="00952877" w:rsidRPr="007B6072" w:rsidRDefault="00000000">
            <w:pPr>
              <w:spacing w:before="20" w:after="20"/>
              <w:jc w:val="center"/>
            </w:pPr>
            <w:r w:rsidRPr="007B6072">
              <w:t>React (Vite) / Recharts</w:t>
            </w:r>
          </w:p>
        </w:tc>
        <w:tc>
          <w:tcPr>
            <w:tcW w:w="3000" w:type="dxa"/>
          </w:tcPr>
          <w:p w:rsidR="00952877" w:rsidRPr="007B6072" w:rsidRDefault="00000000">
            <w:pPr>
              <w:spacing w:before="20" w:after="20"/>
              <w:jc w:val="center"/>
            </w:pPr>
            <w:r w:rsidRPr="007B6072">
              <w:t>Interactive dashboard frontend</w:t>
            </w:r>
          </w:p>
        </w:tc>
      </w:tr>
    </w:tbl>
    <w:p w:rsidR="00952877" w:rsidRDefault="00000000">
      <w:pPr>
        <w:spacing w:before="80" w:after="160"/>
        <w:jc w:val="center"/>
      </w:pPr>
      <w:r>
        <w:rPr>
          <w:sz w:val="18"/>
          <w:szCs w:val="18"/>
        </w:rPr>
        <w:t>TABLE I. TOOLS AND TECHNOLOGIES USED</w:t>
      </w:r>
    </w:p>
    <w:p w:rsidR="00952877" w:rsidRDefault="00000000">
      <w:pPr>
        <w:spacing w:before="160" w:after="80"/>
      </w:pPr>
      <w:r>
        <w:rPr>
          <w:b/>
          <w:bCs/>
          <w:i/>
          <w:iCs/>
        </w:rPr>
        <w:t>I. Evaluation Metrics</w:t>
      </w:r>
    </w:p>
    <w:p w:rsidR="00952877" w:rsidRDefault="007B6072">
      <w:pPr>
        <w:spacing w:after="120"/>
        <w:jc w:val="both"/>
      </w:pPr>
      <w:r w:rsidRPr="007B6072">
        <w:t>Average Recency, Frequency and Monetary value per transaction as well as share of total revenue, were qualitatively profiled for each cluster using Silhouette score [5] and Davies-Bouldin index [6]. The quality of recommendations was evaluated in terms of Precision@5 and Recall@5 [17] with a held-out-purchase method, which requires withholding the last time each customer bought something and comparing the resulting recommendations from each model with the top-5 purchases made by the customer, along with descriptive statistics, confidence and lift values for the mined association rules</w:t>
      </w:r>
      <w:r>
        <w:t>.</w:t>
      </w:r>
    </w:p>
    <w:p w:rsidR="00D83BEF" w:rsidRDefault="00D83BEF">
      <w:pPr>
        <w:spacing w:after="120"/>
        <w:jc w:val="both"/>
      </w:pPr>
    </w:p>
    <w:p w:rsidR="00952877" w:rsidRDefault="00000000">
      <w:pPr>
        <w:spacing w:before="200" w:after="120"/>
        <w:jc w:val="center"/>
      </w:pPr>
      <w:r>
        <w:rPr>
          <w:b/>
          <w:bCs/>
          <w:caps/>
        </w:rPr>
        <w:t>IV. Results</w:t>
      </w:r>
    </w:p>
    <w:p w:rsidR="00952877" w:rsidRDefault="00000000">
      <w:pPr>
        <w:spacing w:before="160" w:after="80"/>
      </w:pPr>
      <w:r>
        <w:rPr>
          <w:b/>
          <w:bCs/>
          <w:i/>
          <w:iCs/>
        </w:rPr>
        <w:t>A. Data Cleaning and Exploratory Analysis</w:t>
      </w:r>
    </w:p>
    <w:p w:rsidR="00952877" w:rsidRDefault="00090F56">
      <w:pPr>
        <w:spacing w:after="120"/>
        <w:jc w:val="both"/>
      </w:pPr>
      <w:r w:rsidRPr="00090F56">
        <w:t>The data was preprocessed to remove any rows with missing or invalid data, resulting in a final dataset of 392,692 valid line items (72.4%) from 4,338 customers, 3,665 products and 37 countries. The biggest drop was in rows missing a CustomerID, representing a quarter or so of the data in the post-cancellation table, as these are guest-checkout transactions, which are not assigned to a customer. The monthly revenue was highest in the last quarter observed (September to November 2011), in line with the expected increase in demand for a gift retailer during that period of time, but before a slight decline in the monthly revenue in December 2011, caused by the fact that the dataset was cut off on 9 December 2011. The United Kingdom accounted for 82.0% of all the revenue, with the next largest markets (the Netherlands, Ireland, Germany and France) each being a tenth of this size – a result that directly validates the limitation of the market-basket analysis to UK transactions</w:t>
      </w:r>
      <w:r w:rsidR="007A2070">
        <w:t xml:space="preserve"> (Fig.2)</w:t>
      </w:r>
      <w:r w:rsidRPr="00090F56">
        <w:t>.</w:t>
      </w:r>
    </w:p>
    <w:p w:rsidR="007A2070" w:rsidRDefault="007A2070">
      <w:pPr>
        <w:spacing w:after="120"/>
        <w:jc w:val="both"/>
      </w:pPr>
      <w:r>
        <w:rPr>
          <w:noProof/>
        </w:rPr>
        <w:drawing>
          <wp:inline distT="0" distB="0" distL="0" distR="0" wp14:anchorId="50189092" wp14:editId="596F1345">
            <wp:extent cx="3228109" cy="1614055"/>
            <wp:effectExtent l="0" t="0" r="0" b="0"/>
            <wp:docPr id="811130002" name="Picture 81113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40327" cy="1620164"/>
                    </a:xfrm>
                    <a:prstGeom prst="rect">
                      <a:avLst/>
                    </a:prstGeom>
                  </pic:spPr>
                </pic:pic>
              </a:graphicData>
            </a:graphic>
          </wp:inline>
        </w:drawing>
      </w:r>
    </w:p>
    <w:p w:rsidR="007A2070" w:rsidRDefault="007A2070" w:rsidP="007A2070">
      <w:pPr>
        <w:spacing w:after="120"/>
        <w:jc w:val="center"/>
      </w:pPr>
      <w:r>
        <w:t>Fig. 1. Monthly revenue, December 2010 – December 2011.</w:t>
      </w:r>
    </w:p>
    <w:p w:rsidR="007A2070" w:rsidRDefault="007A2070">
      <w:pPr>
        <w:spacing w:after="120"/>
        <w:jc w:val="both"/>
      </w:pPr>
      <w:r>
        <w:rPr>
          <w:noProof/>
        </w:rPr>
        <w:drawing>
          <wp:inline distT="0" distB="0" distL="0" distR="0" wp14:anchorId="761788FC" wp14:editId="7FEF1890">
            <wp:extent cx="3200400" cy="1802892"/>
            <wp:effectExtent l="0" t="0" r="0" b="635"/>
            <wp:docPr id="1460176383" name="Picture 146017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13427" cy="1810231"/>
                    </a:xfrm>
                    <a:prstGeom prst="rect">
                      <a:avLst/>
                    </a:prstGeom>
                  </pic:spPr>
                </pic:pic>
              </a:graphicData>
            </a:graphic>
          </wp:inline>
        </w:drawing>
      </w:r>
    </w:p>
    <w:p w:rsidR="007A2070" w:rsidRDefault="007A2070" w:rsidP="007A2070">
      <w:pPr>
        <w:spacing w:after="120"/>
        <w:jc w:val="center"/>
      </w:pPr>
      <w:r>
        <w:t>Fig.2. Top 10 countries by revenue</w:t>
      </w:r>
    </w:p>
    <w:p w:rsidR="00952877" w:rsidRDefault="00000000">
      <w:pPr>
        <w:spacing w:before="160" w:after="80"/>
      </w:pPr>
      <w:r>
        <w:rPr>
          <w:b/>
          <w:bCs/>
          <w:i/>
          <w:iCs/>
        </w:rPr>
        <w:t>B. Customer Segmentation Results</w:t>
      </w:r>
    </w:p>
    <w:p w:rsidR="007A2070" w:rsidRDefault="00090F56">
      <w:pPr>
        <w:spacing w:after="120"/>
        <w:jc w:val="both"/>
      </w:pPr>
      <w:r w:rsidRPr="00090F56">
        <w:t>Both the Silhouette score and Davies Bouldin index were optimised at k = 2 (0.433) and (0.784) respectively, and thus, the K-Means model was selected as the main segmentation model as both curves decreased as the number of clusters increased after k = 2 for this particular dataset, pointing towards the fact that there were no further clusters of statistically meaningful differences. Hierarchical clustering with Ward linkage found the same k = 2 solution, and gave a similar, but slightly poorer, Silhouette score of 0.411, which is in agreement rather than in contradiction with the K-Means result. DBSCAN, with parameters guided by the k-distance plot, was not able to find a better multi-cluster structure and is only mentioned as an exploratory comparison.</w:t>
      </w:r>
    </w:p>
    <w:p w:rsidR="007A2070" w:rsidRDefault="007A2070">
      <w:pPr>
        <w:spacing w:after="120"/>
        <w:jc w:val="both"/>
      </w:pPr>
      <w:r>
        <w:t>Fig.4 visualises both the customer/revenue split and clustering-quality numbers.</w:t>
      </w:r>
    </w:p>
    <w:p w:rsidR="007A2070" w:rsidRDefault="007A2070">
      <w:pPr>
        <w:spacing w:after="120"/>
        <w:jc w:val="both"/>
        <w:sectPr w:rsidR="007A2070">
          <w:type w:val="continuous"/>
          <w:pgSz w:w="12240" w:h="15840"/>
          <w:pgMar w:top="1080" w:right="900" w:bottom="1080" w:left="900" w:header="708" w:footer="708" w:gutter="0"/>
          <w:cols w:num="2" w:space="288"/>
          <w:docGrid w:linePitch="360"/>
        </w:sectPr>
      </w:pPr>
    </w:p>
    <w:p w:rsidR="007A2070" w:rsidRDefault="007A2070">
      <w:pPr>
        <w:spacing w:after="120"/>
        <w:jc w:val="both"/>
      </w:pPr>
      <w:r>
        <w:rPr>
          <w:noProof/>
        </w:rPr>
        <w:drawing>
          <wp:inline distT="0" distB="0" distL="0" distR="0" wp14:anchorId="724E08ED" wp14:editId="36B95ED0">
            <wp:extent cx="6191250" cy="1714500"/>
            <wp:effectExtent l="0" t="0" r="0" b="0"/>
            <wp:docPr id="511160188" name="Picture 51116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714500"/>
                    </a:xfrm>
                    <a:prstGeom prst="rect">
                      <a:avLst/>
                    </a:prstGeom>
                  </pic:spPr>
                </pic:pic>
              </a:graphicData>
            </a:graphic>
          </wp:inline>
        </w:drawing>
      </w:r>
    </w:p>
    <w:p w:rsidR="007A2070" w:rsidRDefault="007A2070" w:rsidP="007A2070">
      <w:pPr>
        <w:spacing w:after="120"/>
        <w:jc w:val="center"/>
        <w:sectPr w:rsidR="007A2070" w:rsidSect="007A2070">
          <w:type w:val="continuous"/>
          <w:pgSz w:w="12240" w:h="15840"/>
          <w:pgMar w:top="1080" w:right="900" w:bottom="1080" w:left="900" w:header="708" w:footer="708" w:gutter="0"/>
          <w:cols w:space="288"/>
          <w:docGrid w:linePitch="360"/>
        </w:sectPr>
      </w:pPr>
      <w:r>
        <w:t>Fig.3. Elbow (inertia). Silhouette score and Davies-Bouldin index across K=2.10.</w:t>
      </w:r>
    </w:p>
    <w:p w:rsidR="00952877" w:rsidRDefault="00090F56">
      <w:pPr>
        <w:spacing w:after="120"/>
        <w:jc w:val="both"/>
      </w:pPr>
      <w:r w:rsidRPr="00090F56">
        <w:lastRenderedPageBreak/>
        <w:t xml:space="preserve"> The results of the comparison are summarized in Table II, and the two segments are presented in Table III, with Fig. 1 visualizing the two comparisons</w:t>
      </w:r>
      <w:r>
        <w:t>.</w:t>
      </w:r>
    </w:p>
    <w:tbl>
      <w:tblPr>
        <w:tblW w:w="5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500"/>
        <w:gridCol w:w="900"/>
        <w:gridCol w:w="1635"/>
      </w:tblGrid>
      <w:tr w:rsidR="00952877" w:rsidRPr="00090F56" w:rsidTr="00090F56">
        <w:tc>
          <w:tcPr>
            <w:tcW w:w="2000" w:type="dxa"/>
          </w:tcPr>
          <w:p w:rsidR="00952877" w:rsidRPr="00090F56" w:rsidRDefault="00000000">
            <w:pPr>
              <w:spacing w:before="20" w:after="20"/>
              <w:jc w:val="center"/>
            </w:pPr>
            <w:r w:rsidRPr="00090F56">
              <w:rPr>
                <w:b/>
                <w:bCs/>
              </w:rPr>
              <w:t>Method</w:t>
            </w:r>
          </w:p>
        </w:tc>
        <w:tc>
          <w:tcPr>
            <w:tcW w:w="500" w:type="dxa"/>
          </w:tcPr>
          <w:p w:rsidR="00952877" w:rsidRPr="00090F56" w:rsidRDefault="00000000">
            <w:pPr>
              <w:spacing w:before="20" w:after="20"/>
              <w:jc w:val="center"/>
            </w:pPr>
            <w:r w:rsidRPr="00090F56">
              <w:rPr>
                <w:b/>
                <w:bCs/>
              </w:rPr>
              <w:t>k</w:t>
            </w:r>
          </w:p>
        </w:tc>
        <w:tc>
          <w:tcPr>
            <w:tcW w:w="900" w:type="dxa"/>
          </w:tcPr>
          <w:p w:rsidR="00952877" w:rsidRPr="00090F56" w:rsidRDefault="00000000">
            <w:pPr>
              <w:spacing w:before="20" w:after="20"/>
              <w:jc w:val="center"/>
            </w:pPr>
            <w:r w:rsidRPr="00090F56">
              <w:rPr>
                <w:b/>
                <w:bCs/>
              </w:rPr>
              <w:t>Silh.</w:t>
            </w:r>
          </w:p>
        </w:tc>
        <w:tc>
          <w:tcPr>
            <w:tcW w:w="1635" w:type="dxa"/>
          </w:tcPr>
          <w:p w:rsidR="00952877" w:rsidRPr="00090F56" w:rsidRDefault="00000000">
            <w:pPr>
              <w:spacing w:before="20" w:after="20"/>
              <w:jc w:val="center"/>
            </w:pPr>
            <w:r w:rsidRPr="00090F56">
              <w:rPr>
                <w:b/>
                <w:bCs/>
              </w:rPr>
              <w:t>D-B</w:t>
            </w:r>
          </w:p>
        </w:tc>
      </w:tr>
      <w:tr w:rsidR="00952877" w:rsidRPr="00090F56" w:rsidTr="00090F56">
        <w:tc>
          <w:tcPr>
            <w:tcW w:w="2000" w:type="dxa"/>
          </w:tcPr>
          <w:p w:rsidR="00952877" w:rsidRPr="00090F56" w:rsidRDefault="00000000">
            <w:pPr>
              <w:spacing w:before="20" w:after="20"/>
              <w:jc w:val="center"/>
            </w:pPr>
            <w:r w:rsidRPr="00090F56">
              <w:t>K-Means</w:t>
            </w:r>
          </w:p>
        </w:tc>
        <w:tc>
          <w:tcPr>
            <w:tcW w:w="500" w:type="dxa"/>
          </w:tcPr>
          <w:p w:rsidR="00952877" w:rsidRPr="00090F56" w:rsidRDefault="00000000">
            <w:pPr>
              <w:spacing w:before="20" w:after="20"/>
              <w:jc w:val="center"/>
            </w:pPr>
            <w:r w:rsidRPr="00090F56">
              <w:t>2</w:t>
            </w:r>
          </w:p>
        </w:tc>
        <w:tc>
          <w:tcPr>
            <w:tcW w:w="900" w:type="dxa"/>
          </w:tcPr>
          <w:p w:rsidR="00952877" w:rsidRPr="00090F56" w:rsidRDefault="00000000">
            <w:pPr>
              <w:spacing w:before="20" w:after="20"/>
              <w:jc w:val="center"/>
            </w:pPr>
            <w:r w:rsidRPr="00090F56">
              <w:t>0.433</w:t>
            </w:r>
          </w:p>
        </w:tc>
        <w:tc>
          <w:tcPr>
            <w:tcW w:w="1635" w:type="dxa"/>
          </w:tcPr>
          <w:p w:rsidR="00952877" w:rsidRPr="00090F56" w:rsidRDefault="00000000">
            <w:pPr>
              <w:spacing w:before="20" w:after="20"/>
              <w:jc w:val="center"/>
            </w:pPr>
            <w:r w:rsidRPr="00090F56">
              <w:t>0.784</w:t>
            </w:r>
          </w:p>
        </w:tc>
      </w:tr>
      <w:tr w:rsidR="00952877" w:rsidRPr="00090F56" w:rsidTr="00090F56">
        <w:tc>
          <w:tcPr>
            <w:tcW w:w="2000" w:type="dxa"/>
          </w:tcPr>
          <w:p w:rsidR="00952877" w:rsidRPr="00090F56" w:rsidRDefault="00000000">
            <w:pPr>
              <w:spacing w:before="20" w:after="20"/>
              <w:jc w:val="center"/>
            </w:pPr>
            <w:r w:rsidRPr="00090F56">
              <w:t>Hierarchical (Ward)</w:t>
            </w:r>
          </w:p>
        </w:tc>
        <w:tc>
          <w:tcPr>
            <w:tcW w:w="500" w:type="dxa"/>
          </w:tcPr>
          <w:p w:rsidR="00952877" w:rsidRPr="00090F56" w:rsidRDefault="00000000">
            <w:pPr>
              <w:spacing w:before="20" w:after="20"/>
              <w:jc w:val="center"/>
            </w:pPr>
            <w:r w:rsidRPr="00090F56">
              <w:t>2</w:t>
            </w:r>
          </w:p>
        </w:tc>
        <w:tc>
          <w:tcPr>
            <w:tcW w:w="900" w:type="dxa"/>
          </w:tcPr>
          <w:p w:rsidR="00952877" w:rsidRPr="00090F56" w:rsidRDefault="00000000">
            <w:pPr>
              <w:spacing w:before="20" w:after="20"/>
              <w:jc w:val="center"/>
            </w:pPr>
            <w:r w:rsidRPr="00090F56">
              <w:t>0.411</w:t>
            </w:r>
          </w:p>
        </w:tc>
        <w:tc>
          <w:tcPr>
            <w:tcW w:w="1635" w:type="dxa"/>
          </w:tcPr>
          <w:p w:rsidR="00952877" w:rsidRPr="00090F56" w:rsidRDefault="00000000">
            <w:pPr>
              <w:spacing w:before="20" w:after="20"/>
              <w:jc w:val="center"/>
            </w:pPr>
            <w:r w:rsidRPr="00090F56">
              <w:t>0.839</w:t>
            </w:r>
          </w:p>
        </w:tc>
      </w:tr>
      <w:tr w:rsidR="00952877" w:rsidRPr="00090F56" w:rsidTr="00090F56">
        <w:tc>
          <w:tcPr>
            <w:tcW w:w="2000" w:type="dxa"/>
          </w:tcPr>
          <w:p w:rsidR="00952877" w:rsidRPr="00090F56" w:rsidRDefault="00000000">
            <w:pPr>
              <w:spacing w:before="20" w:after="20"/>
              <w:jc w:val="center"/>
            </w:pPr>
            <w:r w:rsidRPr="00090F56">
              <w:t>DBSCAN</w:t>
            </w:r>
          </w:p>
        </w:tc>
        <w:tc>
          <w:tcPr>
            <w:tcW w:w="500" w:type="dxa"/>
          </w:tcPr>
          <w:p w:rsidR="00952877" w:rsidRPr="00090F56" w:rsidRDefault="00000000">
            <w:pPr>
              <w:spacing w:before="20" w:after="20"/>
              <w:jc w:val="center"/>
            </w:pPr>
            <w:r w:rsidRPr="00090F56">
              <w:t>var.</w:t>
            </w:r>
          </w:p>
        </w:tc>
        <w:tc>
          <w:tcPr>
            <w:tcW w:w="900" w:type="dxa"/>
          </w:tcPr>
          <w:p w:rsidR="00952877" w:rsidRPr="00090F56" w:rsidRDefault="00000000">
            <w:pPr>
              <w:spacing w:before="20" w:after="20"/>
              <w:jc w:val="center"/>
            </w:pPr>
            <w:r w:rsidRPr="00090F56">
              <w:t>lower</w:t>
            </w:r>
          </w:p>
        </w:tc>
        <w:tc>
          <w:tcPr>
            <w:tcW w:w="1635" w:type="dxa"/>
          </w:tcPr>
          <w:p w:rsidR="00952877" w:rsidRPr="00090F56" w:rsidRDefault="00000000">
            <w:pPr>
              <w:spacing w:before="20" w:after="20"/>
              <w:jc w:val="center"/>
            </w:pPr>
            <w:r w:rsidRPr="00090F56">
              <w:t>higher</w:t>
            </w:r>
          </w:p>
        </w:tc>
      </w:tr>
    </w:tbl>
    <w:p w:rsidR="00952877" w:rsidRDefault="00000000">
      <w:pPr>
        <w:spacing w:before="80" w:after="160"/>
        <w:jc w:val="center"/>
      </w:pPr>
      <w:r>
        <w:rPr>
          <w:sz w:val="18"/>
          <w:szCs w:val="18"/>
        </w:rPr>
        <w:t>TABLE II. CLUSTERING METHOD COMPARISON</w:t>
      </w:r>
    </w:p>
    <w:tbl>
      <w:tblPr>
        <w:tblW w:w="5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5"/>
        <w:gridCol w:w="900"/>
        <w:gridCol w:w="810"/>
        <w:gridCol w:w="720"/>
        <w:gridCol w:w="900"/>
      </w:tblGrid>
      <w:tr w:rsidR="00952877" w:rsidTr="00090F56">
        <w:tc>
          <w:tcPr>
            <w:tcW w:w="1705" w:type="dxa"/>
          </w:tcPr>
          <w:p w:rsidR="00952877" w:rsidRPr="00090F56" w:rsidRDefault="00000000">
            <w:pPr>
              <w:spacing w:before="20" w:after="20"/>
              <w:jc w:val="center"/>
            </w:pPr>
            <w:r w:rsidRPr="00090F56">
              <w:rPr>
                <w:b/>
                <w:bCs/>
              </w:rPr>
              <w:t>Segment</w:t>
            </w:r>
          </w:p>
        </w:tc>
        <w:tc>
          <w:tcPr>
            <w:tcW w:w="900" w:type="dxa"/>
          </w:tcPr>
          <w:p w:rsidR="00952877" w:rsidRPr="00090F56" w:rsidRDefault="00000000">
            <w:pPr>
              <w:spacing w:before="20" w:after="20"/>
              <w:jc w:val="center"/>
            </w:pPr>
            <w:r w:rsidRPr="00090F56">
              <w:rPr>
                <w:b/>
                <w:bCs/>
              </w:rPr>
              <w:t>% Cust.</w:t>
            </w:r>
          </w:p>
        </w:tc>
        <w:tc>
          <w:tcPr>
            <w:tcW w:w="810" w:type="dxa"/>
          </w:tcPr>
          <w:p w:rsidR="00952877" w:rsidRPr="00090F56" w:rsidRDefault="00000000">
            <w:pPr>
              <w:spacing w:before="20" w:after="20"/>
              <w:jc w:val="center"/>
            </w:pPr>
            <w:r w:rsidRPr="00090F56">
              <w:rPr>
                <w:b/>
                <w:bCs/>
              </w:rPr>
              <w:t>Recency</w:t>
            </w:r>
          </w:p>
        </w:tc>
        <w:tc>
          <w:tcPr>
            <w:tcW w:w="720" w:type="dxa"/>
          </w:tcPr>
          <w:p w:rsidR="00952877" w:rsidRPr="00090F56" w:rsidRDefault="00000000">
            <w:pPr>
              <w:spacing w:before="20" w:after="20"/>
              <w:jc w:val="center"/>
            </w:pPr>
            <w:r w:rsidRPr="00090F56">
              <w:rPr>
                <w:b/>
                <w:bCs/>
              </w:rPr>
              <w:t>Freq.</w:t>
            </w:r>
          </w:p>
        </w:tc>
        <w:tc>
          <w:tcPr>
            <w:tcW w:w="900" w:type="dxa"/>
          </w:tcPr>
          <w:p w:rsidR="00952877" w:rsidRPr="00090F56" w:rsidRDefault="00000000">
            <w:pPr>
              <w:spacing w:before="20" w:after="20"/>
              <w:jc w:val="center"/>
            </w:pPr>
            <w:r w:rsidRPr="00090F56">
              <w:rPr>
                <w:b/>
                <w:bCs/>
              </w:rPr>
              <w:t>% Rev.</w:t>
            </w:r>
          </w:p>
        </w:tc>
      </w:tr>
      <w:tr w:rsidR="00952877" w:rsidTr="00090F56">
        <w:tc>
          <w:tcPr>
            <w:tcW w:w="1705" w:type="dxa"/>
          </w:tcPr>
          <w:p w:rsidR="00952877" w:rsidRPr="00090F56" w:rsidRDefault="00000000">
            <w:pPr>
              <w:spacing w:before="20" w:after="20"/>
              <w:jc w:val="center"/>
            </w:pPr>
            <w:r w:rsidRPr="00090F56">
              <w:t>High-Value Active</w:t>
            </w:r>
          </w:p>
        </w:tc>
        <w:tc>
          <w:tcPr>
            <w:tcW w:w="900" w:type="dxa"/>
          </w:tcPr>
          <w:p w:rsidR="00952877" w:rsidRPr="00090F56" w:rsidRDefault="00000000">
            <w:pPr>
              <w:spacing w:before="20" w:after="20"/>
              <w:jc w:val="center"/>
            </w:pPr>
            <w:r w:rsidRPr="00090F56">
              <w:t>38.4%</w:t>
            </w:r>
          </w:p>
        </w:tc>
        <w:tc>
          <w:tcPr>
            <w:tcW w:w="810" w:type="dxa"/>
          </w:tcPr>
          <w:p w:rsidR="00952877" w:rsidRPr="00090F56" w:rsidRDefault="00000000">
            <w:pPr>
              <w:spacing w:before="20" w:after="20"/>
              <w:jc w:val="center"/>
            </w:pPr>
            <w:r w:rsidRPr="00090F56">
              <w:t>25.9</w:t>
            </w:r>
          </w:p>
        </w:tc>
        <w:tc>
          <w:tcPr>
            <w:tcW w:w="720" w:type="dxa"/>
          </w:tcPr>
          <w:p w:rsidR="00952877" w:rsidRPr="00090F56" w:rsidRDefault="00000000">
            <w:pPr>
              <w:spacing w:before="20" w:after="20"/>
              <w:jc w:val="center"/>
            </w:pPr>
            <w:r w:rsidRPr="00090F56">
              <w:t>8.4</w:t>
            </w:r>
          </w:p>
        </w:tc>
        <w:tc>
          <w:tcPr>
            <w:tcW w:w="900" w:type="dxa"/>
          </w:tcPr>
          <w:p w:rsidR="00952877" w:rsidRPr="00090F56" w:rsidRDefault="00000000">
            <w:pPr>
              <w:spacing w:before="20" w:after="20"/>
              <w:jc w:val="center"/>
            </w:pPr>
            <w:r w:rsidRPr="00090F56">
              <w:t>85.1%</w:t>
            </w:r>
          </w:p>
        </w:tc>
      </w:tr>
      <w:tr w:rsidR="00952877" w:rsidTr="00090F56">
        <w:tc>
          <w:tcPr>
            <w:tcW w:w="1705" w:type="dxa"/>
          </w:tcPr>
          <w:p w:rsidR="00952877" w:rsidRPr="00090F56" w:rsidRDefault="00000000">
            <w:pPr>
              <w:spacing w:before="20" w:after="20"/>
              <w:jc w:val="center"/>
            </w:pPr>
            <w:r w:rsidRPr="00090F56">
              <w:t>At Risk / Dormant</w:t>
            </w:r>
          </w:p>
        </w:tc>
        <w:tc>
          <w:tcPr>
            <w:tcW w:w="900" w:type="dxa"/>
          </w:tcPr>
          <w:p w:rsidR="00952877" w:rsidRPr="00090F56" w:rsidRDefault="00000000">
            <w:pPr>
              <w:spacing w:before="20" w:after="20"/>
              <w:jc w:val="center"/>
            </w:pPr>
            <w:r w:rsidRPr="00090F56">
              <w:t>61.6%</w:t>
            </w:r>
          </w:p>
        </w:tc>
        <w:tc>
          <w:tcPr>
            <w:tcW w:w="810" w:type="dxa"/>
          </w:tcPr>
          <w:p w:rsidR="00952877" w:rsidRPr="00090F56" w:rsidRDefault="00000000">
            <w:pPr>
              <w:spacing w:before="20" w:after="20"/>
              <w:jc w:val="center"/>
            </w:pPr>
            <w:r w:rsidRPr="00090F56">
              <w:t>134.1</w:t>
            </w:r>
          </w:p>
        </w:tc>
        <w:tc>
          <w:tcPr>
            <w:tcW w:w="720" w:type="dxa"/>
          </w:tcPr>
          <w:p w:rsidR="00952877" w:rsidRPr="00090F56" w:rsidRDefault="00000000">
            <w:pPr>
              <w:spacing w:before="20" w:after="20"/>
              <w:jc w:val="center"/>
            </w:pPr>
            <w:r w:rsidRPr="00090F56">
              <w:t>1.7</w:t>
            </w:r>
          </w:p>
        </w:tc>
        <w:tc>
          <w:tcPr>
            <w:tcW w:w="900" w:type="dxa"/>
          </w:tcPr>
          <w:p w:rsidR="00952877" w:rsidRPr="00090F56" w:rsidRDefault="00000000">
            <w:pPr>
              <w:spacing w:before="20" w:after="20"/>
              <w:jc w:val="center"/>
            </w:pPr>
            <w:r w:rsidRPr="00090F56">
              <w:t>14.9%</w:t>
            </w:r>
          </w:p>
        </w:tc>
      </w:tr>
    </w:tbl>
    <w:p w:rsidR="00952877" w:rsidRDefault="00000000">
      <w:pPr>
        <w:spacing w:before="80" w:after="160"/>
        <w:jc w:val="center"/>
      </w:pPr>
      <w:r>
        <w:rPr>
          <w:sz w:val="18"/>
          <w:szCs w:val="18"/>
        </w:rPr>
        <w:t>TABLE III. FINAL CUSTOMER SEGMENTS (K-MEANS, K = 2)</w:t>
      </w:r>
    </w:p>
    <w:p w:rsidR="00952877" w:rsidRDefault="00090F56">
      <w:pPr>
        <w:spacing w:after="120"/>
        <w:jc w:val="both"/>
      </w:pPr>
      <w:r w:rsidRPr="00090F56">
        <w:t>The Pareto like High-Value Active segment with 38.4% of the customers contributes 85.1% of the total modelled revenue, which directly translates to the marketing action of retaining these customers. When the scaled RFM space was plotted in a 2-D PCA plot, the separation between the two groups was clearly visible rather than forced, and feature-by-feature comparisons showed that the low frequency difference between the two groups was significant but there was no overlap, and both the high difference in the Recency and high difference in the Monetary value between the two groups were also significant, with no overlap</w:t>
      </w:r>
      <w:r>
        <w:t>.</w:t>
      </w:r>
    </w:p>
    <w:p w:rsidR="00952877" w:rsidRDefault="00000000">
      <w:pPr>
        <w:spacing w:before="120" w:after="40"/>
        <w:jc w:val="center"/>
      </w:pPr>
      <w:r>
        <w:rPr>
          <w:noProof/>
        </w:rPr>
        <w:drawing>
          <wp:inline distT="0" distB="0" distL="0" distR="0">
            <wp:extent cx="3143250" cy="1266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266825"/>
                    </a:xfrm>
                    <a:prstGeom prst="rect">
                      <a:avLst/>
                    </a:prstGeom>
                  </pic:spPr>
                </pic:pic>
              </a:graphicData>
            </a:graphic>
          </wp:inline>
        </w:drawing>
      </w:r>
    </w:p>
    <w:p w:rsidR="00952877" w:rsidRDefault="00000000">
      <w:pPr>
        <w:spacing w:before="80" w:after="160"/>
        <w:jc w:val="center"/>
        <w:rPr>
          <w:sz w:val="18"/>
          <w:szCs w:val="18"/>
        </w:rPr>
      </w:pPr>
      <w:r>
        <w:rPr>
          <w:sz w:val="18"/>
          <w:szCs w:val="18"/>
        </w:rPr>
        <w:t xml:space="preserve">Fig. </w:t>
      </w:r>
      <w:r w:rsidR="007A2070">
        <w:rPr>
          <w:sz w:val="18"/>
          <w:szCs w:val="18"/>
        </w:rPr>
        <w:t>4</w:t>
      </w:r>
      <w:r>
        <w:rPr>
          <w:sz w:val="18"/>
          <w:szCs w:val="18"/>
        </w:rPr>
        <w:t>. Customer/revenue split by segment (left) and clustering quality comparison (right).</w:t>
      </w:r>
    </w:p>
    <w:p w:rsidR="007A2070" w:rsidRDefault="007A2070">
      <w:pPr>
        <w:spacing w:before="80" w:after="160"/>
        <w:jc w:val="center"/>
      </w:pPr>
      <w:r>
        <w:rPr>
          <w:noProof/>
        </w:rPr>
        <w:drawing>
          <wp:inline distT="0" distB="0" distL="0" distR="0" wp14:anchorId="722E3CC9" wp14:editId="72DEECCB">
            <wp:extent cx="3054927" cy="2400300"/>
            <wp:effectExtent l="0" t="0" r="6350" b="0"/>
            <wp:docPr id="1573352286" name="Picture 157335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67526" cy="2410200"/>
                    </a:xfrm>
                    <a:prstGeom prst="rect">
                      <a:avLst/>
                    </a:prstGeom>
                  </pic:spPr>
                </pic:pic>
              </a:graphicData>
            </a:graphic>
          </wp:inline>
        </w:drawing>
      </w:r>
    </w:p>
    <w:p w:rsidR="007A2070" w:rsidRDefault="007A2070">
      <w:pPr>
        <w:spacing w:before="80" w:after="160"/>
        <w:jc w:val="center"/>
      </w:pPr>
      <w:r>
        <w:t>Fig5. Customer segments in 2D PCA space (explained variance 93.9%).</w:t>
      </w:r>
    </w:p>
    <w:p w:rsidR="007A2070" w:rsidRDefault="007A2070" w:rsidP="007A2070">
      <w:pPr>
        <w:spacing w:before="80" w:after="160"/>
        <w:sectPr w:rsidR="007A2070">
          <w:type w:val="continuous"/>
          <w:pgSz w:w="12240" w:h="15840"/>
          <w:pgMar w:top="1080" w:right="900" w:bottom="1080" w:left="900" w:header="708" w:footer="708" w:gutter="0"/>
          <w:cols w:num="2" w:space="288"/>
          <w:docGrid w:linePitch="360"/>
        </w:sectPr>
      </w:pPr>
    </w:p>
    <w:p w:rsidR="007A2070" w:rsidRDefault="007A2070" w:rsidP="007A2070">
      <w:pPr>
        <w:spacing w:before="80" w:after="160"/>
      </w:pPr>
      <w:r>
        <w:rPr>
          <w:noProof/>
        </w:rPr>
        <w:drawing>
          <wp:inline distT="0" distB="0" distL="0" distR="0" wp14:anchorId="3360F8C8" wp14:editId="2A34D8D0">
            <wp:extent cx="6540803" cy="1911927"/>
            <wp:effectExtent l="0" t="0" r="0" b="6350"/>
            <wp:docPr id="1825024618" name="Picture 182502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88072" cy="1925744"/>
                    </a:xfrm>
                    <a:prstGeom prst="rect">
                      <a:avLst/>
                    </a:prstGeom>
                  </pic:spPr>
                </pic:pic>
              </a:graphicData>
            </a:graphic>
          </wp:inline>
        </w:drawing>
      </w:r>
    </w:p>
    <w:p w:rsidR="007A2070" w:rsidRDefault="007A2070" w:rsidP="007A2070">
      <w:pPr>
        <w:spacing w:before="80" w:after="160"/>
        <w:jc w:val="center"/>
      </w:pPr>
      <w:r>
        <w:t>Fig. 6. Recency, Frequency and Monetary value distribution by cluster</w:t>
      </w:r>
    </w:p>
    <w:p w:rsidR="007A2070" w:rsidRDefault="007A2070">
      <w:pPr>
        <w:spacing w:before="160" w:after="80"/>
        <w:rPr>
          <w:b/>
          <w:bCs/>
          <w:i/>
          <w:iCs/>
        </w:rPr>
        <w:sectPr w:rsidR="007A2070" w:rsidSect="007A2070">
          <w:type w:val="continuous"/>
          <w:pgSz w:w="12240" w:h="15840"/>
          <w:pgMar w:top="1080" w:right="900" w:bottom="1080" w:left="900" w:header="708" w:footer="708" w:gutter="0"/>
          <w:cols w:space="288"/>
          <w:docGrid w:linePitch="360"/>
        </w:sectPr>
      </w:pPr>
    </w:p>
    <w:p w:rsidR="00952877" w:rsidRDefault="00000000">
      <w:pPr>
        <w:spacing w:before="160" w:after="80"/>
      </w:pPr>
      <w:r>
        <w:rPr>
          <w:b/>
          <w:bCs/>
          <w:i/>
          <w:iCs/>
        </w:rPr>
        <w:t>C. Product Recommendation Results</w:t>
      </w:r>
    </w:p>
    <w:p w:rsidR="00952877" w:rsidRDefault="00E371BA">
      <w:pPr>
        <w:spacing w:after="120"/>
        <w:jc w:val="both"/>
      </w:pPr>
      <w:r w:rsidRPr="00E371BA">
        <w:t xml:space="preserve">If we only consider UK invoices and products that qualify for the market-basket analysis, then 86 association rules are retrieved, and they are equivalent in terms of lift value, and the mined exactly the same by both Apriori and FP-Growth. Support ranged from 0.020 to 0.031, confidence from 0.227 to 0.890, and lift from 3.84 to 24.03. The four highest-lift rules found are listed in Table IV, all of which relate to a “Teacup and Saucer” product line, there being variants on the color of the teacup and/or the saucer, which is easily understood (the customer has finished a set of a Teacup and Saucer, color </w:t>
      </w:r>
      <w:r w:rsidRPr="00E371BA">
        <w:t>variants) and is considered to be a useful sanity check of the implementation of mining. When plotting the rules by support versus their confidence, it can be seen that the highest-confidence/highest-lift rules are grouped together at moderate support (around 2-2.5% of the number of invoices), indicating that there is a small number of moderately popular product sets that are very strongly associated with each other, but not one dominant pattern.</w:t>
      </w:r>
    </w:p>
    <w:tbl>
      <w:tblPr>
        <w:tblW w:w="5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00"/>
        <w:gridCol w:w="700"/>
        <w:gridCol w:w="700"/>
        <w:gridCol w:w="600"/>
      </w:tblGrid>
      <w:tr w:rsidR="00952877" w:rsidRPr="00E371BA" w:rsidTr="00E371BA">
        <w:tc>
          <w:tcPr>
            <w:tcW w:w="3100" w:type="dxa"/>
          </w:tcPr>
          <w:p w:rsidR="00952877" w:rsidRPr="00E371BA" w:rsidRDefault="00000000">
            <w:pPr>
              <w:spacing w:before="20" w:after="20"/>
              <w:jc w:val="center"/>
            </w:pPr>
            <w:r w:rsidRPr="00E371BA">
              <w:rPr>
                <w:b/>
                <w:bCs/>
              </w:rPr>
              <w:t>Antecedent → Consequent</w:t>
            </w:r>
          </w:p>
        </w:tc>
        <w:tc>
          <w:tcPr>
            <w:tcW w:w="700" w:type="dxa"/>
          </w:tcPr>
          <w:p w:rsidR="00952877" w:rsidRPr="00E371BA" w:rsidRDefault="00000000">
            <w:pPr>
              <w:spacing w:before="20" w:after="20"/>
              <w:jc w:val="center"/>
            </w:pPr>
            <w:r w:rsidRPr="00E371BA">
              <w:rPr>
                <w:b/>
                <w:bCs/>
              </w:rPr>
              <w:t>Supp.</w:t>
            </w:r>
          </w:p>
        </w:tc>
        <w:tc>
          <w:tcPr>
            <w:tcW w:w="700" w:type="dxa"/>
          </w:tcPr>
          <w:p w:rsidR="00952877" w:rsidRPr="00E371BA" w:rsidRDefault="00000000">
            <w:pPr>
              <w:spacing w:before="20" w:after="20"/>
              <w:jc w:val="center"/>
            </w:pPr>
            <w:r w:rsidRPr="00E371BA">
              <w:rPr>
                <w:b/>
                <w:bCs/>
              </w:rPr>
              <w:t>Conf.</w:t>
            </w:r>
          </w:p>
        </w:tc>
        <w:tc>
          <w:tcPr>
            <w:tcW w:w="600" w:type="dxa"/>
          </w:tcPr>
          <w:p w:rsidR="00952877" w:rsidRPr="00E371BA" w:rsidRDefault="00000000">
            <w:pPr>
              <w:spacing w:before="20" w:after="20"/>
              <w:jc w:val="center"/>
            </w:pPr>
            <w:r w:rsidRPr="00E371BA">
              <w:rPr>
                <w:b/>
                <w:bCs/>
              </w:rPr>
              <w:t>Lift</w:t>
            </w:r>
          </w:p>
        </w:tc>
      </w:tr>
      <w:tr w:rsidR="00952877" w:rsidRPr="00E371BA" w:rsidTr="00E371BA">
        <w:tc>
          <w:tcPr>
            <w:tcW w:w="3100" w:type="dxa"/>
          </w:tcPr>
          <w:p w:rsidR="00952877" w:rsidRPr="00E371BA" w:rsidRDefault="00000000">
            <w:pPr>
              <w:spacing w:before="20" w:after="20"/>
              <w:jc w:val="center"/>
            </w:pPr>
            <w:r w:rsidRPr="00E371BA">
              <w:t>Green + Pink → Roses Teacup</w:t>
            </w:r>
          </w:p>
        </w:tc>
        <w:tc>
          <w:tcPr>
            <w:tcW w:w="700" w:type="dxa"/>
          </w:tcPr>
          <w:p w:rsidR="00952877" w:rsidRPr="00E371BA" w:rsidRDefault="00000000">
            <w:pPr>
              <w:spacing w:before="20" w:after="20"/>
              <w:jc w:val="center"/>
            </w:pPr>
            <w:r w:rsidRPr="00E371BA">
              <w:t>0.021</w:t>
            </w:r>
          </w:p>
        </w:tc>
        <w:tc>
          <w:tcPr>
            <w:tcW w:w="700" w:type="dxa"/>
          </w:tcPr>
          <w:p w:rsidR="00952877" w:rsidRPr="00E371BA" w:rsidRDefault="00000000">
            <w:pPr>
              <w:spacing w:before="20" w:after="20"/>
              <w:jc w:val="center"/>
            </w:pPr>
            <w:r w:rsidRPr="00E371BA">
              <w:t>0.557</w:t>
            </w:r>
          </w:p>
        </w:tc>
        <w:tc>
          <w:tcPr>
            <w:tcW w:w="600" w:type="dxa"/>
          </w:tcPr>
          <w:p w:rsidR="00952877" w:rsidRPr="00E371BA" w:rsidRDefault="00000000">
            <w:pPr>
              <w:spacing w:before="20" w:after="20"/>
              <w:jc w:val="center"/>
            </w:pPr>
            <w:r w:rsidRPr="00E371BA">
              <w:t>24.03</w:t>
            </w:r>
          </w:p>
        </w:tc>
      </w:tr>
      <w:tr w:rsidR="00952877" w:rsidRPr="00E371BA" w:rsidTr="00E371BA">
        <w:tc>
          <w:tcPr>
            <w:tcW w:w="3100" w:type="dxa"/>
          </w:tcPr>
          <w:p w:rsidR="00952877" w:rsidRPr="00E371BA" w:rsidRDefault="00000000">
            <w:pPr>
              <w:spacing w:before="20" w:after="20"/>
              <w:jc w:val="center"/>
            </w:pPr>
            <w:r w:rsidRPr="00E371BA">
              <w:t>Roses + Pink → Green Teacup</w:t>
            </w:r>
          </w:p>
        </w:tc>
        <w:tc>
          <w:tcPr>
            <w:tcW w:w="700" w:type="dxa"/>
          </w:tcPr>
          <w:p w:rsidR="00952877" w:rsidRPr="00E371BA" w:rsidRDefault="00000000">
            <w:pPr>
              <w:spacing w:before="20" w:after="20"/>
              <w:jc w:val="center"/>
            </w:pPr>
            <w:r w:rsidRPr="00E371BA">
              <w:t>0.021</w:t>
            </w:r>
          </w:p>
        </w:tc>
        <w:tc>
          <w:tcPr>
            <w:tcW w:w="700" w:type="dxa"/>
          </w:tcPr>
          <w:p w:rsidR="00952877" w:rsidRPr="00E371BA" w:rsidRDefault="00000000">
            <w:pPr>
              <w:spacing w:before="20" w:after="20"/>
              <w:jc w:val="center"/>
            </w:pPr>
            <w:r w:rsidRPr="00E371BA">
              <w:t>0.890</w:t>
            </w:r>
          </w:p>
        </w:tc>
        <w:tc>
          <w:tcPr>
            <w:tcW w:w="600" w:type="dxa"/>
          </w:tcPr>
          <w:p w:rsidR="00952877" w:rsidRPr="00E371BA" w:rsidRDefault="00000000">
            <w:pPr>
              <w:spacing w:before="20" w:after="20"/>
              <w:jc w:val="center"/>
            </w:pPr>
            <w:r w:rsidRPr="00E371BA">
              <w:t>24.03</w:t>
            </w:r>
          </w:p>
        </w:tc>
      </w:tr>
      <w:tr w:rsidR="00952877" w:rsidRPr="00E371BA" w:rsidTr="00E371BA">
        <w:tc>
          <w:tcPr>
            <w:tcW w:w="3100" w:type="dxa"/>
          </w:tcPr>
          <w:p w:rsidR="00952877" w:rsidRPr="00E371BA" w:rsidRDefault="00000000">
            <w:pPr>
              <w:spacing w:before="20" w:after="20"/>
              <w:jc w:val="center"/>
            </w:pPr>
            <w:r w:rsidRPr="00E371BA">
              <w:lastRenderedPageBreak/>
              <w:t>Pink → Green Teacup</w:t>
            </w:r>
          </w:p>
        </w:tc>
        <w:tc>
          <w:tcPr>
            <w:tcW w:w="700" w:type="dxa"/>
          </w:tcPr>
          <w:p w:rsidR="00952877" w:rsidRPr="00E371BA" w:rsidRDefault="00000000">
            <w:pPr>
              <w:spacing w:before="20" w:after="20"/>
              <w:jc w:val="center"/>
            </w:pPr>
            <w:r w:rsidRPr="00E371BA">
              <w:t>0.025</w:t>
            </w:r>
          </w:p>
        </w:tc>
        <w:tc>
          <w:tcPr>
            <w:tcW w:w="700" w:type="dxa"/>
          </w:tcPr>
          <w:p w:rsidR="00952877" w:rsidRPr="00E371BA" w:rsidRDefault="00000000">
            <w:pPr>
              <w:spacing w:before="20" w:after="20"/>
              <w:jc w:val="center"/>
            </w:pPr>
            <w:r w:rsidRPr="00E371BA">
              <w:t>0.820</w:t>
            </w:r>
          </w:p>
        </w:tc>
        <w:tc>
          <w:tcPr>
            <w:tcW w:w="600" w:type="dxa"/>
          </w:tcPr>
          <w:p w:rsidR="00952877" w:rsidRPr="00E371BA" w:rsidRDefault="00000000">
            <w:pPr>
              <w:spacing w:before="20" w:after="20"/>
              <w:jc w:val="center"/>
            </w:pPr>
            <w:r w:rsidRPr="00E371BA">
              <w:t>22.11</w:t>
            </w:r>
          </w:p>
        </w:tc>
      </w:tr>
      <w:tr w:rsidR="00952877" w:rsidRPr="00E371BA" w:rsidTr="00E371BA">
        <w:tc>
          <w:tcPr>
            <w:tcW w:w="3100" w:type="dxa"/>
          </w:tcPr>
          <w:p w:rsidR="00952877" w:rsidRPr="00E371BA" w:rsidRDefault="00000000">
            <w:pPr>
              <w:spacing w:before="20" w:after="20"/>
              <w:jc w:val="center"/>
            </w:pPr>
            <w:r w:rsidRPr="00E371BA">
              <w:t>Pink + Green → Roses Teacup</w:t>
            </w:r>
          </w:p>
        </w:tc>
        <w:tc>
          <w:tcPr>
            <w:tcW w:w="700" w:type="dxa"/>
          </w:tcPr>
          <w:p w:rsidR="00952877" w:rsidRPr="00E371BA" w:rsidRDefault="00000000">
            <w:pPr>
              <w:spacing w:before="20" w:after="20"/>
              <w:jc w:val="center"/>
            </w:pPr>
            <w:r w:rsidRPr="00E371BA">
              <w:t>0.021</w:t>
            </w:r>
          </w:p>
        </w:tc>
        <w:tc>
          <w:tcPr>
            <w:tcW w:w="700" w:type="dxa"/>
          </w:tcPr>
          <w:p w:rsidR="00952877" w:rsidRPr="00E371BA" w:rsidRDefault="00000000">
            <w:pPr>
              <w:spacing w:before="20" w:after="20"/>
              <w:jc w:val="center"/>
            </w:pPr>
            <w:r w:rsidRPr="00E371BA">
              <w:t>0.844</w:t>
            </w:r>
          </w:p>
        </w:tc>
        <w:tc>
          <w:tcPr>
            <w:tcW w:w="600" w:type="dxa"/>
          </w:tcPr>
          <w:p w:rsidR="00952877" w:rsidRPr="00E371BA" w:rsidRDefault="00000000">
            <w:pPr>
              <w:spacing w:before="20" w:after="20"/>
              <w:jc w:val="center"/>
            </w:pPr>
            <w:r w:rsidRPr="00E371BA">
              <w:t>20.56</w:t>
            </w:r>
          </w:p>
        </w:tc>
      </w:tr>
    </w:tbl>
    <w:p w:rsidR="00952877" w:rsidRDefault="00000000">
      <w:pPr>
        <w:spacing w:before="80" w:after="160"/>
        <w:jc w:val="center"/>
      </w:pPr>
      <w:r>
        <w:rPr>
          <w:sz w:val="18"/>
          <w:szCs w:val="18"/>
        </w:rPr>
        <w:t>TABLE IV. HIGHEST-LIFT ASSOCIATION RULES IDENTIFIED</w:t>
      </w:r>
    </w:p>
    <w:p w:rsidR="007A2070" w:rsidRDefault="007A2070">
      <w:pPr>
        <w:spacing w:after="120"/>
        <w:jc w:val="both"/>
      </w:pPr>
      <w:r>
        <w:rPr>
          <w:noProof/>
        </w:rPr>
        <w:drawing>
          <wp:inline distT="0" distB="0" distL="0" distR="0" wp14:anchorId="73FF8240" wp14:editId="2C34B761">
            <wp:extent cx="3172691" cy="2436173"/>
            <wp:effectExtent l="0" t="0" r="2540" b="2540"/>
            <wp:docPr id="1716620237" name="Picture 171662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96217" cy="2454237"/>
                    </a:xfrm>
                    <a:prstGeom prst="rect">
                      <a:avLst/>
                    </a:prstGeom>
                  </pic:spPr>
                </pic:pic>
              </a:graphicData>
            </a:graphic>
          </wp:inline>
        </w:drawing>
      </w:r>
    </w:p>
    <w:p w:rsidR="007A2070" w:rsidRDefault="007A2070">
      <w:pPr>
        <w:spacing w:after="120"/>
        <w:jc w:val="both"/>
      </w:pPr>
      <w:r>
        <w:t>Fig7. Association rules: support vs. confidence (colour- lift).</w:t>
      </w:r>
    </w:p>
    <w:p w:rsidR="007A2070" w:rsidRDefault="007A2070">
      <w:pPr>
        <w:spacing w:after="120"/>
        <w:jc w:val="both"/>
      </w:pPr>
    </w:p>
    <w:p w:rsidR="00952877" w:rsidRDefault="00E371BA">
      <w:pPr>
        <w:spacing w:after="120"/>
        <w:jc w:val="both"/>
      </w:pPr>
      <w:r w:rsidRPr="00E371BA">
        <w:t>Table V shows the Precision and Recall performance results of the item-based CF method compared with the popularity baseline on 300 sampled customers with the held-out-purchase metric (as defined in Section III-I)</w:t>
      </w:r>
      <w:r>
        <w:t>.</w:t>
      </w:r>
    </w:p>
    <w:tbl>
      <w:tblPr>
        <w:tblW w:w="5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25"/>
        <w:gridCol w:w="990"/>
        <w:gridCol w:w="810"/>
        <w:gridCol w:w="810"/>
      </w:tblGrid>
      <w:tr w:rsidR="00952877" w:rsidRPr="007D1297" w:rsidTr="007D1297">
        <w:tc>
          <w:tcPr>
            <w:tcW w:w="2425" w:type="dxa"/>
          </w:tcPr>
          <w:p w:rsidR="00952877" w:rsidRPr="007D1297" w:rsidRDefault="00000000">
            <w:pPr>
              <w:spacing w:before="20" w:after="20"/>
              <w:jc w:val="center"/>
            </w:pPr>
            <w:r w:rsidRPr="007D1297">
              <w:rPr>
                <w:b/>
                <w:bCs/>
              </w:rPr>
              <w:t>Model</w:t>
            </w:r>
          </w:p>
        </w:tc>
        <w:tc>
          <w:tcPr>
            <w:tcW w:w="990" w:type="dxa"/>
          </w:tcPr>
          <w:p w:rsidR="00952877" w:rsidRPr="007D1297" w:rsidRDefault="00000000">
            <w:pPr>
              <w:spacing w:before="20" w:after="20"/>
              <w:jc w:val="center"/>
            </w:pPr>
            <w:r w:rsidRPr="007D1297">
              <w:rPr>
                <w:b/>
                <w:bCs/>
              </w:rPr>
              <w:t>Prec.@5</w:t>
            </w:r>
          </w:p>
        </w:tc>
        <w:tc>
          <w:tcPr>
            <w:tcW w:w="810" w:type="dxa"/>
          </w:tcPr>
          <w:p w:rsidR="00952877" w:rsidRPr="007D1297" w:rsidRDefault="00000000">
            <w:pPr>
              <w:spacing w:before="20" w:after="20"/>
              <w:jc w:val="center"/>
            </w:pPr>
            <w:r w:rsidRPr="007D1297">
              <w:rPr>
                <w:b/>
                <w:bCs/>
              </w:rPr>
              <w:t>Rec.@5</w:t>
            </w:r>
          </w:p>
        </w:tc>
        <w:tc>
          <w:tcPr>
            <w:tcW w:w="810" w:type="dxa"/>
          </w:tcPr>
          <w:p w:rsidR="00952877" w:rsidRPr="007D1297" w:rsidRDefault="00000000">
            <w:pPr>
              <w:spacing w:before="20" w:after="20"/>
              <w:jc w:val="center"/>
            </w:pPr>
            <w:r w:rsidRPr="007D1297">
              <w:rPr>
                <w:b/>
                <w:bCs/>
              </w:rPr>
              <w:t>N</w:t>
            </w:r>
          </w:p>
        </w:tc>
      </w:tr>
      <w:tr w:rsidR="00952877" w:rsidRPr="007D1297" w:rsidTr="007D1297">
        <w:tc>
          <w:tcPr>
            <w:tcW w:w="2425" w:type="dxa"/>
          </w:tcPr>
          <w:p w:rsidR="00952877" w:rsidRPr="007D1297" w:rsidRDefault="00000000">
            <w:pPr>
              <w:spacing w:before="20" w:after="20"/>
              <w:jc w:val="center"/>
            </w:pPr>
            <w:r w:rsidRPr="007D1297">
              <w:t>Item-Based CF</w:t>
            </w:r>
          </w:p>
        </w:tc>
        <w:tc>
          <w:tcPr>
            <w:tcW w:w="990" w:type="dxa"/>
          </w:tcPr>
          <w:p w:rsidR="00952877" w:rsidRPr="007D1297" w:rsidRDefault="00000000">
            <w:pPr>
              <w:spacing w:before="20" w:after="20"/>
              <w:jc w:val="center"/>
            </w:pPr>
            <w:r w:rsidRPr="007D1297">
              <w:t>0.0813</w:t>
            </w:r>
          </w:p>
        </w:tc>
        <w:tc>
          <w:tcPr>
            <w:tcW w:w="810" w:type="dxa"/>
          </w:tcPr>
          <w:p w:rsidR="00952877" w:rsidRPr="007D1297" w:rsidRDefault="00000000">
            <w:pPr>
              <w:spacing w:before="20" w:after="20"/>
              <w:jc w:val="center"/>
            </w:pPr>
            <w:r w:rsidRPr="007D1297">
              <w:t>0.0631</w:t>
            </w:r>
          </w:p>
        </w:tc>
        <w:tc>
          <w:tcPr>
            <w:tcW w:w="810" w:type="dxa"/>
          </w:tcPr>
          <w:p w:rsidR="00952877" w:rsidRPr="007D1297" w:rsidRDefault="00000000">
            <w:pPr>
              <w:spacing w:before="20" w:after="20"/>
              <w:jc w:val="center"/>
            </w:pPr>
            <w:r w:rsidRPr="007D1297">
              <w:t>300</w:t>
            </w:r>
          </w:p>
        </w:tc>
      </w:tr>
      <w:tr w:rsidR="00952877" w:rsidRPr="007D1297" w:rsidTr="007D1297">
        <w:tc>
          <w:tcPr>
            <w:tcW w:w="2425" w:type="dxa"/>
          </w:tcPr>
          <w:p w:rsidR="00952877" w:rsidRPr="007D1297" w:rsidRDefault="00000000">
            <w:pPr>
              <w:spacing w:before="20" w:after="20"/>
              <w:jc w:val="center"/>
            </w:pPr>
            <w:r w:rsidRPr="007D1297">
              <w:t>Popularity Baseline</w:t>
            </w:r>
          </w:p>
        </w:tc>
        <w:tc>
          <w:tcPr>
            <w:tcW w:w="990" w:type="dxa"/>
          </w:tcPr>
          <w:p w:rsidR="00952877" w:rsidRPr="007D1297" w:rsidRDefault="00000000">
            <w:pPr>
              <w:spacing w:before="20" w:after="20"/>
              <w:jc w:val="center"/>
            </w:pPr>
            <w:r w:rsidRPr="007D1297">
              <w:t>0.0133</w:t>
            </w:r>
          </w:p>
        </w:tc>
        <w:tc>
          <w:tcPr>
            <w:tcW w:w="810" w:type="dxa"/>
          </w:tcPr>
          <w:p w:rsidR="00952877" w:rsidRPr="007D1297" w:rsidRDefault="00000000">
            <w:pPr>
              <w:spacing w:before="20" w:after="20"/>
              <w:jc w:val="center"/>
            </w:pPr>
            <w:r w:rsidRPr="007D1297">
              <w:t>0.0087</w:t>
            </w:r>
          </w:p>
        </w:tc>
        <w:tc>
          <w:tcPr>
            <w:tcW w:w="810" w:type="dxa"/>
          </w:tcPr>
          <w:p w:rsidR="00952877" w:rsidRPr="007D1297" w:rsidRDefault="00000000">
            <w:pPr>
              <w:spacing w:before="20" w:after="20"/>
              <w:jc w:val="center"/>
            </w:pPr>
            <w:r w:rsidRPr="007D1297">
              <w:t>300</w:t>
            </w:r>
          </w:p>
        </w:tc>
      </w:tr>
    </w:tbl>
    <w:p w:rsidR="00952877" w:rsidRDefault="00000000">
      <w:pPr>
        <w:spacing w:before="80" w:after="160"/>
        <w:jc w:val="center"/>
      </w:pPr>
      <w:r>
        <w:rPr>
          <w:sz w:val="18"/>
          <w:szCs w:val="18"/>
        </w:rPr>
        <w:t>TABLE V. RECOMMENDATION EVALUATION RESULTS (K = 5)</w:t>
      </w:r>
    </w:p>
    <w:p w:rsidR="007A2070" w:rsidRDefault="007A2070" w:rsidP="007D1297">
      <w:pPr>
        <w:spacing w:after="120"/>
        <w:jc w:val="both"/>
      </w:pPr>
      <w:r>
        <w:rPr>
          <w:noProof/>
        </w:rPr>
        <w:drawing>
          <wp:inline distT="0" distB="0" distL="0" distR="0" wp14:anchorId="11984BE4" wp14:editId="1AA42134">
            <wp:extent cx="3172460" cy="1903476"/>
            <wp:effectExtent l="0" t="0" r="2540" b="1905"/>
            <wp:docPr id="315028362" name="Picture 31502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81742" cy="1909045"/>
                    </a:xfrm>
                    <a:prstGeom prst="rect">
                      <a:avLst/>
                    </a:prstGeom>
                  </pic:spPr>
                </pic:pic>
              </a:graphicData>
            </a:graphic>
          </wp:inline>
        </w:drawing>
      </w:r>
    </w:p>
    <w:p w:rsidR="007A2070" w:rsidRDefault="007A2070" w:rsidP="007A2070">
      <w:pPr>
        <w:spacing w:after="120"/>
        <w:jc w:val="center"/>
      </w:pPr>
      <w:r>
        <w:t>Fig. 8. Recommendation model comparison (K=5).</w:t>
      </w:r>
    </w:p>
    <w:p w:rsidR="00952877" w:rsidRDefault="007D1297" w:rsidP="007D1297">
      <w:pPr>
        <w:spacing w:after="120"/>
        <w:jc w:val="both"/>
      </w:pPr>
      <w:r>
        <w:t>The results of this comparison, measured by both Precision@5 and Recall@5, on the same held-out purchases are approximately 6.1× and 7.2× higher than the popularity baseline, respectively, and provide direct quantitative proof of the better performance of behavior-driven personalization over a simple best-sellers approach.</w:t>
      </w:r>
    </w:p>
    <w:p w:rsidR="00952877" w:rsidRDefault="00000000">
      <w:pPr>
        <w:spacing w:before="160" w:after="80"/>
      </w:pPr>
      <w:r>
        <w:rPr>
          <w:b/>
          <w:bCs/>
          <w:i/>
          <w:iCs/>
        </w:rPr>
        <w:t>D. System Implementation</w:t>
      </w:r>
    </w:p>
    <w:p w:rsidR="00E732CD" w:rsidRDefault="007D1297">
      <w:pPr>
        <w:spacing w:after="120"/>
        <w:jc w:val="both"/>
      </w:pPr>
      <w:r w:rsidRPr="007D1297">
        <w:t>All API endpoints were tested with the trained artefacts: the existing customer was retrieved correctly along with the correct segment with the correct live recommendations and the newly specified customer profile was correctly classified using the same trained scaler and model as the offline analysis with the live predict-segment endpoint. The React frontend was successfully confirmed as working with automated browser testing, and it successfully renders the summaries of the segments, executes live customer/Product lookups as well as displays the Precision@5/Recall@5 comparison, with no errors found in the backend or the front end during the tests</w:t>
      </w:r>
      <w:r>
        <w:t>.</w:t>
      </w:r>
    </w:p>
    <w:p w:rsidR="00D83BEF" w:rsidRDefault="00D83BEF">
      <w:pPr>
        <w:spacing w:after="120"/>
        <w:jc w:val="both"/>
      </w:pPr>
    </w:p>
    <w:p w:rsidR="00952877" w:rsidRDefault="00000000">
      <w:pPr>
        <w:spacing w:before="200" w:after="120"/>
        <w:jc w:val="center"/>
      </w:pPr>
      <w:r>
        <w:rPr>
          <w:b/>
          <w:bCs/>
          <w:caps/>
        </w:rPr>
        <w:t>V. Discussion</w:t>
      </w:r>
    </w:p>
    <w:p w:rsidR="00952877" w:rsidRDefault="00000000">
      <w:pPr>
        <w:spacing w:before="160" w:after="80"/>
      </w:pPr>
      <w:r>
        <w:rPr>
          <w:b/>
          <w:bCs/>
          <w:i/>
          <w:iCs/>
        </w:rPr>
        <w:t>A. Segmentation is Simple, but the Simplicity is Informative</w:t>
      </w:r>
    </w:p>
    <w:p w:rsidR="00952877" w:rsidRDefault="007D1297" w:rsidP="007D1297">
      <w:pPr>
        <w:spacing w:after="120"/>
        <w:jc w:val="both"/>
      </w:pPr>
      <w:r>
        <w:t>The result of many instances is that a small subset of behaviour-based characteristics was enough to enable a statistically defensible segmentation without any extra data collection or third party enrichment, being exclusively based on transactions recorded by any e-commerce platform. The clustering evaluation did not suggest any finer-grained segmentation than two groups; indeed, the opposite was the conclusion of the evaluation, that is, that the clustering is an honest empirical result, and that, for this retailer, only a small number of customers will provide the highest value to the company, consistent with the long established observation in database marketing [2] that value is fundamentally bimodal.</w:t>
      </w:r>
    </w:p>
    <w:p w:rsidR="00952877" w:rsidRDefault="00000000">
      <w:pPr>
        <w:spacing w:before="160" w:after="80"/>
      </w:pPr>
      <w:r>
        <w:rPr>
          <w:b/>
          <w:bCs/>
          <w:i/>
          <w:iCs/>
        </w:rPr>
        <w:t>B. Personalisation was Tested, not Assumed</w:t>
      </w:r>
    </w:p>
    <w:p w:rsidR="00952877" w:rsidRDefault="007D1297">
      <w:pPr>
        <w:spacing w:after="120"/>
        <w:jc w:val="both"/>
      </w:pPr>
      <w:r w:rsidRPr="007D1297">
        <w:t>The claim that personalised recommendations are superior to the popularity baseline was made falsifiable, and a number of about six to seven times better than the popularity baseline, for the same held-out data, is the answer to the question (RQ4) posed: is there a real difference between recommendations based on popularity and those based on personalisation? This is especially true when it comes to an SME audience, who won't be able to accept anything as a “lift the big toe” recommendation system</w:t>
      </w:r>
      <w:r>
        <w:t>.</w:t>
      </w:r>
    </w:p>
    <w:p w:rsidR="00952877" w:rsidRDefault="00000000">
      <w:pPr>
        <w:spacing w:before="160" w:after="80"/>
      </w:pPr>
      <w:r>
        <w:rPr>
          <w:b/>
          <w:bCs/>
          <w:i/>
          <w:iCs/>
        </w:rPr>
        <w:t>C. From Analysis to a Usable Decision-Support Tool</w:t>
      </w:r>
    </w:p>
    <w:p w:rsidR="00952877" w:rsidRDefault="00D83BEF">
      <w:pPr>
        <w:spacing w:after="120"/>
        <w:jc w:val="both"/>
      </w:pPr>
      <w:r w:rsidRPr="00D83BEF">
        <w:t>RQ5 focused on the question of how customer analytics can facilitate better decisions for SMEs, an issue that goes beyond accuracy of the modelling. Using the test FastAPI backend and React frontend instead of a notebook prototype converts the segmentation and recommendation models into a real usable decision-support tool which a non-technical SME staff member can use directly — even for a customer that was not on the original training set, through the live predict-segment endpoint</w:t>
      </w:r>
      <w:r>
        <w:t>.</w:t>
      </w:r>
    </w:p>
    <w:p w:rsidR="00952877" w:rsidRDefault="00000000">
      <w:pPr>
        <w:spacing w:before="160" w:after="80"/>
      </w:pPr>
      <w:r>
        <w:rPr>
          <w:b/>
          <w:bCs/>
          <w:i/>
          <w:iCs/>
        </w:rPr>
        <w:t>D. Achievement of Research Objectives</w:t>
      </w:r>
    </w:p>
    <w:p w:rsidR="00952877" w:rsidRDefault="00D83BEF">
      <w:pPr>
        <w:spacing w:after="120"/>
        <w:jc w:val="both"/>
      </w:pPr>
      <w:r w:rsidRPr="00D83BEF">
        <w:t>The objectives of the study were identified and are summarized in Table VI, which correlates them with the evidence of fulfillment found in Section IV. All objectives were achieved and the final product was actually more than what was originally planned—a working, self-contained REST and React application was produced, not a Streamlit or notebook prototype</w:t>
      </w:r>
      <w:r>
        <w:t>.</w:t>
      </w:r>
    </w:p>
    <w:tbl>
      <w:tblPr>
        <w:tblW w:w="5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2800"/>
      </w:tblGrid>
      <w:tr w:rsidR="00952877" w:rsidRPr="00D83BEF" w:rsidTr="00D83BEF">
        <w:tc>
          <w:tcPr>
            <w:tcW w:w="2200" w:type="dxa"/>
          </w:tcPr>
          <w:p w:rsidR="00952877" w:rsidRPr="00D83BEF" w:rsidRDefault="00000000">
            <w:pPr>
              <w:spacing w:before="20" w:after="20"/>
              <w:jc w:val="center"/>
            </w:pPr>
            <w:r w:rsidRPr="00D83BEF">
              <w:rPr>
                <w:b/>
                <w:bCs/>
              </w:rPr>
              <w:lastRenderedPageBreak/>
              <w:t>Objective</w:t>
            </w:r>
          </w:p>
        </w:tc>
        <w:tc>
          <w:tcPr>
            <w:tcW w:w="2800" w:type="dxa"/>
          </w:tcPr>
          <w:p w:rsidR="00952877" w:rsidRPr="00D83BEF" w:rsidRDefault="00000000">
            <w:pPr>
              <w:spacing w:before="20" w:after="20"/>
              <w:jc w:val="center"/>
            </w:pPr>
            <w:r w:rsidRPr="00D83BEF">
              <w:rPr>
                <w:b/>
                <w:bCs/>
              </w:rPr>
              <w:t>Evidence</w:t>
            </w:r>
          </w:p>
        </w:tc>
      </w:tr>
      <w:tr w:rsidR="00952877" w:rsidRPr="00D83BEF" w:rsidTr="00D83BEF">
        <w:tc>
          <w:tcPr>
            <w:tcW w:w="2200" w:type="dxa"/>
          </w:tcPr>
          <w:p w:rsidR="00952877" w:rsidRPr="00D83BEF" w:rsidRDefault="00000000">
            <w:pPr>
              <w:spacing w:before="20" w:after="20"/>
              <w:jc w:val="center"/>
            </w:pPr>
            <w:r w:rsidRPr="00D83BEF">
              <w:t>Preprocess transaction data</w:t>
            </w:r>
          </w:p>
        </w:tc>
        <w:tc>
          <w:tcPr>
            <w:tcW w:w="2800" w:type="dxa"/>
          </w:tcPr>
          <w:p w:rsidR="00952877" w:rsidRPr="00D83BEF" w:rsidRDefault="00000000">
            <w:pPr>
              <w:spacing w:before="20" w:after="20"/>
              <w:jc w:val="center"/>
            </w:pPr>
            <w:r w:rsidRPr="00D83BEF">
              <w:t>Sec. IV-A; 541,909→392,692 rows</w:t>
            </w:r>
          </w:p>
        </w:tc>
      </w:tr>
      <w:tr w:rsidR="00952877" w:rsidRPr="00D83BEF" w:rsidTr="00D83BEF">
        <w:tc>
          <w:tcPr>
            <w:tcW w:w="2200" w:type="dxa"/>
          </w:tcPr>
          <w:p w:rsidR="00952877" w:rsidRPr="00D83BEF" w:rsidRDefault="00000000">
            <w:pPr>
              <w:spacing w:before="20" w:after="20"/>
              <w:jc w:val="center"/>
            </w:pPr>
            <w:r w:rsidRPr="00D83BEF">
              <w:t>RFM segmentation</w:t>
            </w:r>
          </w:p>
        </w:tc>
        <w:tc>
          <w:tcPr>
            <w:tcW w:w="2800" w:type="dxa"/>
          </w:tcPr>
          <w:p w:rsidR="00952877" w:rsidRPr="00D83BEF" w:rsidRDefault="00000000">
            <w:pPr>
              <w:spacing w:before="20" w:after="20"/>
              <w:jc w:val="center"/>
            </w:pPr>
            <w:r w:rsidRPr="00D83BEF">
              <w:t>Sec. III-D, III-E</w:t>
            </w:r>
          </w:p>
        </w:tc>
      </w:tr>
      <w:tr w:rsidR="00952877" w:rsidRPr="00D83BEF" w:rsidTr="00D83BEF">
        <w:tc>
          <w:tcPr>
            <w:tcW w:w="2200" w:type="dxa"/>
          </w:tcPr>
          <w:p w:rsidR="00952877" w:rsidRPr="00D83BEF" w:rsidRDefault="00000000">
            <w:pPr>
              <w:spacing w:before="20" w:after="20"/>
              <w:jc w:val="center"/>
            </w:pPr>
            <w:r w:rsidRPr="00D83BEF">
              <w:t>K-Means vs. hierarchical</w:t>
            </w:r>
          </w:p>
        </w:tc>
        <w:tc>
          <w:tcPr>
            <w:tcW w:w="2800" w:type="dxa"/>
          </w:tcPr>
          <w:p w:rsidR="00952877" w:rsidRPr="00D83BEF" w:rsidRDefault="00000000">
            <w:pPr>
              <w:spacing w:before="20" w:after="20"/>
              <w:jc w:val="center"/>
            </w:pPr>
            <w:r w:rsidRPr="00D83BEF">
              <w:t>Table II</w:t>
            </w:r>
          </w:p>
        </w:tc>
      </w:tr>
      <w:tr w:rsidR="00952877" w:rsidRPr="00D83BEF" w:rsidTr="00D83BEF">
        <w:tc>
          <w:tcPr>
            <w:tcW w:w="2200" w:type="dxa"/>
          </w:tcPr>
          <w:p w:rsidR="00952877" w:rsidRPr="00D83BEF" w:rsidRDefault="00000000">
            <w:pPr>
              <w:spacing w:before="20" w:after="20"/>
              <w:jc w:val="center"/>
            </w:pPr>
            <w:r w:rsidRPr="00D83BEF">
              <w:t>Recommendation design</w:t>
            </w:r>
          </w:p>
        </w:tc>
        <w:tc>
          <w:tcPr>
            <w:tcW w:w="2800" w:type="dxa"/>
          </w:tcPr>
          <w:p w:rsidR="00952877" w:rsidRPr="00D83BEF" w:rsidRDefault="00000000">
            <w:pPr>
              <w:spacing w:before="20" w:after="20"/>
              <w:jc w:val="center"/>
            </w:pPr>
            <w:r w:rsidRPr="00D83BEF">
              <w:t>Sec. III-F, IV-C</w:t>
            </w:r>
          </w:p>
        </w:tc>
      </w:tr>
      <w:tr w:rsidR="00952877" w:rsidRPr="00D83BEF" w:rsidTr="00D83BEF">
        <w:tc>
          <w:tcPr>
            <w:tcW w:w="2200" w:type="dxa"/>
          </w:tcPr>
          <w:p w:rsidR="00952877" w:rsidRPr="00D83BEF" w:rsidRDefault="00000000">
            <w:pPr>
              <w:spacing w:before="20" w:after="20"/>
              <w:jc w:val="center"/>
            </w:pPr>
            <w:r w:rsidRPr="00D83BEF">
              <w:t>Model evaluation</w:t>
            </w:r>
          </w:p>
        </w:tc>
        <w:tc>
          <w:tcPr>
            <w:tcW w:w="2800" w:type="dxa"/>
          </w:tcPr>
          <w:p w:rsidR="00952877" w:rsidRPr="00D83BEF" w:rsidRDefault="00000000">
            <w:pPr>
              <w:spacing w:before="20" w:after="20"/>
              <w:jc w:val="center"/>
            </w:pPr>
            <w:r w:rsidRPr="00D83BEF">
              <w:t>Tables II, IV, V</w:t>
            </w:r>
          </w:p>
        </w:tc>
      </w:tr>
      <w:tr w:rsidR="00952877" w:rsidRPr="00D83BEF" w:rsidTr="00D83BEF">
        <w:tc>
          <w:tcPr>
            <w:tcW w:w="2200" w:type="dxa"/>
          </w:tcPr>
          <w:p w:rsidR="00952877" w:rsidRPr="00D83BEF" w:rsidRDefault="00000000">
            <w:pPr>
              <w:spacing w:before="20" w:after="20"/>
              <w:jc w:val="center"/>
            </w:pPr>
            <w:r w:rsidRPr="00D83BEF">
              <w:t>Deployable dashboard</w:t>
            </w:r>
          </w:p>
        </w:tc>
        <w:tc>
          <w:tcPr>
            <w:tcW w:w="2800" w:type="dxa"/>
          </w:tcPr>
          <w:p w:rsidR="00952877" w:rsidRPr="00D83BEF" w:rsidRDefault="00000000">
            <w:pPr>
              <w:spacing w:before="20" w:after="20"/>
              <w:jc w:val="center"/>
            </w:pPr>
            <w:r w:rsidRPr="00D83BEF">
              <w:t>Sec. IV-D</w:t>
            </w:r>
          </w:p>
        </w:tc>
      </w:tr>
    </w:tbl>
    <w:p w:rsidR="00952877" w:rsidRDefault="00000000">
      <w:pPr>
        <w:spacing w:before="80" w:after="160"/>
        <w:jc w:val="center"/>
        <w:rPr>
          <w:sz w:val="18"/>
          <w:szCs w:val="18"/>
        </w:rPr>
      </w:pPr>
      <w:r>
        <w:rPr>
          <w:sz w:val="18"/>
          <w:szCs w:val="18"/>
        </w:rPr>
        <w:t>TABLE VI. RESEARCH OBJECTIVES AND EVIDENCE OF ACHIEVEMENT</w:t>
      </w:r>
    </w:p>
    <w:p w:rsidR="00D83BEF" w:rsidRDefault="00D83BEF">
      <w:pPr>
        <w:spacing w:before="80" w:after="160"/>
        <w:jc w:val="center"/>
      </w:pPr>
    </w:p>
    <w:p w:rsidR="00952877" w:rsidRDefault="00000000">
      <w:pPr>
        <w:spacing w:before="200" w:after="120"/>
        <w:jc w:val="center"/>
      </w:pPr>
      <w:r>
        <w:rPr>
          <w:b/>
          <w:bCs/>
          <w:caps/>
        </w:rPr>
        <w:t>VI. Ethical, Legal and Social Considerations</w:t>
      </w:r>
    </w:p>
    <w:p w:rsidR="00952877" w:rsidRDefault="003A13E7">
      <w:pPr>
        <w:spacing w:after="120"/>
        <w:jc w:val="both"/>
      </w:pPr>
      <w:r w:rsidRPr="003A13E7">
        <w:t>The UCI Online Retail dataset is public and de-identified, meaning that no names or contact details were included and CustomerID values were numeric, anonymised identifiers and no attempt, nor was it necessary, to re-identify individual customers. However, the broader topic of behavioural segmentation and personalised recommendation gives rise to issues that are directly discussed in this study. The implementation of the resulting system in the real world by an SME would have to meet similar principles, including pseudonymisation, data minimisation and purpose limitation, with regard to a live customer base. Here, segmentation and the logic of recommendations is limited to purchasing behaviour only (recency, frequency, monetary value and item co-occurrence), thus avoiding the risk of discriminatory pricing or exclusion of certain groups in access to favourable offers. SMEs that implement analytics tools typically don't have a structured evaluation process as large organizations do, so researchers should be careful to make the methodology of the tool clear and explainable, and properly documented so that an adopting SME can carefully examine and critically evaluate what the tool is doing before it can use it to make marketing decisions. Lastly, unauthenticated, cross-origin requests to the current configuration are allowed for the back-end, which is OK for local development and demonstration, but should be limited to a known and trusted origin with authentication before any exposure beyond a local network.</w:t>
      </w:r>
    </w:p>
    <w:p w:rsidR="00D83BEF" w:rsidRDefault="00D83BEF">
      <w:pPr>
        <w:spacing w:after="120"/>
        <w:jc w:val="both"/>
      </w:pPr>
    </w:p>
    <w:p w:rsidR="00952877" w:rsidRDefault="00000000">
      <w:pPr>
        <w:spacing w:before="200" w:after="120"/>
        <w:jc w:val="center"/>
      </w:pPr>
      <w:r>
        <w:rPr>
          <w:b/>
          <w:bCs/>
          <w:caps/>
        </w:rPr>
        <w:t>VII. Limitations and Future Work</w:t>
      </w:r>
    </w:p>
    <w:p w:rsidR="00952877" w:rsidRDefault="003A13E7">
      <w:pPr>
        <w:spacing w:after="120"/>
        <w:jc w:val="both"/>
      </w:pPr>
      <w:r w:rsidRPr="003A13E7">
        <w:t xml:space="preserve">The segmentation boundaries and the two true clusters identified may not be representative of other SME verticals, as the findings are based on a single gift retailer and were only produced after running the pipeline for approximately 12 months on their data. One in four transactions without a CustomerID were not imputed, which may under-represent guest-checkout customers. Both recommenders rely on co-purchased history and so they can't effectively recommend a brand new product or service and service first-time customers; the popularity baseline covers only part of this cold start problem. This was evaluated using a per-customer, time-naive holdout of 300 customers (not a strict chronological split), and </w:t>
      </w:r>
      <w:r w:rsidRPr="003A13E7">
        <w:t>the API backend now requires no authentication and does not serve CORS requests, which is fine for local development but not for serving in production. Future research will confirm the pipeline with the companion Online Retail II dataset, add product-description features to create a hybrid recommender for the cold-start scenario, implement periodic re-training, make the API robust enough to be used in production, and perform usability testing with actual SME staff</w:t>
      </w:r>
      <w:r>
        <w:t>.</w:t>
      </w:r>
    </w:p>
    <w:p w:rsidR="003A13E7" w:rsidRDefault="003A13E7">
      <w:pPr>
        <w:spacing w:after="120"/>
        <w:jc w:val="both"/>
      </w:pPr>
    </w:p>
    <w:p w:rsidR="00952877" w:rsidRDefault="00000000">
      <w:pPr>
        <w:spacing w:before="200" w:after="120"/>
        <w:jc w:val="center"/>
      </w:pPr>
      <w:r>
        <w:rPr>
          <w:b/>
          <w:bCs/>
          <w:caps/>
        </w:rPr>
        <w:t>VIII. Conclusion</w:t>
      </w:r>
    </w:p>
    <w:p w:rsidR="00952877" w:rsidRDefault="003A13E7">
      <w:pPr>
        <w:spacing w:after="120"/>
        <w:jc w:val="both"/>
      </w:pPr>
      <w:r w:rsidRPr="003A13E7">
        <w:t>The aim of this study was to tackle a specific practical issue: SME ecommerce businesses store transaction data but often do not have the means to turn it into understanding of a customer or product recommendation. This work was based entirely on a retailer's own transaction log, and provided a statistically sound customer segmentation that shows a Pareto-like concentration of value, a quantitative recommendation system that was shown to be superior to a naive best-sellers approach, and a deployable application (FastAPI and React), that makes both accessible without requiring technical expertise from SME staff. The findings validate the feasibility of using RFM-based segmentation in conjunction with item-based collaborative filtering as a low-cost, reproducible resource-bound e-commerce analytics pipeline</w:t>
      </w:r>
      <w:r>
        <w:t>.</w:t>
      </w:r>
    </w:p>
    <w:p w:rsidR="00952877" w:rsidRDefault="00000000">
      <w:pPr>
        <w:spacing w:before="200" w:after="120"/>
        <w:jc w:val="center"/>
      </w:pPr>
      <w:r>
        <w:rPr>
          <w:b/>
          <w:bCs/>
          <w:caps/>
        </w:rPr>
        <w:t>References</w:t>
      </w:r>
    </w:p>
    <w:p w:rsidR="00952877" w:rsidRDefault="00000000">
      <w:pPr>
        <w:spacing w:after="80"/>
        <w:ind w:left="316" w:hanging="316"/>
        <w:jc w:val="both"/>
      </w:pPr>
      <w:r>
        <w:rPr>
          <w:sz w:val="18"/>
          <w:szCs w:val="18"/>
        </w:rPr>
        <w:t>[1] D. Chen, S. L. Sain, and K. Guo, “Data mining for the online retail industry: A case study of RFM model-based customer segmentation using data mining,” J. Database Mark. Cust. Strategy Manage., vol. 19, no. 3, pp. 197–208, 2012.</w:t>
      </w:r>
    </w:p>
    <w:p w:rsidR="00952877" w:rsidRDefault="00000000">
      <w:pPr>
        <w:spacing w:after="80"/>
        <w:ind w:left="316" w:hanging="316"/>
        <w:jc w:val="both"/>
      </w:pPr>
      <w:r>
        <w:rPr>
          <w:sz w:val="18"/>
          <w:szCs w:val="18"/>
        </w:rPr>
        <w:t>[2] A. M. Hughes, Strategic Database Marketing, 4th ed. New York, NY, USA: McGraw-Hill, 1994.</w:t>
      </w:r>
    </w:p>
    <w:p w:rsidR="00952877" w:rsidRDefault="00000000">
      <w:pPr>
        <w:spacing w:after="80"/>
        <w:ind w:left="316" w:hanging="316"/>
        <w:jc w:val="both"/>
      </w:pPr>
      <w:r>
        <w:rPr>
          <w:sz w:val="18"/>
          <w:szCs w:val="18"/>
        </w:rPr>
        <w:t>[3] K. Tabianan, S. Velu, and V. Ravi, “K-Means clustering approach for intelligent customer segmentation using customer purchase behavior data,” Sustainability, vol. 14, no. 12, p. 7243, 2022.</w:t>
      </w:r>
    </w:p>
    <w:p w:rsidR="00952877" w:rsidRDefault="00000000">
      <w:pPr>
        <w:spacing w:after="80"/>
        <w:ind w:left="316" w:hanging="316"/>
        <w:jc w:val="both"/>
      </w:pPr>
      <w:r>
        <w:rPr>
          <w:sz w:val="18"/>
          <w:szCs w:val="18"/>
        </w:rPr>
        <w:t>[4] C.-G. Wong, G.-K. Tong, and S.-C. Haw, “Exploring customer segmentation in e-commerce using RFM analysis with clustering techniques,” J. Telecommun. Digit. Econ., vol. 12, no. 3, pp. 97–125, 2024.</w:t>
      </w:r>
    </w:p>
    <w:p w:rsidR="00952877" w:rsidRDefault="00000000">
      <w:pPr>
        <w:spacing w:after="80"/>
        <w:ind w:left="316" w:hanging="316"/>
        <w:jc w:val="both"/>
      </w:pPr>
      <w:r>
        <w:rPr>
          <w:sz w:val="18"/>
          <w:szCs w:val="18"/>
        </w:rPr>
        <w:t>[5] P. J. Rousseeuw, “Silhouettes: A graphical aid to the interpretation and validation of cluster analysis,” J. Comput. Appl. Math., vol. 20, pp. 53–65, 1987.</w:t>
      </w:r>
    </w:p>
    <w:p w:rsidR="00952877" w:rsidRDefault="00000000">
      <w:pPr>
        <w:spacing w:after="80"/>
        <w:ind w:left="316" w:hanging="316"/>
        <w:jc w:val="both"/>
      </w:pPr>
      <w:r>
        <w:rPr>
          <w:sz w:val="18"/>
          <w:szCs w:val="18"/>
        </w:rPr>
        <w:t>[6] D. L. Davies and D. W. Bouldin, “A cluster separation measure,” IEEE Trans. Pattern Anal. Mach. Intell., vol. PAMI-1, no. 2, pp. 224–227, 1979.</w:t>
      </w:r>
    </w:p>
    <w:p w:rsidR="00952877" w:rsidRDefault="00000000">
      <w:pPr>
        <w:spacing w:after="80"/>
        <w:ind w:left="316" w:hanging="316"/>
        <w:jc w:val="both"/>
      </w:pPr>
      <w:r>
        <w:rPr>
          <w:sz w:val="18"/>
          <w:szCs w:val="18"/>
        </w:rPr>
        <w:t>[7] R. Agrawal, T. Imieliński, and A. Swami, “Mining association rules between sets of items in large databases,” in Proc. ACM SIGMOD Int. Conf. Management of Data, 1993, pp. 207–216.</w:t>
      </w:r>
    </w:p>
    <w:p w:rsidR="00952877" w:rsidRDefault="00000000">
      <w:pPr>
        <w:spacing w:after="80"/>
        <w:ind w:left="316" w:hanging="316"/>
        <w:jc w:val="both"/>
      </w:pPr>
      <w:r>
        <w:rPr>
          <w:sz w:val="18"/>
          <w:szCs w:val="18"/>
        </w:rPr>
        <w:t>[8] J. Han, J. Pei, and Y. Yin, “Mining frequent patterns without candidate generation,” in Proc. ACM SIGMOD Int. Conf. Management of Data, 2000, pp. 1–12.</w:t>
      </w:r>
    </w:p>
    <w:p w:rsidR="00952877" w:rsidRDefault="00000000">
      <w:pPr>
        <w:spacing w:after="80"/>
        <w:ind w:left="316" w:hanging="316"/>
        <w:jc w:val="both"/>
      </w:pPr>
      <w:r>
        <w:rPr>
          <w:sz w:val="18"/>
          <w:szCs w:val="18"/>
        </w:rPr>
        <w:t>[9] B. Sarwar, G. Karypis, J. Konstan, and J. Riedl, “Item-based collaborative filtering recommendation algorithms,” in Proc. 10th Int. Conf. World Wide Web (WWW), 2001, pp. 285–295.</w:t>
      </w:r>
    </w:p>
    <w:p w:rsidR="00952877" w:rsidRDefault="00000000">
      <w:pPr>
        <w:spacing w:after="80"/>
        <w:ind w:left="316" w:hanging="316"/>
        <w:jc w:val="both"/>
      </w:pPr>
      <w:r>
        <w:rPr>
          <w:sz w:val="18"/>
          <w:szCs w:val="18"/>
        </w:rPr>
        <w:t>[10] G. Linden, B. Smith, and J. York, “Amazon.com recommendations: Item-to-item collaborative filtering,” IEEE Internet Comput., vol. 7, no. 1, pp. 76–80, 2003.</w:t>
      </w:r>
    </w:p>
    <w:p w:rsidR="00952877" w:rsidRDefault="00000000">
      <w:pPr>
        <w:spacing w:after="80"/>
        <w:ind w:left="316" w:hanging="316"/>
        <w:jc w:val="both"/>
      </w:pPr>
      <w:r>
        <w:rPr>
          <w:sz w:val="18"/>
          <w:szCs w:val="18"/>
        </w:rPr>
        <w:lastRenderedPageBreak/>
        <w:t>[11] J. H. Ward Jr., “Hierarchical grouping to optimize an objective function,” J. Amer. Stat. Assoc., vol. 58, no. 301, pp. 236–244, 1963.</w:t>
      </w:r>
    </w:p>
    <w:p w:rsidR="00952877" w:rsidRDefault="00000000">
      <w:pPr>
        <w:spacing w:after="80"/>
        <w:ind w:left="316" w:hanging="316"/>
        <w:jc w:val="both"/>
      </w:pPr>
      <w:r>
        <w:rPr>
          <w:sz w:val="18"/>
          <w:szCs w:val="18"/>
        </w:rPr>
        <w:t>[12] C. Gupta, J. M. Fernández-Crehuet, and V. Gupta, “A novel value-based multi-criteria decision making approach to evaluate new technology adoption in SMEs,” PeerJ Comput. Sci., vol. 8, p. e1184, 2022.</w:t>
      </w:r>
    </w:p>
    <w:p w:rsidR="00952877" w:rsidRDefault="00000000">
      <w:pPr>
        <w:spacing w:after="80"/>
        <w:ind w:left="316" w:hanging="316"/>
        <w:jc w:val="both"/>
      </w:pPr>
      <w:r>
        <w:rPr>
          <w:sz w:val="18"/>
          <w:szCs w:val="18"/>
        </w:rPr>
        <w:t>[13] J. M. John, O. Shobayo, and B. Ogunleye, “An exploration of clustering algorithms for customer segmentation in the UK retail market,” Analytics, vol. 2, no. 4, pp. 809–823, 2023.</w:t>
      </w:r>
    </w:p>
    <w:p w:rsidR="00952877" w:rsidRDefault="00000000">
      <w:pPr>
        <w:spacing w:after="80"/>
        <w:ind w:left="316" w:hanging="316"/>
        <w:jc w:val="both"/>
      </w:pPr>
      <w:r>
        <w:rPr>
          <w:sz w:val="18"/>
          <w:szCs w:val="18"/>
        </w:rPr>
        <w:t>[14] D. Chen, “Online Retail,” UCI Machine Learning Repository, 2015. [Online]. Available: https://doi.org/10.24432/C5BW33</w:t>
      </w:r>
    </w:p>
    <w:p w:rsidR="00952877" w:rsidRDefault="00000000">
      <w:pPr>
        <w:spacing w:after="80"/>
        <w:ind w:left="316" w:hanging="316"/>
        <w:jc w:val="both"/>
      </w:pPr>
      <w:r>
        <w:rPr>
          <w:sz w:val="18"/>
          <w:szCs w:val="18"/>
        </w:rPr>
        <w:t>[15] R. T. Fielding, “Architectural styles and the design of network-based software architectures,” Ph.D. dissertation, Univ. California, Irvine, CA, USA, 2000.</w:t>
      </w:r>
    </w:p>
    <w:p w:rsidR="00952877" w:rsidRDefault="00000000">
      <w:pPr>
        <w:spacing w:after="80"/>
        <w:ind w:left="316" w:hanging="316"/>
        <w:jc w:val="both"/>
      </w:pPr>
      <w:r>
        <w:rPr>
          <w:sz w:val="18"/>
          <w:szCs w:val="18"/>
        </w:rPr>
        <w:t>[16] M. Ester, H.-P. Kriegel, J. Sander, and X. Xu, “A density-based algorithm for discovering clusters in large spatial databases with noise,” in Proc. 2nd Int. Conf. Knowledge Discovery and Data Mining (KDD), 1996, pp. 226–231.</w:t>
      </w:r>
    </w:p>
    <w:p w:rsidR="00952877" w:rsidRDefault="00000000">
      <w:pPr>
        <w:spacing w:after="80"/>
        <w:ind w:left="316" w:hanging="316"/>
        <w:jc w:val="both"/>
      </w:pPr>
      <w:r>
        <w:rPr>
          <w:sz w:val="18"/>
          <w:szCs w:val="18"/>
        </w:rPr>
        <w:t>[17] J. L. Herlocker, J. A. Konstan, L. G. Terveen, and J. T. Riedl, “Evaluating collaborative filtering recommender systems,” ACM Trans. Inf. Syst., vol. 22, no. 1, pp. 5–53, 2004.</w:t>
      </w:r>
    </w:p>
    <w:sectPr w:rsidR="00952877">
      <w:type w:val="continuous"/>
      <w:pgSz w:w="12240" w:h="15840"/>
      <w:pgMar w:top="1080" w:right="900" w:bottom="108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9B8"/>
    <w:multiLevelType w:val="hybridMultilevel"/>
    <w:tmpl w:val="28BAD6FE"/>
    <w:lvl w:ilvl="0" w:tplc="5BF8C6A0">
      <w:start w:val="1"/>
      <w:numFmt w:val="bullet"/>
      <w:lvlText w:val="●"/>
      <w:lvlJc w:val="left"/>
      <w:pPr>
        <w:ind w:left="720" w:hanging="360"/>
      </w:pPr>
    </w:lvl>
    <w:lvl w:ilvl="1" w:tplc="6DC477F2">
      <w:start w:val="1"/>
      <w:numFmt w:val="bullet"/>
      <w:lvlText w:val="○"/>
      <w:lvlJc w:val="left"/>
      <w:pPr>
        <w:ind w:left="1440" w:hanging="360"/>
      </w:pPr>
    </w:lvl>
    <w:lvl w:ilvl="2" w:tplc="FFA615A0">
      <w:start w:val="1"/>
      <w:numFmt w:val="bullet"/>
      <w:lvlText w:val="■"/>
      <w:lvlJc w:val="left"/>
      <w:pPr>
        <w:ind w:left="2160" w:hanging="360"/>
      </w:pPr>
    </w:lvl>
    <w:lvl w:ilvl="3" w:tplc="E2DE202E">
      <w:start w:val="1"/>
      <w:numFmt w:val="bullet"/>
      <w:lvlText w:val="●"/>
      <w:lvlJc w:val="left"/>
      <w:pPr>
        <w:ind w:left="2880" w:hanging="360"/>
      </w:pPr>
    </w:lvl>
    <w:lvl w:ilvl="4" w:tplc="0212CC8E">
      <w:start w:val="1"/>
      <w:numFmt w:val="bullet"/>
      <w:lvlText w:val="○"/>
      <w:lvlJc w:val="left"/>
      <w:pPr>
        <w:ind w:left="3600" w:hanging="360"/>
      </w:pPr>
    </w:lvl>
    <w:lvl w:ilvl="5" w:tplc="0288714C">
      <w:start w:val="1"/>
      <w:numFmt w:val="bullet"/>
      <w:lvlText w:val="■"/>
      <w:lvlJc w:val="left"/>
      <w:pPr>
        <w:ind w:left="4320" w:hanging="360"/>
      </w:pPr>
    </w:lvl>
    <w:lvl w:ilvl="6" w:tplc="0D26EC5A">
      <w:start w:val="1"/>
      <w:numFmt w:val="bullet"/>
      <w:lvlText w:val="●"/>
      <w:lvlJc w:val="left"/>
      <w:pPr>
        <w:ind w:left="5040" w:hanging="360"/>
      </w:pPr>
    </w:lvl>
    <w:lvl w:ilvl="7" w:tplc="C204A400">
      <w:start w:val="1"/>
      <w:numFmt w:val="bullet"/>
      <w:lvlText w:val="●"/>
      <w:lvlJc w:val="left"/>
      <w:pPr>
        <w:ind w:left="5760" w:hanging="360"/>
      </w:pPr>
    </w:lvl>
    <w:lvl w:ilvl="8" w:tplc="05AAA178">
      <w:start w:val="1"/>
      <w:numFmt w:val="bullet"/>
      <w:lvlText w:val="●"/>
      <w:lvlJc w:val="left"/>
      <w:pPr>
        <w:ind w:left="6480" w:hanging="360"/>
      </w:pPr>
    </w:lvl>
  </w:abstractNum>
  <w:num w:numId="1" w16cid:durableId="904334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877"/>
    <w:rsid w:val="00090F56"/>
    <w:rsid w:val="001928C0"/>
    <w:rsid w:val="003A13E7"/>
    <w:rsid w:val="004F4C32"/>
    <w:rsid w:val="0067319E"/>
    <w:rsid w:val="007A2070"/>
    <w:rsid w:val="007B6072"/>
    <w:rsid w:val="007D1297"/>
    <w:rsid w:val="00952877"/>
    <w:rsid w:val="00D83BEF"/>
    <w:rsid w:val="00E371BA"/>
    <w:rsid w:val="00E732CD"/>
    <w:rsid w:val="00F6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50ABB"/>
  <w15:docId w15:val="{65A30EF3-CDE9-3847-95CF-0B62C1B0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5067</Words>
  <Characters>28886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Aniobi</cp:lastModifiedBy>
  <cp:revision>3</cp:revision>
  <dcterms:created xsi:type="dcterms:W3CDTF">2026-08-16T03:40:00Z</dcterms:created>
  <dcterms:modified xsi:type="dcterms:W3CDTF">2026-08-17T07:21:00Z</dcterms:modified>
</cp:coreProperties>
</file>