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33154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raoi-logo.p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3315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Spraoi Sports Brand &amp; Design System</w:t>
      </w:r>
    </w:p>
    <w:p>
      <w:pPr>
        <w:jc w:val="center"/>
      </w:pPr>
      <w:r>
        <w:rPr>
          <w:color w:val="149FE3"/>
        </w:rPr>
        <w:t>Version 1.0  •  August 2026</w:t>
      </w:r>
    </w:p>
    <w:p/>
    <w:p>
      <w:pPr>
        <w:pStyle w:val="Heading1"/>
      </w:pPr>
      <w:r>
        <w:t>1. Purpose and governance</w:t>
      </w:r>
    </w:p>
    <w:p>
      <w:r>
        <w:t>This document is the single visual and content-design reference for Spraoi Coach, Spraoi Journey, printable coaching cards, diagrams, exports and marketing assets. New work must follow this document unless a documented version update replaces a rule.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0B3B75"/>
          </w:tcPr>
          <w:p>
            <w:r/>
            <w:r>
              <w:rPr>
                <w:b/>
                <w:color w:val="FFFFFF"/>
                <w:sz w:val="18"/>
              </w:rPr>
              <w:t>Rule</w:t>
            </w:r>
          </w:p>
        </w:tc>
        <w:tc>
          <w:tcPr>
            <w:tcW w:type="dxa" w:w="5184"/>
            <w:vAlign w:val="center"/>
            <w:shd w:fill="0B3B75"/>
          </w:tcPr>
          <w:p>
            <w:r/>
            <w:r>
              <w:rPr>
                <w:b/>
                <w:color w:val="FFFFFF"/>
                <w:sz w:val="18"/>
              </w:rPr>
              <w:t>Decision</w:t>
            </w:r>
          </w:p>
        </w:tc>
      </w:tr>
      <w:tr>
        <w:tc>
          <w:tcPr>
            <w:tcW w:type="dxa" w:w="5184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System status</w:t>
            </w:r>
          </w:p>
        </w:tc>
        <w:tc>
          <w:tcPr>
            <w:tcW w:type="dxa" w:w="5184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Locked for v1.0</w:t>
            </w:r>
          </w:p>
        </w:tc>
      </w:tr>
      <w:tr>
        <w:tc>
          <w:tcPr>
            <w:tcW w:type="dxa" w:w="5184"/>
            <w:vAlign w:val="center"/>
            <w:shd w:fill="FFFFFF"/>
          </w:tcPr>
          <w:p>
            <w:r/>
            <w:r>
              <w:rPr>
                <w:b w:val="0"/>
                <w:sz w:val="17"/>
              </w:rPr>
              <w:t>Primary logo</w:t>
            </w:r>
          </w:p>
        </w:tc>
        <w:tc>
          <w:tcPr>
            <w:tcW w:type="dxa" w:w="5184"/>
            <w:vAlign w:val="center"/>
            <w:shd w:fill="FFFFFF"/>
          </w:tcPr>
          <w:p>
            <w:r/>
            <w:r>
              <w:rPr>
                <w:b w:val="0"/>
                <w:sz w:val="17"/>
              </w:rPr>
              <w:t>Approved full Spraoi Sports logo supplied 2 August 2026</w:t>
            </w:r>
          </w:p>
        </w:tc>
      </w:tr>
      <w:tr>
        <w:tc>
          <w:tcPr>
            <w:tcW w:type="dxa" w:w="5184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Primary icon</w:t>
            </w:r>
          </w:p>
        </w:tc>
        <w:tc>
          <w:tcPr>
            <w:tcW w:type="dxa" w:w="5184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Approved multicolour tree/person icon supplied 2 August 2026</w:t>
            </w:r>
          </w:p>
        </w:tc>
      </w:tr>
      <w:tr>
        <w:tc>
          <w:tcPr>
            <w:tcW w:type="dxa" w:w="5184"/>
            <w:vAlign w:val="center"/>
            <w:shd w:fill="FFFFFF"/>
          </w:tcPr>
          <w:p>
            <w:r/>
            <w:r>
              <w:rPr>
                <w:b w:val="0"/>
                <w:sz w:val="17"/>
              </w:rPr>
              <w:t>Core principle</w:t>
            </w:r>
          </w:p>
        </w:tc>
        <w:tc>
          <w:tcPr>
            <w:tcW w:type="dxa" w:w="5184"/>
            <w:vAlign w:val="center"/>
            <w:shd w:fill="FFFFFF"/>
          </w:tcPr>
          <w:p>
            <w:r/>
            <w:r>
              <w:rPr>
                <w:b w:val="0"/>
                <w:sz w:val="17"/>
              </w:rPr>
              <w:t>One source of truth, two audience views</w:t>
            </w:r>
          </w:p>
        </w:tc>
      </w:tr>
      <w:tr>
        <w:tc>
          <w:tcPr>
            <w:tcW w:type="dxa" w:w="5184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Copyright footer</w:t>
            </w:r>
          </w:p>
        </w:tc>
        <w:tc>
          <w:tcPr>
            <w:tcW w:type="dxa" w:w="5184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© 2026 Spraoi Sports. All rights reserved.</w:t>
            </w:r>
          </w:p>
        </w:tc>
      </w:tr>
    </w:tbl>
    <w:p>
      <w:pPr>
        <w:pStyle w:val="Heading1"/>
      </w:pPr>
      <w:r>
        <w:t>2. Brand foundations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0B3B75"/>
          </w:tcPr>
          <w:p>
            <w:r/>
            <w:r>
              <w:rPr>
                <w:b/>
                <w:color w:val="FFFFFF"/>
                <w:sz w:val="18"/>
              </w:rPr>
              <w:t>Element</w:t>
            </w:r>
          </w:p>
        </w:tc>
        <w:tc>
          <w:tcPr>
            <w:tcW w:type="dxa" w:w="5184"/>
            <w:vAlign w:val="center"/>
            <w:shd w:fill="0B3B75"/>
          </w:tcPr>
          <w:p>
            <w:r/>
            <w:r>
              <w:rPr>
                <w:b/>
                <w:color w:val="FFFFFF"/>
                <w:sz w:val="18"/>
              </w:rPr>
              <w:t>Standard</w:t>
            </w:r>
          </w:p>
        </w:tc>
      </w:tr>
      <w:tr>
        <w:tc>
          <w:tcPr>
            <w:tcW w:type="dxa" w:w="5184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Brand promise</w:t>
            </w:r>
          </w:p>
        </w:tc>
        <w:tc>
          <w:tcPr>
            <w:tcW w:type="dxa" w:w="5184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Growing stronger together through clear, enjoyable and connected coaching.</w:t>
            </w:r>
          </w:p>
        </w:tc>
      </w:tr>
      <w:tr>
        <w:tc>
          <w:tcPr>
            <w:tcW w:type="dxa" w:w="5184"/>
            <w:vAlign w:val="center"/>
            <w:shd w:fill="FFFFFF"/>
          </w:tcPr>
          <w:p>
            <w:r/>
            <w:r>
              <w:rPr>
                <w:b w:val="0"/>
                <w:sz w:val="17"/>
              </w:rPr>
              <w:t>Coach experience</w:t>
            </w:r>
          </w:p>
        </w:tc>
        <w:tc>
          <w:tcPr>
            <w:tcW w:type="dxa" w:w="5184"/>
            <w:vAlign w:val="center"/>
            <w:shd w:fill="FFFFFF"/>
          </w:tcPr>
          <w:p>
            <w:r/>
            <w:r>
              <w:rPr>
                <w:b w:val="0"/>
                <w:sz w:val="17"/>
              </w:rPr>
              <w:t>Practical, trustworthy, calm and efficient.</w:t>
            </w:r>
          </w:p>
        </w:tc>
      </w:tr>
      <w:tr>
        <w:tc>
          <w:tcPr>
            <w:tcW w:type="dxa" w:w="5184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Child experience</w:t>
            </w:r>
          </w:p>
        </w:tc>
        <w:tc>
          <w:tcPr>
            <w:tcW w:type="dxa" w:w="5184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Simple, encouraging, visual and achievable.</w:t>
            </w:r>
          </w:p>
        </w:tc>
      </w:tr>
      <w:tr>
        <w:tc>
          <w:tcPr>
            <w:tcW w:type="dxa" w:w="5184"/>
            <w:vAlign w:val="center"/>
            <w:shd w:fill="FFFFFF"/>
          </w:tcPr>
          <w:p>
            <w:r/>
            <w:r>
              <w:rPr>
                <w:b w:val="0"/>
                <w:sz w:val="17"/>
              </w:rPr>
              <w:t>Tone</w:t>
            </w:r>
          </w:p>
        </w:tc>
        <w:tc>
          <w:tcPr>
            <w:tcW w:type="dxa" w:w="5184"/>
            <w:vAlign w:val="center"/>
            <w:shd w:fill="FFFFFF"/>
          </w:tcPr>
          <w:p>
            <w:r/>
            <w:r>
              <w:rPr>
                <w:b w:val="0"/>
                <w:sz w:val="17"/>
              </w:rPr>
              <w:t>Active voice, short sentences, plain language, positive coaching language.</w:t>
            </w:r>
          </w:p>
        </w:tc>
      </w:tr>
      <w:tr>
        <w:tc>
          <w:tcPr>
            <w:tcW w:type="dxa" w:w="5184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Avoid</w:t>
            </w:r>
          </w:p>
        </w:tc>
        <w:tc>
          <w:tcPr>
            <w:tcW w:type="dxa" w:w="5184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Dense paragraphs, jargon, unexplained abbreviations, punitive language and visual clutter.</w:t>
            </w:r>
          </w:p>
        </w:tc>
      </w:tr>
    </w:tbl>
    <w:p>
      <w:pPr>
        <w:pStyle w:val="Heading1"/>
      </w:pPr>
      <w:r>
        <w:t>3. Logo system</w:t>
      </w:r>
    </w:p>
    <w:p>
      <w:r>
        <w:drawing>
          <wp:inline xmlns:a="http://schemas.openxmlformats.org/drawingml/2006/main" xmlns:pic="http://schemas.openxmlformats.org/drawingml/2006/picture">
            <wp:extent cx="2194560" cy="24865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raoi-logo.p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2486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Primary logo</w:t>
      </w:r>
    </w:p>
    <w:p>
      <w:r>
        <w:t>Use the full logo on document covers, exported PDFs, login pages, marketing pages and formal headers. Keep a clear area equal to the height of the letter “S” in Spraoi on all sides.</w:t>
      </w:r>
    </w:p>
    <w:p>
      <w:pPr>
        <w:pStyle w:val="Heading2"/>
      </w:pPr>
      <w:r>
        <w:t>Primary icon</w:t>
      </w:r>
    </w:p>
    <w:p>
      <w:r>
        <w:drawing>
          <wp:inline xmlns:a="http://schemas.openxmlformats.org/drawingml/2006/main" xmlns:pic="http://schemas.openxmlformats.org/drawingml/2006/picture">
            <wp:extent cx="1188720" cy="11887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raoi-ic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1188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Use the icon for app icons, compact navigation, favicons, badges, empty states and small card marks. Do not redraw, recolour, stretch, rotate or add effects.</w:t>
      </w:r>
    </w:p>
    <w:p>
      <w:pPr>
        <w:pStyle w:val="Heading2"/>
      </w:pPr>
      <w:r>
        <w:t>Minimum sizes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0B3B75"/>
          </w:tcPr>
          <w:p>
            <w:r/>
            <w:r>
              <w:rPr>
                <w:b/>
                <w:color w:val="FFFFFF"/>
                <w:sz w:val="18"/>
              </w:rPr>
              <w:t>Asset</w:t>
            </w:r>
          </w:p>
        </w:tc>
        <w:tc>
          <w:tcPr>
            <w:tcW w:type="dxa" w:w="3456"/>
            <w:vAlign w:val="center"/>
            <w:shd w:fill="0B3B75"/>
          </w:tcPr>
          <w:p>
            <w:r/>
            <w:r>
              <w:rPr>
                <w:b/>
                <w:color w:val="FFFFFF"/>
                <w:sz w:val="18"/>
              </w:rPr>
              <w:t>Digital</w:t>
            </w:r>
          </w:p>
        </w:tc>
        <w:tc>
          <w:tcPr>
            <w:tcW w:type="dxa" w:w="3456"/>
            <w:vAlign w:val="center"/>
            <w:shd w:fill="0B3B75"/>
          </w:tcPr>
          <w:p>
            <w:r/>
            <w:r>
              <w:rPr>
                <w:b/>
                <w:color w:val="FFFFFF"/>
                <w:sz w:val="18"/>
              </w:rPr>
              <w:t>Print</w:t>
            </w:r>
          </w:p>
        </w:tc>
      </w:tr>
      <w:tr>
        <w:tc>
          <w:tcPr>
            <w:tcW w:type="dxa" w:w="3456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Full logo</w:t>
            </w:r>
          </w:p>
        </w:tc>
        <w:tc>
          <w:tcPr>
            <w:tcW w:type="dxa" w:w="3456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120 px wide</w:t>
            </w:r>
          </w:p>
        </w:tc>
        <w:tc>
          <w:tcPr>
            <w:tcW w:type="dxa" w:w="3456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30 mm wide</w:t>
            </w:r>
          </w:p>
        </w:tc>
      </w:tr>
      <w:tr>
        <w:tc>
          <w:tcPr>
            <w:tcW w:type="dxa" w:w="3456"/>
            <w:vAlign w:val="center"/>
            <w:shd w:fill="FFFFFF"/>
          </w:tcPr>
          <w:p>
            <w:r/>
            <w:r>
              <w:rPr>
                <w:b w:val="0"/>
                <w:sz w:val="17"/>
              </w:rPr>
              <w:t>Icon</w:t>
            </w:r>
          </w:p>
        </w:tc>
        <w:tc>
          <w:tcPr>
            <w:tcW w:type="dxa" w:w="3456"/>
            <w:vAlign w:val="center"/>
            <w:shd w:fill="FFFFFF"/>
          </w:tcPr>
          <w:p>
            <w:r/>
            <w:r>
              <w:rPr>
                <w:b w:val="0"/>
                <w:sz w:val="17"/>
              </w:rPr>
              <w:t>24 px</w:t>
            </w:r>
          </w:p>
        </w:tc>
        <w:tc>
          <w:tcPr>
            <w:tcW w:type="dxa" w:w="3456"/>
            <w:vAlign w:val="center"/>
            <w:shd w:fill="FFFFFF"/>
          </w:tcPr>
          <w:p>
            <w:r/>
            <w:r>
              <w:rPr>
                <w:b w:val="0"/>
                <w:sz w:val="17"/>
              </w:rPr>
              <w:t>8 mm</w:t>
            </w:r>
          </w:p>
        </w:tc>
      </w:tr>
    </w:tbl>
    <w:p>
      <w:pPr>
        <w:pStyle w:val="Heading1"/>
      </w:pPr>
      <w:r>
        <w:t>4. Colour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0B3B75"/>
          </w:tcPr>
          <w:p>
            <w:r/>
            <w:r>
              <w:rPr>
                <w:b/>
                <w:color w:val="FFFFFF"/>
                <w:sz w:val="18"/>
              </w:rPr>
              <w:t>Token</w:t>
            </w:r>
          </w:p>
        </w:tc>
        <w:tc>
          <w:tcPr>
            <w:tcW w:type="dxa" w:w="3456"/>
            <w:vAlign w:val="center"/>
            <w:shd w:fill="0B3B75"/>
          </w:tcPr>
          <w:p>
            <w:r/>
            <w:r>
              <w:rPr>
                <w:b/>
                <w:color w:val="FFFFFF"/>
                <w:sz w:val="18"/>
              </w:rPr>
              <w:t>HEX</w:t>
            </w:r>
          </w:p>
        </w:tc>
        <w:tc>
          <w:tcPr>
            <w:tcW w:type="dxa" w:w="3456"/>
            <w:vAlign w:val="center"/>
            <w:shd w:fill="0B3B75"/>
          </w:tcPr>
          <w:p>
            <w:r/>
            <w:r>
              <w:rPr>
                <w:b/>
                <w:color w:val="FFFFFF"/>
                <w:sz w:val="18"/>
              </w:rPr>
              <w:t>Primary use</w:t>
            </w:r>
          </w:p>
        </w:tc>
      </w:tr>
      <w:tr>
        <w:tc>
          <w:tcPr>
            <w:tcW w:type="dxa" w:w="3456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Brand Navy</w:t>
            </w:r>
          </w:p>
        </w:tc>
        <w:tc>
          <w:tcPr>
            <w:tcW w:type="dxa" w:w="3456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#0B3B75</w:t>
            </w:r>
          </w:p>
        </w:tc>
        <w:tc>
          <w:tcPr>
            <w:tcW w:type="dxa" w:w="3456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Primary navigation, headings, footer, trustworthy actions</w:t>
            </w:r>
          </w:p>
        </w:tc>
      </w:tr>
      <w:tr>
        <w:tc>
          <w:tcPr>
            <w:tcW w:type="dxa" w:w="3456"/>
            <w:vAlign w:val="center"/>
            <w:shd w:fill="FFFFFF"/>
          </w:tcPr>
          <w:p>
            <w:r/>
            <w:r>
              <w:rPr>
                <w:b w:val="0"/>
                <w:sz w:val="17"/>
              </w:rPr>
              <w:t>Brand Blue</w:t>
            </w:r>
          </w:p>
        </w:tc>
        <w:tc>
          <w:tcPr>
            <w:tcW w:type="dxa" w:w="3456"/>
            <w:vAlign w:val="center"/>
            <w:shd w:fill="FFFFFF"/>
          </w:tcPr>
          <w:p>
            <w:r/>
            <w:r>
              <w:rPr>
                <w:b w:val="0"/>
                <w:sz w:val="17"/>
              </w:rPr>
              <w:t>#149FE3</w:t>
            </w:r>
          </w:p>
        </w:tc>
        <w:tc>
          <w:tcPr>
            <w:tcW w:type="dxa" w:w="3456"/>
            <w:vAlign w:val="center"/>
            <w:shd w:fill="FFFFFF"/>
          </w:tcPr>
          <w:p>
            <w:r/>
            <w:r>
              <w:rPr>
                <w:b w:val="0"/>
                <w:sz w:val="17"/>
              </w:rPr>
              <w:t>Links, selected states, informational accents</w:t>
            </w:r>
          </w:p>
        </w:tc>
      </w:tr>
      <w:tr>
        <w:tc>
          <w:tcPr>
            <w:tcW w:type="dxa" w:w="3456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Leaf Green</w:t>
            </w:r>
          </w:p>
        </w:tc>
        <w:tc>
          <w:tcPr>
            <w:tcW w:type="dxa" w:w="3456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#3AAA35</w:t>
            </w:r>
          </w:p>
        </w:tc>
        <w:tc>
          <w:tcPr>
            <w:tcW w:type="dxa" w:w="3456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Success, foundation, positive progress</w:t>
            </w:r>
          </w:p>
        </w:tc>
      </w:tr>
      <w:tr>
        <w:tc>
          <w:tcPr>
            <w:tcW w:type="dxa" w:w="3456"/>
            <w:vAlign w:val="center"/>
            <w:shd w:fill="FFFFFF"/>
          </w:tcPr>
          <w:p>
            <w:r/>
            <w:r>
              <w:rPr>
                <w:b w:val="0"/>
                <w:sz w:val="17"/>
              </w:rPr>
              <w:t>Leaf Orange</w:t>
            </w:r>
          </w:p>
        </w:tc>
        <w:tc>
          <w:tcPr>
            <w:tcW w:type="dxa" w:w="3456"/>
            <w:vAlign w:val="center"/>
            <w:shd w:fill="FFFFFF"/>
          </w:tcPr>
          <w:p>
            <w:r/>
            <w:r>
              <w:rPr>
                <w:b w:val="0"/>
                <w:sz w:val="17"/>
              </w:rPr>
              <w:t>#FF7A00</w:t>
            </w:r>
          </w:p>
        </w:tc>
        <w:tc>
          <w:tcPr>
            <w:tcW w:type="dxa" w:w="3456"/>
            <w:vAlign w:val="center"/>
            <w:shd w:fill="FFFFFF"/>
          </w:tcPr>
          <w:p>
            <w:r/>
            <w:r>
              <w:rPr>
                <w:b w:val="0"/>
                <w:sz w:val="17"/>
              </w:rPr>
              <w:t>Athletic activity and energetic accents</w:t>
            </w:r>
          </w:p>
        </w:tc>
      </w:tr>
      <w:tr>
        <w:tc>
          <w:tcPr>
            <w:tcW w:type="dxa" w:w="3456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Leaf Red</w:t>
            </w:r>
          </w:p>
        </w:tc>
        <w:tc>
          <w:tcPr>
            <w:tcW w:type="dxa" w:w="3456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#F02A22</w:t>
            </w:r>
          </w:p>
        </w:tc>
        <w:tc>
          <w:tcPr>
            <w:tcW w:type="dxa" w:w="3456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Important actions and challenge emphasis</w:t>
            </w:r>
          </w:p>
        </w:tc>
      </w:tr>
      <w:tr>
        <w:tc>
          <w:tcPr>
            <w:tcW w:type="dxa" w:w="3456"/>
            <w:vAlign w:val="center"/>
            <w:shd w:fill="FFFFFF"/>
          </w:tcPr>
          <w:p>
            <w:r/>
            <w:r>
              <w:rPr>
                <w:b w:val="0"/>
                <w:sz w:val="17"/>
              </w:rPr>
              <w:t>Leaf Purple</w:t>
            </w:r>
          </w:p>
        </w:tc>
        <w:tc>
          <w:tcPr>
            <w:tcW w:type="dxa" w:w="3456"/>
            <w:vAlign w:val="center"/>
            <w:shd w:fill="FFFFFF"/>
          </w:tcPr>
          <w:p>
            <w:r/>
            <w:r>
              <w:rPr>
                <w:b w:val="0"/>
                <w:sz w:val="17"/>
              </w:rPr>
              <w:t>#7A1FA2</w:t>
            </w:r>
          </w:p>
        </w:tc>
        <w:tc>
          <w:tcPr>
            <w:tcW w:type="dxa" w:w="3456"/>
            <w:vAlign w:val="center"/>
            <w:shd w:fill="FFFFFF"/>
          </w:tcPr>
          <w:p>
            <w:r/>
            <w:r>
              <w:rPr>
                <w:b w:val="0"/>
                <w:sz w:val="17"/>
              </w:rPr>
              <w:t>Advanced progression and secondary accents</w:t>
            </w:r>
          </w:p>
        </w:tc>
      </w:tr>
      <w:tr>
        <w:tc>
          <w:tcPr>
            <w:tcW w:type="dxa" w:w="3456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Leaf Gold</w:t>
            </w:r>
          </w:p>
        </w:tc>
        <w:tc>
          <w:tcPr>
            <w:tcW w:type="dxa" w:w="3456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#FFB800</w:t>
            </w:r>
          </w:p>
        </w:tc>
        <w:tc>
          <w:tcPr>
            <w:tcW w:type="dxa" w:w="3456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Rewards, highlights and attention</w:t>
            </w:r>
          </w:p>
        </w:tc>
      </w:tr>
      <w:tr>
        <w:tc>
          <w:tcPr>
            <w:tcW w:type="dxa" w:w="3456"/>
            <w:vAlign w:val="center"/>
            <w:shd w:fill="FFFFFF"/>
          </w:tcPr>
          <w:p>
            <w:r/>
            <w:r>
              <w:rPr>
                <w:b w:val="0"/>
                <w:sz w:val="17"/>
              </w:rPr>
              <w:t>Surface White</w:t>
            </w:r>
          </w:p>
        </w:tc>
        <w:tc>
          <w:tcPr>
            <w:tcW w:type="dxa" w:w="3456"/>
            <w:vAlign w:val="center"/>
            <w:shd w:fill="FFFFFF"/>
          </w:tcPr>
          <w:p>
            <w:r/>
            <w:r>
              <w:rPr>
                <w:b w:val="0"/>
                <w:sz w:val="17"/>
              </w:rPr>
              <w:t>#FFFFFF</w:t>
            </w:r>
          </w:p>
        </w:tc>
        <w:tc>
          <w:tcPr>
            <w:tcW w:type="dxa" w:w="3456"/>
            <w:vAlign w:val="center"/>
            <w:shd w:fill="FFFFFF"/>
          </w:tcPr>
          <w:p>
            <w:r/>
            <w:r>
              <w:rPr>
                <w:b w:val="0"/>
                <w:sz w:val="17"/>
              </w:rPr>
              <w:t>Primary background</w:t>
            </w:r>
          </w:p>
        </w:tc>
      </w:tr>
      <w:tr>
        <w:tc>
          <w:tcPr>
            <w:tcW w:type="dxa" w:w="3456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Surface Light</w:t>
            </w:r>
          </w:p>
        </w:tc>
        <w:tc>
          <w:tcPr>
            <w:tcW w:type="dxa" w:w="3456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#F4F8FB</w:t>
            </w:r>
          </w:p>
        </w:tc>
        <w:tc>
          <w:tcPr>
            <w:tcW w:type="dxa" w:w="3456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Cards and grouped panels</w:t>
            </w:r>
          </w:p>
        </w:tc>
      </w:tr>
      <w:tr>
        <w:tc>
          <w:tcPr>
            <w:tcW w:type="dxa" w:w="3456"/>
            <w:vAlign w:val="center"/>
            <w:shd w:fill="FFFFFF"/>
          </w:tcPr>
          <w:p>
            <w:r/>
            <w:r>
              <w:rPr>
                <w:b w:val="0"/>
                <w:sz w:val="17"/>
              </w:rPr>
              <w:t>Text Dark</w:t>
            </w:r>
          </w:p>
        </w:tc>
        <w:tc>
          <w:tcPr>
            <w:tcW w:type="dxa" w:w="3456"/>
            <w:vAlign w:val="center"/>
            <w:shd w:fill="FFFFFF"/>
          </w:tcPr>
          <w:p>
            <w:r/>
            <w:r>
              <w:rPr>
                <w:b w:val="0"/>
                <w:sz w:val="17"/>
              </w:rPr>
              <w:t>#18324A</w:t>
            </w:r>
          </w:p>
        </w:tc>
        <w:tc>
          <w:tcPr>
            <w:tcW w:type="dxa" w:w="3456"/>
            <w:vAlign w:val="center"/>
            <w:shd w:fill="FFFFFF"/>
          </w:tcPr>
          <w:p>
            <w:r/>
            <w:r>
              <w:rPr>
                <w:b w:val="0"/>
                <w:sz w:val="17"/>
              </w:rPr>
              <w:t>Body text</w:t>
            </w:r>
          </w:p>
        </w:tc>
      </w:tr>
    </w:tbl>
    <w:p>
      <w:r>
        <w:t>Primary UI colour is Brand Navy/Blue. Red is not the dominant interface colour. Leaf colours are accents and must not compete with the primary hierarchy.</w:t>
      </w:r>
    </w:p>
    <w:p>
      <w:pPr>
        <w:pStyle w:val="Heading1"/>
      </w:pPr>
      <w:r>
        <w:t>5. Typography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0B3B75"/>
          </w:tcPr>
          <w:p>
            <w:r/>
            <w:r>
              <w:rPr>
                <w:b/>
                <w:color w:val="FFFFFF"/>
                <w:sz w:val="18"/>
              </w:rPr>
              <w:t>Use</w:t>
            </w:r>
          </w:p>
        </w:tc>
        <w:tc>
          <w:tcPr>
            <w:tcW w:type="dxa" w:w="5184"/>
            <w:vAlign w:val="center"/>
            <w:shd w:fill="0B3B75"/>
          </w:tcPr>
          <w:p>
            <w:r/>
            <w:r>
              <w:rPr>
                <w:b/>
                <w:color w:val="FFFFFF"/>
                <w:sz w:val="18"/>
              </w:rPr>
              <w:t>Standard</w:t>
            </w:r>
          </w:p>
        </w:tc>
      </w:tr>
      <w:tr>
        <w:tc>
          <w:tcPr>
            <w:tcW w:type="dxa" w:w="5184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Interface and documents</w:t>
            </w:r>
          </w:p>
        </w:tc>
        <w:tc>
          <w:tcPr>
            <w:tcW w:type="dxa" w:w="5184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Aptos / system sans-serif fallback</w:t>
            </w:r>
          </w:p>
        </w:tc>
      </w:tr>
      <w:tr>
        <w:tc>
          <w:tcPr>
            <w:tcW w:type="dxa" w:w="5184"/>
            <w:vAlign w:val="center"/>
            <w:shd w:fill="FFFFFF"/>
          </w:tcPr>
          <w:p>
            <w:r/>
            <w:r>
              <w:rPr>
                <w:b w:val="0"/>
                <w:sz w:val="17"/>
              </w:rPr>
              <w:t>Large headings</w:t>
            </w:r>
          </w:p>
        </w:tc>
        <w:tc>
          <w:tcPr>
            <w:tcW w:type="dxa" w:w="5184"/>
            <w:vAlign w:val="center"/>
            <w:shd w:fill="FFFFFF"/>
          </w:tcPr>
          <w:p>
            <w:r/>
            <w:r>
              <w:rPr>
                <w:b w:val="0"/>
                <w:sz w:val="17"/>
              </w:rPr>
              <w:t>Bold, sentence case</w:t>
            </w:r>
          </w:p>
        </w:tc>
      </w:tr>
      <w:tr>
        <w:tc>
          <w:tcPr>
            <w:tcW w:type="dxa" w:w="5184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Card titles</w:t>
            </w:r>
          </w:p>
        </w:tc>
        <w:tc>
          <w:tcPr>
            <w:tcW w:type="dxa" w:w="5184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Bold, maximum two lines</w:t>
            </w:r>
          </w:p>
        </w:tc>
      </w:tr>
      <w:tr>
        <w:tc>
          <w:tcPr>
            <w:tcW w:type="dxa" w:w="5184"/>
            <w:vAlign w:val="center"/>
            <w:shd w:fill="FFFFFF"/>
          </w:tcPr>
          <w:p>
            <w:r/>
            <w:r>
              <w:rPr>
                <w:b w:val="0"/>
                <w:sz w:val="17"/>
              </w:rPr>
              <w:t>Body</w:t>
            </w:r>
          </w:p>
        </w:tc>
        <w:tc>
          <w:tcPr>
            <w:tcW w:type="dxa" w:w="5184"/>
            <w:vAlign w:val="center"/>
            <w:shd w:fill="FFFFFF"/>
          </w:tcPr>
          <w:p>
            <w:r/>
            <w:r>
              <w:rPr>
                <w:b w:val="0"/>
                <w:sz w:val="17"/>
              </w:rPr>
              <w:t>9-16 pt depending on output</w:t>
            </w:r>
          </w:p>
        </w:tc>
      </w:tr>
      <w:tr>
        <w:tc>
          <w:tcPr>
            <w:tcW w:type="dxa" w:w="5184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Child challenge targets</w:t>
            </w:r>
          </w:p>
        </w:tc>
        <w:tc>
          <w:tcPr>
            <w:tcW w:type="dxa" w:w="5184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Large numeric emphasis</w:t>
            </w:r>
          </w:p>
        </w:tc>
      </w:tr>
      <w:tr>
        <w:tc>
          <w:tcPr>
            <w:tcW w:type="dxa" w:w="5184"/>
            <w:vAlign w:val="center"/>
            <w:shd w:fill="FFFFFF"/>
          </w:tcPr>
          <w:p>
            <w:r/>
            <w:r>
              <w:rPr>
                <w:b w:val="0"/>
                <w:sz w:val="17"/>
              </w:rPr>
              <w:t>Capitalisation</w:t>
            </w:r>
          </w:p>
        </w:tc>
        <w:tc>
          <w:tcPr>
            <w:tcW w:type="dxa" w:w="5184"/>
            <w:vAlign w:val="center"/>
            <w:shd w:fill="FFFFFF"/>
          </w:tcPr>
          <w:p>
            <w:r/>
            <w:r>
              <w:rPr>
                <w:b w:val="0"/>
                <w:sz w:val="17"/>
              </w:rPr>
              <w:t>Sentence case except compact labels such as U9 or PDF</w:t>
            </w:r>
          </w:p>
        </w:tc>
      </w:tr>
    </w:tbl>
    <w:p>
      <w:pPr>
        <w:pStyle w:val="Heading1"/>
      </w:pPr>
      <w:r>
        <w:t>6. Layout and component rules</w:t>
      </w:r>
    </w:p>
    <w:p>
      <w:pPr>
        <w:pStyle w:val="ListBullet"/>
      </w:pPr>
      <w:r>
        <w:t>White or very light backgrounds with generous spacing.</w:t>
      </w:r>
    </w:p>
    <w:p>
      <w:pPr>
        <w:pStyle w:val="ListBullet"/>
      </w:pPr>
      <w:r>
        <w:t>Rounded cards with subtle borders; avoid heavy shadows.</w:t>
      </w:r>
    </w:p>
    <w:p>
      <w:pPr>
        <w:pStyle w:val="ListBullet"/>
      </w:pPr>
      <w:r>
        <w:t>Use icons to support labels, never replace essential text.</w:t>
      </w:r>
    </w:p>
    <w:p>
      <w:pPr>
        <w:pStyle w:val="ListBullet"/>
      </w:pPr>
      <w:r>
        <w:t>Keep a single dominant action per screen or card.</w:t>
      </w:r>
    </w:p>
    <w:p>
      <w:pPr>
        <w:pStyle w:val="ListBullet"/>
      </w:pPr>
      <w:r>
        <w:t>Coach pages may be information-dense but must remain scannable.</w:t>
      </w:r>
    </w:p>
    <w:p>
      <w:pPr>
        <w:pStyle w:val="ListBullet"/>
      </w:pPr>
      <w:r>
        <w:t>Child pages must show one clear challenge and one clear action.</w:t>
      </w:r>
    </w:p>
    <w:p>
      <w:pPr>
        <w:pStyle w:val="Heading1"/>
      </w:pPr>
      <w:r>
        <w:t>7. Coach library experience</w:t>
      </w:r>
    </w:p>
    <w:p>
      <w:r>
        <w:t>Selecting a Skill opens a skill hub. Coaches see multiple activity cards linked to that Skill and may filter by age, difficulty, format, duration, players, equipment, area and indoor/outdoor suitability.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0B3B75"/>
          </w:tcPr>
          <w:p>
            <w:r/>
            <w:r>
              <w:rPr>
                <w:b/>
                <w:color w:val="FFFFFF"/>
                <w:sz w:val="18"/>
              </w:rPr>
              <w:t>Activity preview card must show</w:t>
            </w:r>
          </w:p>
        </w:tc>
        <w:tc>
          <w:tcPr>
            <w:tcW w:type="dxa" w:w="5184"/>
            <w:vAlign w:val="center"/>
            <w:shd w:fill="0B3B75"/>
          </w:tcPr>
          <w:p>
            <w:r/>
            <w:r>
              <w:rPr>
                <w:b/>
                <w:color w:val="FFFFFF"/>
                <w:sz w:val="18"/>
              </w:rPr>
              <w:t>Full activity view additionally shows</w:t>
            </w:r>
          </w:p>
        </w:tc>
      </w:tr>
      <w:tr>
        <w:tc>
          <w:tcPr>
            <w:tcW w:type="dxa" w:w="5184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Title, diagram preview, age, difficulty, duration, players</w:t>
            </w:r>
          </w:p>
        </w:tc>
        <w:tc>
          <w:tcPr>
            <w:tcW w:type="dxa" w:w="5184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Objective, setup, how to run, coaching points</w:t>
            </w:r>
          </w:p>
        </w:tc>
      </w:tr>
      <w:tr>
        <w:tc>
          <w:tcPr>
            <w:tcW w:type="dxa" w:w="5184"/>
            <w:vAlign w:val="center"/>
            <w:shd w:fill="FFFFFF"/>
          </w:tcPr>
          <w:p>
            <w:r/>
            <w:r>
              <w:rPr>
                <w:b w:val="0"/>
                <w:sz w:val="17"/>
              </w:rPr>
              <w:t>Primary Skill and format</w:t>
            </w:r>
          </w:p>
        </w:tc>
        <w:tc>
          <w:tcPr>
            <w:tcW w:type="dxa" w:w="5184"/>
            <w:vAlign w:val="center"/>
            <w:shd w:fill="FFFFFF"/>
          </w:tcPr>
          <w:p>
            <w:r/>
            <w:r>
              <w:rPr>
                <w:b w:val="0"/>
                <w:sz w:val="17"/>
              </w:rPr>
              <w:t>Easier/harder adaptations, equipment, safety</w:t>
            </w:r>
          </w:p>
        </w:tc>
      </w:tr>
      <w:tr>
        <w:tc>
          <w:tcPr>
            <w:tcW w:type="dxa" w:w="5184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Add to Session and Favourite</w:t>
            </w:r>
          </w:p>
        </w:tc>
        <w:tc>
          <w:tcPr>
            <w:tcW w:type="dxa" w:w="5184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QR/video link, version and copyright</w:t>
            </w:r>
          </w:p>
        </w:tc>
      </w:tr>
    </w:tbl>
    <w:p>
      <w:pPr>
        <w:pStyle w:val="Heading1"/>
      </w:pPr>
      <w:r>
        <w:t>8. Journey child experience</w:t>
      </w:r>
    </w:p>
    <w:p>
      <w:r>
        <w:t>Children never browse the coach drill library. The weekly plan surfaces one child-friendly Challenge for each selected sport focus, plus an optional athletic task. A challenge explains what the skill is, how to do it safely, the measurable target and an encouraging top tip.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0B3B75"/>
          </w:tcPr>
          <w:p>
            <w:r/>
            <w:r>
              <w:rPr>
                <w:b/>
                <w:color w:val="FFFFFF"/>
                <w:sz w:val="18"/>
              </w:rPr>
              <w:t>Challenge screen section</w:t>
            </w:r>
          </w:p>
        </w:tc>
        <w:tc>
          <w:tcPr>
            <w:tcW w:type="dxa" w:w="5184"/>
            <w:vAlign w:val="center"/>
            <w:shd w:fill="0B3B75"/>
          </w:tcPr>
          <w:p>
            <w:r/>
            <w:r>
              <w:rPr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5184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This week’s skill</w:t>
            </w:r>
          </w:p>
        </w:tc>
        <w:tc>
          <w:tcPr>
            <w:tcW w:type="dxa" w:w="5184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Skill name and simple one-sentence explanation</w:t>
            </w:r>
          </w:p>
        </w:tc>
      </w:tr>
      <w:tr>
        <w:tc>
          <w:tcPr>
            <w:tcW w:type="dxa" w:w="5184"/>
            <w:vAlign w:val="center"/>
            <w:shd w:fill="FFFFFF"/>
          </w:tcPr>
          <w:p>
            <w:r/>
            <w:r>
              <w:rPr>
                <w:b w:val="0"/>
                <w:sz w:val="17"/>
              </w:rPr>
              <w:t>How to do it</w:t>
            </w:r>
          </w:p>
        </w:tc>
        <w:tc>
          <w:tcPr>
            <w:tcW w:type="dxa" w:w="5184"/>
            <w:vAlign w:val="center"/>
            <w:shd w:fill="FFFFFF"/>
          </w:tcPr>
          <w:p>
            <w:r/>
            <w:r>
              <w:rPr>
                <w:b w:val="0"/>
                <w:sz w:val="17"/>
              </w:rPr>
              <w:t>Three to five short illustrated steps</w:t>
            </w:r>
          </w:p>
        </w:tc>
      </w:tr>
      <w:tr>
        <w:tc>
          <w:tcPr>
            <w:tcW w:type="dxa" w:w="5184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Target</w:t>
            </w:r>
          </w:p>
        </w:tc>
        <w:tc>
          <w:tcPr>
            <w:tcW w:type="dxa" w:w="5184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Specific and measurable</w:t>
            </w:r>
          </w:p>
        </w:tc>
      </w:tr>
      <w:tr>
        <w:tc>
          <w:tcPr>
            <w:tcW w:type="dxa" w:w="5184"/>
            <w:vAlign w:val="center"/>
            <w:shd w:fill="FFFFFF"/>
          </w:tcPr>
          <w:p>
            <w:r/>
            <w:r>
              <w:rPr>
                <w:b w:val="0"/>
                <w:sz w:val="17"/>
              </w:rPr>
              <w:t>Video</w:t>
            </w:r>
          </w:p>
        </w:tc>
        <w:tc>
          <w:tcPr>
            <w:tcW w:type="dxa" w:w="5184"/>
            <w:vAlign w:val="center"/>
            <w:shd w:fill="FFFFFF"/>
          </w:tcPr>
          <w:p>
            <w:r/>
            <w:r>
              <w:rPr>
                <w:b w:val="0"/>
                <w:sz w:val="17"/>
              </w:rPr>
              <w:t>Optional player-facing demonstration</w:t>
            </w:r>
          </w:p>
        </w:tc>
      </w:tr>
      <w:tr>
        <w:tc>
          <w:tcPr>
            <w:tcW w:type="dxa" w:w="5184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Action</w:t>
            </w:r>
          </w:p>
        </w:tc>
        <w:tc>
          <w:tcPr>
            <w:tcW w:type="dxa" w:w="5184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Start / mark complete</w:t>
            </w:r>
          </w:p>
        </w:tc>
      </w:tr>
      <w:tr>
        <w:tc>
          <w:tcPr>
            <w:tcW w:type="dxa" w:w="5184"/>
            <w:vAlign w:val="center"/>
            <w:shd w:fill="FFFFFF"/>
          </w:tcPr>
          <w:p>
            <w:r/>
            <w:r>
              <w:rPr>
                <w:b w:val="0"/>
                <w:sz w:val="17"/>
              </w:rPr>
              <w:t>Limit</w:t>
            </w:r>
          </w:p>
        </w:tc>
        <w:tc>
          <w:tcPr>
            <w:tcW w:type="dxa" w:w="5184"/>
            <w:vAlign w:val="center"/>
            <w:shd w:fill="FFFFFF"/>
          </w:tcPr>
          <w:p>
            <w:r/>
            <w:r>
              <w:rPr>
                <w:b w:val="0"/>
                <w:sz w:val="17"/>
              </w:rPr>
              <w:t>No more than three weekly tasks total</w:t>
            </w:r>
          </w:p>
        </w:tc>
      </w:tr>
    </w:tbl>
    <w:p>
      <w:pPr>
        <w:pStyle w:val="Heading1"/>
      </w:pPr>
      <w:r>
        <w:t>9. Coaching card standard</w:t>
      </w:r>
    </w:p>
    <w:p>
      <w:pPr>
        <w:pStyle w:val="ListNumber"/>
      </w:pPr>
      <w:r>
        <w:t>Full approved logo or compact logo treatment.</w:t>
      </w:r>
    </w:p>
    <w:p>
      <w:pPr>
        <w:pStyle w:val="ListNumber"/>
      </w:pPr>
      <w:r>
        <w:t>Activity ID and version.</w:t>
      </w:r>
    </w:p>
    <w:p>
      <w:pPr>
        <w:pStyle w:val="ListNumber"/>
      </w:pPr>
      <w:r>
        <w:t>Activity title and metadata badges.</w:t>
      </w:r>
    </w:p>
    <w:p>
      <w:pPr>
        <w:pStyle w:val="ListNumber"/>
      </w:pPr>
      <w:r>
        <w:t>Large diagram area.</w:t>
      </w:r>
    </w:p>
    <w:p>
      <w:pPr>
        <w:pStyle w:val="ListNumber"/>
      </w:pPr>
      <w:r>
        <w:t>Objective and setup.</w:t>
      </w:r>
    </w:p>
    <w:p>
      <w:pPr>
        <w:pStyle w:val="ListNumber"/>
      </w:pPr>
      <w:r>
        <w:t>How to run.</w:t>
      </w:r>
    </w:p>
    <w:p>
      <w:pPr>
        <w:pStyle w:val="ListNumber"/>
      </w:pPr>
      <w:r>
        <w:t>Coaching points.</w:t>
      </w:r>
    </w:p>
    <w:p>
      <w:pPr>
        <w:pStyle w:val="ListNumber"/>
      </w:pPr>
      <w:r>
        <w:t>Easier and harder adaptations.</w:t>
      </w:r>
    </w:p>
    <w:p>
      <w:pPr>
        <w:pStyle w:val="ListNumber"/>
      </w:pPr>
      <w:r>
        <w:t>Equipment and safety.</w:t>
      </w:r>
    </w:p>
    <w:p>
      <w:pPr>
        <w:pStyle w:val="ListNumber"/>
      </w:pPr>
      <w:r>
        <w:t>QR placeholder, website and copyright footer.</w:t>
      </w:r>
    </w:p>
    <w:p>
      <w:pPr>
        <w:pStyle w:val="Heading1"/>
      </w:pPr>
      <w:r>
        <w:t>10. Diagram design language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0B3B75"/>
          </w:tcPr>
          <w:p>
            <w:r/>
            <w:r>
              <w:rPr>
                <w:b/>
                <w:color w:val="FFFFFF"/>
                <w:sz w:val="18"/>
              </w:rPr>
              <w:t>Element</w:t>
            </w:r>
          </w:p>
        </w:tc>
        <w:tc>
          <w:tcPr>
            <w:tcW w:type="dxa" w:w="5184"/>
            <w:vAlign w:val="center"/>
            <w:shd w:fill="0B3B75"/>
          </w:tcPr>
          <w:p>
            <w:r/>
            <w:r>
              <w:rPr>
                <w:b/>
                <w:color w:val="FFFFFF"/>
                <w:sz w:val="18"/>
              </w:rPr>
              <w:t>Standard</w:t>
            </w:r>
          </w:p>
        </w:tc>
      </w:tr>
      <w:tr>
        <w:tc>
          <w:tcPr>
            <w:tcW w:type="dxa" w:w="5184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Pitch/area</w:t>
            </w:r>
          </w:p>
        </w:tc>
        <w:tc>
          <w:tcPr>
            <w:tcW w:type="dxa" w:w="5184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Top-down simplified surface with clear boundary</w:t>
            </w:r>
          </w:p>
        </w:tc>
      </w:tr>
      <w:tr>
        <w:tc>
          <w:tcPr>
            <w:tcW w:type="dxa" w:w="5184"/>
            <w:vAlign w:val="center"/>
            <w:shd w:fill="FFFFFF"/>
          </w:tcPr>
          <w:p>
            <w:r/>
            <w:r>
              <w:rPr>
                <w:b w:val="0"/>
                <w:sz w:val="17"/>
              </w:rPr>
              <w:t>Team A</w:t>
            </w:r>
          </w:p>
        </w:tc>
        <w:tc>
          <w:tcPr>
            <w:tcW w:type="dxa" w:w="5184"/>
            <w:vAlign w:val="center"/>
            <w:shd w:fill="FFFFFF"/>
          </w:tcPr>
          <w:p>
            <w:r/>
            <w:r>
              <w:rPr>
                <w:b w:val="0"/>
                <w:sz w:val="17"/>
              </w:rPr>
              <w:t>Red player marker</w:t>
            </w:r>
          </w:p>
        </w:tc>
      </w:tr>
      <w:tr>
        <w:tc>
          <w:tcPr>
            <w:tcW w:type="dxa" w:w="5184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Team B</w:t>
            </w:r>
          </w:p>
        </w:tc>
        <w:tc>
          <w:tcPr>
            <w:tcW w:type="dxa" w:w="5184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Blue player marker</w:t>
            </w:r>
          </w:p>
        </w:tc>
      </w:tr>
      <w:tr>
        <w:tc>
          <w:tcPr>
            <w:tcW w:type="dxa" w:w="5184"/>
            <w:vAlign w:val="center"/>
            <w:shd w:fill="FFFFFF"/>
          </w:tcPr>
          <w:p>
            <w:r/>
            <w:r>
              <w:rPr>
                <w:b w:val="0"/>
                <w:sz w:val="17"/>
              </w:rPr>
              <w:t>Coach</w:t>
            </w:r>
          </w:p>
        </w:tc>
        <w:tc>
          <w:tcPr>
            <w:tcW w:type="dxa" w:w="5184"/>
            <w:vAlign w:val="center"/>
            <w:shd w:fill="FFFFFF"/>
          </w:tcPr>
          <w:p>
            <w:r/>
            <w:r>
              <w:rPr>
                <w:b w:val="0"/>
                <w:sz w:val="17"/>
              </w:rPr>
              <w:t>Dark navy/black coach marker</w:t>
            </w:r>
          </w:p>
        </w:tc>
      </w:tr>
      <w:tr>
        <w:tc>
          <w:tcPr>
            <w:tcW w:type="dxa" w:w="5184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Cone</w:t>
            </w:r>
          </w:p>
        </w:tc>
        <w:tc>
          <w:tcPr>
            <w:tcW w:type="dxa" w:w="5184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Orange cone</w:t>
            </w:r>
          </w:p>
        </w:tc>
      </w:tr>
      <w:tr>
        <w:tc>
          <w:tcPr>
            <w:tcW w:type="dxa" w:w="5184"/>
            <w:vAlign w:val="center"/>
            <w:shd w:fill="FFFFFF"/>
          </w:tcPr>
          <w:p>
            <w:r/>
            <w:r>
              <w:rPr>
                <w:b w:val="0"/>
                <w:sz w:val="17"/>
              </w:rPr>
              <w:t>Ball/sliotar</w:t>
            </w:r>
          </w:p>
        </w:tc>
        <w:tc>
          <w:tcPr>
            <w:tcW w:type="dxa" w:w="5184"/>
            <w:vAlign w:val="center"/>
            <w:shd w:fill="FFFFFF"/>
          </w:tcPr>
          <w:p>
            <w:r/>
            <w:r>
              <w:rPr>
                <w:b w:val="0"/>
                <w:sz w:val="17"/>
              </w:rPr>
              <w:t>White ball marker with dark outline</w:t>
            </w:r>
          </w:p>
        </w:tc>
      </w:tr>
      <w:tr>
        <w:tc>
          <w:tcPr>
            <w:tcW w:type="dxa" w:w="5184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Run</w:t>
            </w:r>
          </w:p>
        </w:tc>
        <w:tc>
          <w:tcPr>
            <w:tcW w:type="dxa" w:w="5184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Solid arrow</w:t>
            </w:r>
          </w:p>
        </w:tc>
      </w:tr>
      <w:tr>
        <w:tc>
          <w:tcPr>
            <w:tcW w:type="dxa" w:w="5184"/>
            <w:vAlign w:val="center"/>
            <w:shd w:fill="FFFFFF"/>
          </w:tcPr>
          <w:p>
            <w:r/>
            <w:r>
              <w:rPr>
                <w:b w:val="0"/>
                <w:sz w:val="17"/>
              </w:rPr>
              <w:t>Pass/strike</w:t>
            </w:r>
          </w:p>
        </w:tc>
        <w:tc>
          <w:tcPr>
            <w:tcW w:type="dxa" w:w="5184"/>
            <w:vAlign w:val="center"/>
            <w:shd w:fill="FFFFFF"/>
          </w:tcPr>
          <w:p>
            <w:r/>
            <w:r>
              <w:rPr>
                <w:b w:val="0"/>
                <w:sz w:val="17"/>
              </w:rPr>
              <w:t>Dashed arrow</w:t>
            </w:r>
          </w:p>
        </w:tc>
      </w:tr>
      <w:tr>
        <w:tc>
          <w:tcPr>
            <w:tcW w:type="dxa" w:w="5184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Carry/solo</w:t>
            </w:r>
          </w:p>
        </w:tc>
        <w:tc>
          <w:tcPr>
            <w:tcW w:type="dxa" w:w="5184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Wavy or segmented arrow</w:t>
            </w:r>
          </w:p>
        </w:tc>
      </w:tr>
      <w:tr>
        <w:tc>
          <w:tcPr>
            <w:tcW w:type="dxa" w:w="5184"/>
            <w:vAlign w:val="center"/>
            <w:shd w:fill="FFFFFF"/>
          </w:tcPr>
          <w:p>
            <w:r/>
            <w:r>
              <w:rPr>
                <w:b w:val="0"/>
                <w:sz w:val="17"/>
              </w:rPr>
              <w:t>Sequence</w:t>
            </w:r>
          </w:p>
        </w:tc>
        <w:tc>
          <w:tcPr>
            <w:tcW w:type="dxa" w:w="5184"/>
            <w:vAlign w:val="center"/>
            <w:shd w:fill="FFFFFF"/>
          </w:tcPr>
          <w:p>
            <w:r/>
            <w:r>
              <w:rPr>
                <w:b w:val="0"/>
                <w:sz w:val="17"/>
              </w:rPr>
              <w:t>Numbered circular markers</w:t>
            </w:r>
          </w:p>
        </w:tc>
      </w:tr>
      <w:tr>
        <w:tc>
          <w:tcPr>
            <w:tcW w:type="dxa" w:w="5184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Labels</w:t>
            </w:r>
          </w:p>
        </w:tc>
        <w:tc>
          <w:tcPr>
            <w:tcW w:type="dxa" w:w="5184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Short, high-contrast and outside busy action areas</w:t>
            </w:r>
          </w:p>
        </w:tc>
      </w:tr>
    </w:tbl>
    <w:p>
      <w:r>
        <w:t>Every activity record must include a plain-language diagram_description covering area shape, cone positions, player starts, ball travel, coach position and zones. Visuals can be generated later from this field.</w:t>
      </w:r>
    </w:p>
    <w:p>
      <w:pPr>
        <w:pStyle w:val="Heading1"/>
      </w:pPr>
      <w:r>
        <w:t>11. Accessibility</w:t>
      </w:r>
    </w:p>
    <w:p>
      <w:pPr>
        <w:pStyle w:val="ListBullet"/>
      </w:pPr>
      <w:r>
        <w:t>Maintain readable contrast and do not rely on colour alone.</w:t>
      </w:r>
    </w:p>
    <w:p>
      <w:pPr>
        <w:pStyle w:val="ListBullet"/>
      </w:pPr>
      <w:r>
        <w:t>Minimum interactive target 44 x 44 px.</w:t>
      </w:r>
    </w:p>
    <w:p>
      <w:pPr>
        <w:pStyle w:val="ListBullet"/>
      </w:pPr>
      <w:r>
        <w:t>Provide text labels for icons and alt text for meaningful images.</w:t>
      </w:r>
    </w:p>
    <w:p>
      <w:pPr>
        <w:pStyle w:val="ListBullet"/>
      </w:pPr>
      <w:r>
        <w:t>Use short paragraphs and clear headings.</w:t>
      </w:r>
    </w:p>
    <w:p>
      <w:pPr>
        <w:pStyle w:val="ListBullet"/>
      </w:pPr>
      <w:r>
        <w:t>Support keyboard navigation and screen readers in coach interfaces.</w:t>
      </w:r>
    </w:p>
    <w:p>
      <w:pPr>
        <w:pStyle w:val="ListBullet"/>
      </w:pPr>
      <w:r>
        <w:t>Child instructions must be understandable without audio.</w:t>
      </w:r>
    </w:p>
    <w:p>
      <w:pPr>
        <w:pStyle w:val="Heading1"/>
      </w:pPr>
      <w:r>
        <w:t>12. Naming, files and copyright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0B3B75"/>
          </w:tcPr>
          <w:p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0B3B75"/>
          </w:tcPr>
          <w:p>
            <w:r/>
            <w:r>
              <w:rPr>
                <w:b/>
                <w:color w:val="FFFFFF"/>
                <w:sz w:val="18"/>
              </w:rPr>
              <w:t>Pattern</w:t>
            </w:r>
          </w:p>
        </w:tc>
      </w:tr>
      <w:tr>
        <w:tc>
          <w:tcPr>
            <w:tcW w:type="dxa" w:w="5184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Skill code</w:t>
            </w:r>
          </w:p>
        </w:tc>
        <w:tc>
          <w:tcPr>
            <w:tcW w:type="dxa" w:w="5184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SK-HUR-001</w:t>
            </w:r>
          </w:p>
        </w:tc>
      </w:tr>
      <w:tr>
        <w:tc>
          <w:tcPr>
            <w:tcW w:type="dxa" w:w="5184"/>
            <w:vAlign w:val="center"/>
            <w:shd w:fill="FFFFFF"/>
          </w:tcPr>
          <w:p>
            <w:r/>
            <w:r>
              <w:rPr>
                <w:b w:val="0"/>
                <w:sz w:val="17"/>
              </w:rPr>
              <w:t>Activity code</w:t>
            </w:r>
          </w:p>
        </w:tc>
        <w:tc>
          <w:tcPr>
            <w:tcW w:type="dxa" w:w="5184"/>
            <w:vAlign w:val="center"/>
            <w:shd w:fill="FFFFFF"/>
          </w:tcPr>
          <w:p>
            <w:r/>
            <w:r>
              <w:rPr>
                <w:b w:val="0"/>
                <w:sz w:val="17"/>
              </w:rPr>
              <w:t>ACT-HUR-0001</w:t>
            </w:r>
          </w:p>
        </w:tc>
      </w:tr>
      <w:tr>
        <w:tc>
          <w:tcPr>
            <w:tcW w:type="dxa" w:w="5184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Challenge code</w:t>
            </w:r>
          </w:p>
        </w:tc>
        <w:tc>
          <w:tcPr>
            <w:tcW w:type="dxa" w:w="5184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CH-HUR-0001</w:t>
            </w:r>
          </w:p>
        </w:tc>
      </w:tr>
      <w:tr>
        <w:tc>
          <w:tcPr>
            <w:tcW w:type="dxa" w:w="5184"/>
            <w:vAlign w:val="center"/>
            <w:shd w:fill="FFFFFF"/>
          </w:tcPr>
          <w:p>
            <w:r/>
            <w:r>
              <w:rPr>
                <w:b w:val="0"/>
                <w:sz w:val="17"/>
              </w:rPr>
              <w:t>Video code</w:t>
            </w:r>
          </w:p>
        </w:tc>
        <w:tc>
          <w:tcPr>
            <w:tcW w:type="dxa" w:w="5184"/>
            <w:vAlign w:val="center"/>
            <w:shd w:fill="FFFFFF"/>
          </w:tcPr>
          <w:p>
            <w:r/>
            <w:r>
              <w:rPr>
                <w:b w:val="0"/>
                <w:sz w:val="17"/>
              </w:rPr>
              <w:t>VID-HUR-0001</w:t>
            </w:r>
          </w:p>
        </w:tc>
      </w:tr>
      <w:tr>
        <w:tc>
          <w:tcPr>
            <w:tcW w:type="dxa" w:w="5184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PDF filename</w:t>
            </w:r>
          </w:p>
        </w:tc>
        <w:tc>
          <w:tcPr>
            <w:tcW w:type="dxa" w:w="5184"/>
            <w:vAlign w:val="center"/>
            <w:shd w:fill="F4F8FB"/>
          </w:tcPr>
          <w:p>
            <w:r/>
            <w:r>
              <w:rPr>
                <w:b w:val="0"/>
                <w:sz w:val="17"/>
              </w:rPr>
              <w:t>ACT-HUR-0001_jab-lift-through-gates_v1-0.pdf</w:t>
            </w:r>
          </w:p>
        </w:tc>
      </w:tr>
      <w:tr>
        <w:tc>
          <w:tcPr>
            <w:tcW w:type="dxa" w:w="5184"/>
            <w:vAlign w:val="center"/>
            <w:shd w:fill="FFFFFF"/>
          </w:tcPr>
          <w:p>
            <w:r/>
            <w:r>
              <w:rPr>
                <w:b w:val="0"/>
                <w:sz w:val="17"/>
              </w:rPr>
              <w:t>Footer</w:t>
            </w:r>
          </w:p>
        </w:tc>
        <w:tc>
          <w:tcPr>
            <w:tcW w:type="dxa" w:w="5184"/>
            <w:vAlign w:val="center"/>
            <w:shd w:fill="FFFFFF"/>
          </w:tcPr>
          <w:p>
            <w:r/>
            <w:r>
              <w:rPr>
                <w:b w:val="0"/>
                <w:sz w:val="17"/>
              </w:rPr>
              <w:t>© 2026 Spraoi Sports. All rights reserved.</w:t>
            </w:r>
          </w:p>
        </w:tc>
      </w:tr>
    </w:tbl>
    <w:p>
      <w:pPr>
        <w:pStyle w:val="Heading1"/>
      </w:pPr>
      <w:r>
        <w:t>13. Quality checklist</w:t>
      </w:r>
    </w:p>
    <w:p>
      <w:pPr>
        <w:pStyle w:val="ListBullet"/>
      </w:pPr>
      <w:r>
        <w:t>Approved logo and colours used.</w:t>
      </w:r>
    </w:p>
    <w:p>
      <w:pPr>
        <w:pStyle w:val="ListBullet"/>
      </w:pPr>
      <w:r>
        <w:t>Primary Skill matches the skills table exactly.</w:t>
      </w:r>
    </w:p>
    <w:p>
      <w:pPr>
        <w:pStyle w:val="ListBullet"/>
      </w:pPr>
      <w:r>
        <w:t>Age, difficulty, format and sport use allowed values.</w:t>
      </w:r>
    </w:p>
    <w:p>
      <w:pPr>
        <w:pStyle w:val="ListBullet"/>
      </w:pPr>
      <w:r>
        <w:t>Diagram description is complete.</w:t>
      </w:r>
    </w:p>
    <w:p>
      <w:pPr>
        <w:pStyle w:val="ListBullet"/>
      </w:pPr>
      <w:r>
        <w:t>Coach wording is practical and concise.</w:t>
      </w:r>
    </w:p>
    <w:p>
      <w:pPr>
        <w:pStyle w:val="ListBullet"/>
      </w:pPr>
      <w:r>
        <w:t>Child target is measurable and age-appropriate.</w:t>
      </w:r>
    </w:p>
    <w:p>
      <w:pPr>
        <w:pStyle w:val="ListBullet"/>
      </w:pPr>
      <w:r>
        <w:t>Version, source tracking and review status are present internally.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0B3B75"/>
        <w:sz w:val="16"/>
      </w:rPr>
      <w:t>Spraoi Sports  |  Growing Stronger Together  |  © 2026 Spraoi Sports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051560" cy="119148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praoi-logo.png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51560" cy="119148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8324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3B7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49FE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AAA3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B3B7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