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AD47F">
      <w:pPr>
        <w:numPr>
          <w:ilvl w:val="0"/>
          <w:numId w:val="0"/>
        </w:numPr>
        <w:ind w:firstLine="42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1" w:name="_GoBack"/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近期手机终端操作系统及APP后台管理策略调整对移动上网流量的影响</w:t>
      </w:r>
    </w:p>
    <w:bookmarkEnd w:id="1"/>
    <w:p w14:paraId="15B26C29">
      <w:pPr>
        <w:numPr>
          <w:ilvl w:val="0"/>
          <w:numId w:val="0"/>
        </w:numPr>
        <w:ind w:firstLine="420"/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从2025年四季度起，苹果、华为、小米、OPPO、VIVO等终端厂家在手机固件中陆续更新广告屏蔽、后台权限控制等功能，从客户角度看起到了广告拦截效果及后台流量节省的作用，但对运营商上网流量也起到了抑制作用。</w:t>
      </w:r>
    </w:p>
    <w:p w14:paraId="16516A9B">
      <w:pPr>
        <w:numPr>
          <w:ilvl w:val="0"/>
          <w:numId w:val="0"/>
        </w:numPr>
        <w:ind w:firstLine="42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0A08C9AB">
      <w:pPr>
        <w:numPr>
          <w:ilvl w:val="0"/>
          <w:numId w:val="0"/>
        </w:numPr>
        <w:ind w:firstLine="42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3338830" cy="3577590"/>
            <wp:effectExtent l="0" t="0" r="6350" b="3810"/>
            <wp:docPr id="11" name="图片 11" descr="005cc884dc755dafb23cf12b6b174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5cc884dc755dafb23cf12b6b1742f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3D23">
      <w:pPr>
        <w:numPr>
          <w:ilvl w:val="0"/>
          <w:numId w:val="0"/>
        </w:numPr>
        <w:ind w:firstLine="42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tbl>
      <w:tblPr>
        <w:tblStyle w:val="2"/>
        <w:tblW w:w="5213" w:type="pct"/>
        <w:tblInd w:w="-2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893"/>
        <w:gridCol w:w="3789"/>
        <w:gridCol w:w="3670"/>
        <w:gridCol w:w="3480"/>
        <w:gridCol w:w="939"/>
      </w:tblGrid>
      <w:tr w14:paraId="5FF51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0F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系统版本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A8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更新时间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B7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核心更新：限制广告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BA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核心更新：限制静默联网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D2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核心更新：强化后台权限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B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是否大范围普及</w:t>
            </w:r>
          </w:p>
        </w:tc>
      </w:tr>
      <w:tr w14:paraId="6A453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CACD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Android 16 正式版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24F684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202508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3E67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广告ID 90天自动重置；跨应用跟踪默认关闭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31293C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后台联网受配额限制；非关键任务延迟执行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1EF20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临时权限24小时；后台任务每日配额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56E8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50736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0F95B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Android 16 QPR2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7A0D31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202512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4292B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系统级跟踪限制加强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2CE94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静默联网调度更严格；异常联网自动拦截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2A240E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临时权限缩至8小时；唤醒锁强制回收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33E2EE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1B095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2454E9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澎湃OS 2.0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72E3F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202505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2CAB85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系统广告一键关闭；个性化推荐默认关闭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350D3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流量卫士1.0；异常后台联网提醒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08F5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关联启动批量禁止；后台进程限制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57992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37197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61234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澎湃OS 3.0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38D663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202512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22641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系统广告进一步精简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3D68F6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流量卫士2.0；自动拦截静默联网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74DF14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后台权限更严格；无效流量再降低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77DA7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484B1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5B3FC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ColorOS 15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5699DE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202507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4799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开屏/摇一摇广告拦截；通知广告减少50%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E3407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网络守卫；后台联网按应用管控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BC0B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后台活动分级管控；自启限制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6EE8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28D53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1D594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ColorOS 16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D90F8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202601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008C1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广告跟踪限制加强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3A7E40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静默联网自动识别阻断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3FC9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后台权限更严；后台耗电/流量降低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76DC5A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7D66A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00B41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OriginOS 5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FCC2D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202507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21652C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限制广告跟踪；广告ID可重置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0ECA9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后台联网统一管控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5B76F0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原子隐私；精细权限管理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3498B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1C9CC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34D5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OriginOS 6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558BDC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202601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520B7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广告跟踪进一步限制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8F2CD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后台流量监控加强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650641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后台活动权限收紧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055D2E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38C0B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2ABA7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鸿蒙OS 5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B4077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202506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A970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系统级拦截摇一摇广告；弹窗减少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0EF07A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后台静默同步严格限制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07B28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传感器权限精细化；后台唤醒减少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C3A46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5CFF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20BD8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鸿蒙OS 6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0BFAE4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202601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DA187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广告拦截范围扩大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6B9A5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后台联网策略收紧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4D30ED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后台权限更严格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279822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0420A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3005F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iOS 19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36703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202509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7DDBD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广告跟踪默认限制加强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86EC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后台流量可视化报告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7CBB8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剪贴板权限收紧；后台定位更严格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C7C5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6DD3B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5AC3A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iOS 26.3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5F0017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202601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01541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第三方广告拦截API开放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2B8E22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后台流量监控更细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45636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非前台应用权限进一步受限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74B79A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38763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6BD76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One UI 8.0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2F7DE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202506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58FC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系统广告可批量关闭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86583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后台联网权限分级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00D9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后台活动限制；自启管理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6A9E4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  <w:tr w14:paraId="2FC78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34BF1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One UI 8.5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6E25EE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202601</w:t>
            </w:r>
          </w:p>
        </w:tc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6FBF9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广告跟踪限制加强</w:t>
            </w:r>
          </w:p>
        </w:tc>
        <w:tc>
          <w:tcPr>
            <w:tcW w:w="1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705488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静默联网自动拦截</w:t>
            </w:r>
          </w:p>
        </w:tc>
        <w:tc>
          <w:tcPr>
            <w:tcW w:w="1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57C50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后台权限更严格</w:t>
            </w:r>
          </w:p>
        </w:tc>
        <w:tc>
          <w:tcPr>
            <w:tcW w:w="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noWrap/>
            <w:vAlign w:val="center"/>
          </w:tcPr>
          <w:p w14:paraId="1D8CCD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是</w:t>
            </w:r>
          </w:p>
        </w:tc>
      </w:tr>
    </w:tbl>
    <w:p w14:paraId="15C23E31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410C5CBA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D38644D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1066906A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浙江公司初步测算以上因素对上网流量及收入的影响：</w:t>
      </w:r>
    </w:p>
    <w:p w14:paraId="36382138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A8A0D7B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联系共建共享组，获取到最近30天（1月11日至2月8日）进行过操作系统更新的本省用户清单数据（华为手机没有，有IPHONE、小米、VIVO，剔除外省漫入手机后、其中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IOS操作系统的占90%以上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）</w:t>
      </w:r>
      <w:bookmarkStart w:id="0" w:name="四（2）手机操作系统影响"/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观察系统更新前后的流量使用变化</w:t>
      </w:r>
      <w:bookmarkEnd w:id="0"/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。</w:t>
      </w:r>
    </w:p>
    <w:p w14:paraId="3D225C09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认为更新前三天有一个普遍的流量抑制、更新后流量明显下降了一个台阶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，对应的应该是12月中旬推出的版本更新（iOS 26.2---2025-12-13，流量相关：强化低数据模式、定位数据传输优化、修复 App 后台偷跑）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，再往前推在这次更新的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前80天左右，也有一个比较明显的下降平台，推测对应的是11月上的版本（ iOS 26.1----11-04：是 9 月大更后首个重要版本，直接影响流量下降，后台+低数据+偷跑修复）。 </w:t>
      </w:r>
    </w:p>
    <w:p w14:paraId="54E553A7">
      <w:pPr>
        <w:numPr>
          <w:ilvl w:val="0"/>
          <w:numId w:val="0"/>
        </w:numPr>
        <w:ind w:firstLine="420" w:firstLineChars="200"/>
      </w:pPr>
      <w:r>
        <w:drawing>
          <wp:inline distT="0" distB="0" distL="114300" distR="114300">
            <wp:extent cx="8849995" cy="2073910"/>
            <wp:effectExtent l="4445" t="4445" r="10160" b="17145"/>
            <wp:docPr id="1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3BF93FA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月11日至2月8日期间有过系统更新的93.8万用户，其中25年11月至26年1月均出账用户88.84万户，看1月比12月跟11月的流量变动情况，更新与流量的使用下降紧密相关，更新越靠前1月环比12月和定比11月下降越大，而2月1日至8日更新的可以认为在12月和1月都没有进行过系统更新，所以在流量使用和流量费上1月环比下降、定比11月上升，这个与历史趋势是较为吻合的。而排除这些能抓取到的用户，其他有920万-950万左右连续3个月出账的用户，环比降幅在AB类跟C类之间，推测其中是有一部分用户从12月中下旬到1月上旬之间有过更新操作系统。</w:t>
      </w:r>
    </w:p>
    <w:p w14:paraId="7A96E9FE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因此从大数来看如果没有操作系统更新的影响，流量费的环比降幅应该参考C类用户-3.09%，即1月流量费应该达到12月的96.91%约5222.66元、环比下降167.6万元，实际1月流量计费收入5055万元、环比下降333万元，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推论：浙江公司1月由于操作系统更新可能导致的溢出收入下降为166万元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tbl>
      <w:tblPr>
        <w:tblStyle w:val="2"/>
        <w:tblW w:w="5337" w:type="pct"/>
        <w:tblInd w:w="-6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3274"/>
        <w:gridCol w:w="1226"/>
        <w:gridCol w:w="1380"/>
        <w:gridCol w:w="1380"/>
        <w:gridCol w:w="847"/>
        <w:gridCol w:w="943"/>
        <w:gridCol w:w="980"/>
        <w:gridCol w:w="780"/>
        <w:gridCol w:w="850"/>
        <w:gridCol w:w="1030"/>
      </w:tblGrid>
      <w:tr w14:paraId="77011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32F2A0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2511-2601均出账用户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4DF5B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类型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6A5BB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1月流量活跃规模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28651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1月流量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364092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1月流量费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01452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流量活跃规模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663367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654D98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流量费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43592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流量活跃规模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72874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 w14:paraId="2756F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流量费</w:t>
            </w:r>
          </w:p>
        </w:tc>
      </w:tr>
      <w:tr w14:paraId="1B38C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06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1月11日更新系统</w:t>
            </w:r>
          </w:p>
        </w:tc>
        <w:tc>
          <w:tcPr>
            <w:tcW w:w="108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81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A-1月上半月更新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713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11253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53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400489.7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521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62552.29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36C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1.34%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573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-5.05%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6C5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-9.52%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EE9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3.16%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8C3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-0.92%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334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-2.74%</w:t>
            </w:r>
          </w:p>
        </w:tc>
      </w:tr>
      <w:tr w14:paraId="622B9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B7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1月12日更新系统</w:t>
            </w:r>
          </w:p>
        </w:tc>
        <w:tc>
          <w:tcPr>
            <w:tcW w:w="108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C80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737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20702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6FD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661480.6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084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114034.15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439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1.05%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4C8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-5.60%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737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-10.80%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5F5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2.83%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39E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-2.69%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904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-9.56%</w:t>
            </w:r>
          </w:p>
        </w:tc>
      </w:tr>
      <w:tr w14:paraId="74E28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09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1月13日更新系统</w:t>
            </w:r>
          </w:p>
        </w:tc>
        <w:tc>
          <w:tcPr>
            <w:tcW w:w="108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BC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76A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34177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7A5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1076369.5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4E7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190884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DC6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1.17%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821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-5.57%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295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-12.52%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437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2.95%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249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-3.32%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A06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-9.05%</w:t>
            </w:r>
          </w:p>
        </w:tc>
      </w:tr>
      <w:tr w14:paraId="0AEE8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9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1月14日更新系统</w:t>
            </w:r>
          </w:p>
        </w:tc>
        <w:tc>
          <w:tcPr>
            <w:tcW w:w="108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29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B34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46424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A65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1470532.2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869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254796.98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F28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1.15%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926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-6.11%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DAB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-13.07%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D25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2.94%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2B4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-2.90%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60C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-8.09%</w:t>
            </w:r>
          </w:p>
        </w:tc>
      </w:tr>
      <w:tr w14:paraId="325F1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969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1月15日更新系统</w:t>
            </w:r>
          </w:p>
        </w:tc>
        <w:tc>
          <w:tcPr>
            <w:tcW w:w="108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7A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A1E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53824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C12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1696368.3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BC6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298603.62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6C0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1.10%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9F0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-6.36%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509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-13.77%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CE9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3.04%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6D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-3.67%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68D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-11.38%</w:t>
            </w:r>
          </w:p>
        </w:tc>
      </w:tr>
      <w:tr w14:paraId="24F58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vAlign w:val="center"/>
          </w:tcPr>
          <w:p w14:paraId="46BF2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11日至15日更新小计</w:t>
            </w:r>
          </w:p>
        </w:tc>
        <w:tc>
          <w:tcPr>
            <w:tcW w:w="1081" w:type="pct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E6C5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vAlign w:val="center"/>
          </w:tcPr>
          <w:p w14:paraId="5DD07E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166380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vAlign w:val="center"/>
          </w:tcPr>
          <w:p w14:paraId="5C5785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5305240.444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vAlign w:val="center"/>
          </w:tcPr>
          <w:p w14:paraId="088C05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920871.04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5DEF1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1.14%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9B8E5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-5.94%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A63DF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-12.68%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D8F54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2.98%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CDAD9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-3.06%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5C7F09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-9.23%</w:t>
            </w:r>
          </w:p>
        </w:tc>
      </w:tr>
      <w:tr w14:paraId="15B55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65FC8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1月16日至25日更新小计</w:t>
            </w:r>
          </w:p>
        </w:tc>
        <w:tc>
          <w:tcPr>
            <w:tcW w:w="108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E245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-1月下半月更新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2B457B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530537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D46DB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17860973.9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6D00C1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3212814.64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9AB49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1.64%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9AFE6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-6.12%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D67DA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-11.69%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319AD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3.51%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4245C9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-2.38%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207CD1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-7.09%</w:t>
            </w:r>
          </w:p>
        </w:tc>
      </w:tr>
      <w:tr w14:paraId="080F4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44D21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1月26日至31日更新小计</w:t>
            </w:r>
          </w:p>
        </w:tc>
        <w:tc>
          <w:tcPr>
            <w:tcW w:w="1081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DC927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623CC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91958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50B8A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3556283.6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90BAA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594411.34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6F5A88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2.92%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79B01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-3.67%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50440E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-4.84%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887DB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4.61%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61EF1C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1.64%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5EEAF9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2.70%</w:t>
            </w:r>
          </w:p>
        </w:tc>
      </w:tr>
      <w:tr w14:paraId="1BADF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D37C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2月1日至8日更新小计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2D0225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C-1月前没更新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5BF4CB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131528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C0519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5431253.9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421F0F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938042.82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021C3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2.25%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187A2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-2.45%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268E8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-3.09%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E43DA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3.90%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8A77B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3.34%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6CDC14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7.78%</w:t>
            </w:r>
          </w:p>
        </w:tc>
      </w:tr>
      <w:tr w14:paraId="3246E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57DE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除去以上用户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66518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E-可能没更新可能1月11日前有更新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3F3B7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约920万+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674706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278936378.2 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3EBAD3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44884290.35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246959FC">
            <w:pP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74E0B1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-3.44%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467846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-5.71%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ABA914A">
            <w:pP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0FA29E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0.15%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 w14:paraId="1C6940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1.98%</w:t>
            </w:r>
          </w:p>
        </w:tc>
      </w:tr>
    </w:tbl>
    <w:p w14:paraId="498A2EA1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altName w:val="文泉驿微米黑"/>
    <w:panose1 w:val="020B0503020204020204"/>
    <w:charset w:val="86"/>
    <w:family w:val="auto"/>
    <w:pitch w:val="default"/>
    <w:sig w:usb0="00000000" w:usb1="0000000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32067"/>
    <w:rsid w:val="21347CE3"/>
    <w:rsid w:val="2350078D"/>
    <w:rsid w:val="296A6B0A"/>
    <w:rsid w:val="2BA52FD7"/>
    <w:rsid w:val="308948AA"/>
    <w:rsid w:val="4125642E"/>
    <w:rsid w:val="51CD7FE6"/>
    <w:rsid w:val="53EE00BA"/>
    <w:rsid w:val="57F444BA"/>
    <w:rsid w:val="68260C7E"/>
    <w:rsid w:val="6F853AE5"/>
    <w:rsid w:val="6FCEB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人均流量</a:t>
            </a:r>
            <a:r>
              <a:rPr lang="en-US" altLang="zh-CN"/>
              <a:t>--0</a:t>
            </a:r>
            <a:r>
              <a:rPr altLang="en-US"/>
              <a:t>点为更新日，</a:t>
            </a:r>
            <a:r>
              <a:rPr lang="en-US" altLang="zh-CN"/>
              <a:t>-</a:t>
            </a:r>
            <a:r>
              <a:rPr altLang="en-US"/>
              <a:t>为更新前，</a:t>
            </a:r>
            <a:r>
              <a:rPr lang="en-US" altLang="zh-CN"/>
              <a:t>+</a:t>
            </a:r>
            <a:r>
              <a:rPr altLang="en-US"/>
              <a:t>为更新后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48403530171486"/>
          <c:y val="0.129516227801592"/>
          <c:w val="0.935811150175791"/>
          <c:h val="0.704041641151255"/>
        </c:manualLayout>
      </c:layout>
      <c:lineChart>
        <c:grouping val="standard"/>
        <c:varyColors val="0"/>
        <c:ser>
          <c:idx val="1"/>
          <c:order val="0"/>
          <c:tx>
            <c:strRef>
              <c:f>[工作簿1]Sheet1!$H$1</c:f>
              <c:strCache>
                <c:ptCount val="1"/>
                <c:pt idx="0">
                  <c:v>人均流量</c:v>
                </c:pt>
              </c:strCache>
            </c:strRef>
          </c:tx>
          <c:spPr>
            <a:ln w="12700" cap="rnd" cmpd="sng">
              <a:solidFill>
                <a:schemeClr val="accent1">
                  <a:lumMod val="75000"/>
                </a:schemeClr>
              </a:solidFill>
              <a:prstDash val="solid"/>
              <a:round/>
            </a:ln>
            <a:effectLst/>
            <a:sp3d contourW="12700"/>
          </c:spPr>
          <c:marker>
            <c:symbol val="none"/>
          </c:marker>
          <c:dLbls>
            <c:delete val="1"/>
          </c:dLbls>
          <c:cat>
            <c:numRef>
              <c:f>[工作簿1]Sheet1!$G$2:$G$121</c:f>
              <c:numCache>
                <c:formatCode>General</c:formatCode>
                <c:ptCount val="120"/>
                <c:pt idx="0">
                  <c:v>-99</c:v>
                </c:pt>
                <c:pt idx="1">
                  <c:v>-98</c:v>
                </c:pt>
                <c:pt idx="2">
                  <c:v>-97</c:v>
                </c:pt>
                <c:pt idx="3">
                  <c:v>-96</c:v>
                </c:pt>
                <c:pt idx="4">
                  <c:v>-95</c:v>
                </c:pt>
                <c:pt idx="5">
                  <c:v>-94</c:v>
                </c:pt>
                <c:pt idx="6">
                  <c:v>-93</c:v>
                </c:pt>
                <c:pt idx="7">
                  <c:v>-92</c:v>
                </c:pt>
                <c:pt idx="8">
                  <c:v>-91</c:v>
                </c:pt>
                <c:pt idx="9">
                  <c:v>-90</c:v>
                </c:pt>
                <c:pt idx="10">
                  <c:v>-89</c:v>
                </c:pt>
                <c:pt idx="11">
                  <c:v>-88</c:v>
                </c:pt>
                <c:pt idx="12">
                  <c:v>-87</c:v>
                </c:pt>
                <c:pt idx="13">
                  <c:v>-86</c:v>
                </c:pt>
                <c:pt idx="14">
                  <c:v>-85</c:v>
                </c:pt>
                <c:pt idx="15">
                  <c:v>-84</c:v>
                </c:pt>
                <c:pt idx="16">
                  <c:v>-83</c:v>
                </c:pt>
                <c:pt idx="17">
                  <c:v>-82</c:v>
                </c:pt>
                <c:pt idx="18">
                  <c:v>-81</c:v>
                </c:pt>
                <c:pt idx="19">
                  <c:v>-80</c:v>
                </c:pt>
                <c:pt idx="20">
                  <c:v>-79</c:v>
                </c:pt>
                <c:pt idx="21">
                  <c:v>-78</c:v>
                </c:pt>
                <c:pt idx="22">
                  <c:v>-77</c:v>
                </c:pt>
                <c:pt idx="23">
                  <c:v>-76</c:v>
                </c:pt>
                <c:pt idx="24">
                  <c:v>-75</c:v>
                </c:pt>
                <c:pt idx="25">
                  <c:v>-74</c:v>
                </c:pt>
                <c:pt idx="26">
                  <c:v>-73</c:v>
                </c:pt>
                <c:pt idx="27">
                  <c:v>-72</c:v>
                </c:pt>
                <c:pt idx="28">
                  <c:v>-71</c:v>
                </c:pt>
                <c:pt idx="29">
                  <c:v>-70</c:v>
                </c:pt>
                <c:pt idx="30">
                  <c:v>-69</c:v>
                </c:pt>
                <c:pt idx="31">
                  <c:v>-68</c:v>
                </c:pt>
                <c:pt idx="32">
                  <c:v>-67</c:v>
                </c:pt>
                <c:pt idx="33">
                  <c:v>-66</c:v>
                </c:pt>
                <c:pt idx="34">
                  <c:v>-65</c:v>
                </c:pt>
                <c:pt idx="35">
                  <c:v>-64</c:v>
                </c:pt>
                <c:pt idx="36">
                  <c:v>-63</c:v>
                </c:pt>
                <c:pt idx="37">
                  <c:v>-62</c:v>
                </c:pt>
                <c:pt idx="38">
                  <c:v>-61</c:v>
                </c:pt>
                <c:pt idx="39">
                  <c:v>-60</c:v>
                </c:pt>
                <c:pt idx="40">
                  <c:v>-59</c:v>
                </c:pt>
                <c:pt idx="41">
                  <c:v>-58</c:v>
                </c:pt>
                <c:pt idx="42">
                  <c:v>-57</c:v>
                </c:pt>
                <c:pt idx="43">
                  <c:v>-56</c:v>
                </c:pt>
                <c:pt idx="44">
                  <c:v>-55</c:v>
                </c:pt>
                <c:pt idx="45">
                  <c:v>-54</c:v>
                </c:pt>
                <c:pt idx="46">
                  <c:v>-53</c:v>
                </c:pt>
                <c:pt idx="47">
                  <c:v>-52</c:v>
                </c:pt>
                <c:pt idx="48">
                  <c:v>-51</c:v>
                </c:pt>
                <c:pt idx="49">
                  <c:v>-50</c:v>
                </c:pt>
                <c:pt idx="50">
                  <c:v>-49</c:v>
                </c:pt>
                <c:pt idx="51">
                  <c:v>-48</c:v>
                </c:pt>
                <c:pt idx="52">
                  <c:v>-47</c:v>
                </c:pt>
                <c:pt idx="53">
                  <c:v>-46</c:v>
                </c:pt>
                <c:pt idx="54">
                  <c:v>-45</c:v>
                </c:pt>
                <c:pt idx="55">
                  <c:v>-44</c:v>
                </c:pt>
                <c:pt idx="56">
                  <c:v>-43</c:v>
                </c:pt>
                <c:pt idx="57">
                  <c:v>-42</c:v>
                </c:pt>
                <c:pt idx="58">
                  <c:v>-41</c:v>
                </c:pt>
                <c:pt idx="59">
                  <c:v>-40</c:v>
                </c:pt>
                <c:pt idx="60">
                  <c:v>-39</c:v>
                </c:pt>
                <c:pt idx="61">
                  <c:v>-38</c:v>
                </c:pt>
                <c:pt idx="62">
                  <c:v>-37</c:v>
                </c:pt>
                <c:pt idx="63">
                  <c:v>-36</c:v>
                </c:pt>
                <c:pt idx="64">
                  <c:v>-35</c:v>
                </c:pt>
                <c:pt idx="65">
                  <c:v>-34</c:v>
                </c:pt>
                <c:pt idx="66">
                  <c:v>-33</c:v>
                </c:pt>
                <c:pt idx="67">
                  <c:v>-32</c:v>
                </c:pt>
                <c:pt idx="68">
                  <c:v>-31</c:v>
                </c:pt>
                <c:pt idx="69">
                  <c:v>-30</c:v>
                </c:pt>
                <c:pt idx="70">
                  <c:v>-29</c:v>
                </c:pt>
                <c:pt idx="71">
                  <c:v>-28</c:v>
                </c:pt>
                <c:pt idx="72">
                  <c:v>-27</c:v>
                </c:pt>
                <c:pt idx="73">
                  <c:v>-26</c:v>
                </c:pt>
                <c:pt idx="74">
                  <c:v>-25</c:v>
                </c:pt>
                <c:pt idx="75">
                  <c:v>-24</c:v>
                </c:pt>
                <c:pt idx="76">
                  <c:v>-23</c:v>
                </c:pt>
                <c:pt idx="77">
                  <c:v>-22</c:v>
                </c:pt>
                <c:pt idx="78">
                  <c:v>-21</c:v>
                </c:pt>
                <c:pt idx="79">
                  <c:v>-20</c:v>
                </c:pt>
                <c:pt idx="80">
                  <c:v>-19</c:v>
                </c:pt>
                <c:pt idx="81">
                  <c:v>-18</c:v>
                </c:pt>
                <c:pt idx="82">
                  <c:v>-17</c:v>
                </c:pt>
                <c:pt idx="83">
                  <c:v>-16</c:v>
                </c:pt>
                <c:pt idx="84">
                  <c:v>-15</c:v>
                </c:pt>
                <c:pt idx="85">
                  <c:v>-14</c:v>
                </c:pt>
                <c:pt idx="86">
                  <c:v>-13</c:v>
                </c:pt>
                <c:pt idx="87">
                  <c:v>-12</c:v>
                </c:pt>
                <c:pt idx="88">
                  <c:v>-11</c:v>
                </c:pt>
                <c:pt idx="89">
                  <c:v>-10</c:v>
                </c:pt>
                <c:pt idx="90">
                  <c:v>-9</c:v>
                </c:pt>
                <c:pt idx="91">
                  <c:v>-8</c:v>
                </c:pt>
                <c:pt idx="92">
                  <c:v>-7</c:v>
                </c:pt>
                <c:pt idx="93">
                  <c:v>-6</c:v>
                </c:pt>
                <c:pt idx="94">
                  <c:v>-5</c:v>
                </c:pt>
                <c:pt idx="95">
                  <c:v>-4</c:v>
                </c:pt>
                <c:pt idx="96">
                  <c:v>-3</c:v>
                </c:pt>
                <c:pt idx="97">
                  <c:v>-2</c:v>
                </c:pt>
                <c:pt idx="98">
                  <c:v>-1</c:v>
                </c:pt>
                <c:pt idx="99">
                  <c:v>0</c:v>
                </c:pt>
                <c:pt idx="100">
                  <c:v>1</c:v>
                </c:pt>
                <c:pt idx="101">
                  <c:v>2</c:v>
                </c:pt>
                <c:pt idx="102">
                  <c:v>3</c:v>
                </c:pt>
                <c:pt idx="103">
                  <c:v>4</c:v>
                </c:pt>
                <c:pt idx="104">
                  <c:v>5</c:v>
                </c:pt>
                <c:pt idx="105">
                  <c:v>6</c:v>
                </c:pt>
                <c:pt idx="106">
                  <c:v>7</c:v>
                </c:pt>
                <c:pt idx="107">
                  <c:v>8</c:v>
                </c:pt>
                <c:pt idx="108">
                  <c:v>9</c:v>
                </c:pt>
                <c:pt idx="109">
                  <c:v>10</c:v>
                </c:pt>
                <c:pt idx="110">
                  <c:v>11</c:v>
                </c:pt>
                <c:pt idx="111">
                  <c:v>12</c:v>
                </c:pt>
                <c:pt idx="112">
                  <c:v>13</c:v>
                </c:pt>
                <c:pt idx="113">
                  <c:v>14</c:v>
                </c:pt>
                <c:pt idx="114">
                  <c:v>15</c:v>
                </c:pt>
                <c:pt idx="115">
                  <c:v>16</c:v>
                </c:pt>
                <c:pt idx="116">
                  <c:v>17</c:v>
                </c:pt>
                <c:pt idx="117">
                  <c:v>18</c:v>
                </c:pt>
                <c:pt idx="118">
                  <c:v>19</c:v>
                </c:pt>
                <c:pt idx="119">
                  <c:v>20</c:v>
                </c:pt>
              </c:numCache>
            </c:numRef>
          </c:cat>
          <c:val>
            <c:numRef>
              <c:f>[工作簿1]Sheet1!$H$2:$H$121</c:f>
              <c:numCache>
                <c:formatCode>0.000_ </c:formatCode>
                <c:ptCount val="120"/>
                <c:pt idx="0">
                  <c:v>1.69655954987262</c:v>
                </c:pt>
                <c:pt idx="1">
                  <c:v>1.69293980225147</c:v>
                </c:pt>
                <c:pt idx="2">
                  <c:v>1.65353027823866</c:v>
                </c:pt>
                <c:pt idx="3">
                  <c:v>1.63606654267694</c:v>
                </c:pt>
                <c:pt idx="4">
                  <c:v>1.64365643997604</c:v>
                </c:pt>
                <c:pt idx="5">
                  <c:v>1.65265190467623</c:v>
                </c:pt>
                <c:pt idx="6">
                  <c:v>1.66696886764254</c:v>
                </c:pt>
                <c:pt idx="7">
                  <c:v>1.67261284281176</c:v>
                </c:pt>
                <c:pt idx="8">
                  <c:v>1.67216034581964</c:v>
                </c:pt>
                <c:pt idx="9">
                  <c:v>1.66805095396878</c:v>
                </c:pt>
                <c:pt idx="10">
                  <c:v>1.6698426072623</c:v>
                </c:pt>
                <c:pt idx="11">
                  <c:v>1.67026897681673</c:v>
                </c:pt>
                <c:pt idx="12">
                  <c:v>1.66789956196024</c:v>
                </c:pt>
                <c:pt idx="13">
                  <c:v>1.65563849445359</c:v>
                </c:pt>
                <c:pt idx="14">
                  <c:v>1.63295291766439</c:v>
                </c:pt>
                <c:pt idx="15">
                  <c:v>1.61557973590077</c:v>
                </c:pt>
                <c:pt idx="16">
                  <c:v>1.59565866241744</c:v>
                </c:pt>
                <c:pt idx="17">
                  <c:v>1.57473154885478</c:v>
                </c:pt>
                <c:pt idx="18">
                  <c:v>1.56252153646146</c:v>
                </c:pt>
                <c:pt idx="19">
                  <c:v>1.54644167024529</c:v>
                </c:pt>
                <c:pt idx="20">
                  <c:v>1.52407404808014</c:v>
                </c:pt>
                <c:pt idx="21">
                  <c:v>1.50350564680141</c:v>
                </c:pt>
                <c:pt idx="22">
                  <c:v>1.47920780356771</c:v>
                </c:pt>
                <c:pt idx="23">
                  <c:v>1.46561528651887</c:v>
                </c:pt>
                <c:pt idx="24">
                  <c:v>1.45322789816876</c:v>
                </c:pt>
                <c:pt idx="25">
                  <c:v>1.44755080372767</c:v>
                </c:pt>
                <c:pt idx="26">
                  <c:v>1.44568150909111</c:v>
                </c:pt>
                <c:pt idx="27">
                  <c:v>1.4426744608324</c:v>
                </c:pt>
                <c:pt idx="28">
                  <c:v>1.44430923309435</c:v>
                </c:pt>
                <c:pt idx="29">
                  <c:v>1.44478602453057</c:v>
                </c:pt>
                <c:pt idx="30">
                  <c:v>1.44086835284261</c:v>
                </c:pt>
                <c:pt idx="31">
                  <c:v>1.44157477125209</c:v>
                </c:pt>
                <c:pt idx="32">
                  <c:v>1.44208011262566</c:v>
                </c:pt>
                <c:pt idx="33">
                  <c:v>1.44301219668872</c:v>
                </c:pt>
                <c:pt idx="34">
                  <c:v>1.43513143680267</c:v>
                </c:pt>
                <c:pt idx="35">
                  <c:v>1.43038271818361</c:v>
                </c:pt>
                <c:pt idx="36">
                  <c:v>1.42956159417921</c:v>
                </c:pt>
                <c:pt idx="37">
                  <c:v>1.42757975365292</c:v>
                </c:pt>
                <c:pt idx="38">
                  <c:v>1.42684085727282</c:v>
                </c:pt>
                <c:pt idx="39">
                  <c:v>1.42120629526612</c:v>
                </c:pt>
                <c:pt idx="40">
                  <c:v>1.42336677202346</c:v>
                </c:pt>
                <c:pt idx="41">
                  <c:v>1.41774537990086</c:v>
                </c:pt>
                <c:pt idx="42">
                  <c:v>1.4191385040101</c:v>
                </c:pt>
                <c:pt idx="43">
                  <c:v>1.41804021158384</c:v>
                </c:pt>
                <c:pt idx="44">
                  <c:v>1.42175307467752</c:v>
                </c:pt>
                <c:pt idx="45">
                  <c:v>1.42475351191251</c:v>
                </c:pt>
                <c:pt idx="46">
                  <c:v>1.42590226288762</c:v>
                </c:pt>
                <c:pt idx="47">
                  <c:v>1.42572578566867</c:v>
                </c:pt>
                <c:pt idx="48">
                  <c:v>1.42849314862833</c:v>
                </c:pt>
                <c:pt idx="49">
                  <c:v>1.43334598782514</c:v>
                </c:pt>
                <c:pt idx="50">
                  <c:v>1.43045916002693</c:v>
                </c:pt>
                <c:pt idx="51">
                  <c:v>1.43480340518535</c:v>
                </c:pt>
                <c:pt idx="52">
                  <c:v>1.43895160514653</c:v>
                </c:pt>
                <c:pt idx="53">
                  <c:v>1.43914202271476</c:v>
                </c:pt>
                <c:pt idx="54">
                  <c:v>1.43659394185864</c:v>
                </c:pt>
                <c:pt idx="55">
                  <c:v>1.43493016892888</c:v>
                </c:pt>
                <c:pt idx="56">
                  <c:v>1.43212733178202</c:v>
                </c:pt>
                <c:pt idx="57">
                  <c:v>1.43153091605469</c:v>
                </c:pt>
                <c:pt idx="58">
                  <c:v>1.43293063115086</c:v>
                </c:pt>
                <c:pt idx="59">
                  <c:v>1.43362556976907</c:v>
                </c:pt>
                <c:pt idx="60">
                  <c:v>1.43235093857441</c:v>
                </c:pt>
                <c:pt idx="61">
                  <c:v>1.43236981791397</c:v>
                </c:pt>
                <c:pt idx="62">
                  <c:v>1.42703111742708</c:v>
                </c:pt>
                <c:pt idx="63">
                  <c:v>1.42170977128208</c:v>
                </c:pt>
                <c:pt idx="64">
                  <c:v>1.42304314138198</c:v>
                </c:pt>
                <c:pt idx="65">
                  <c:v>1.41575371677081</c:v>
                </c:pt>
                <c:pt idx="66">
                  <c:v>1.41469290336104</c:v>
                </c:pt>
                <c:pt idx="67">
                  <c:v>1.41966816142483</c:v>
                </c:pt>
                <c:pt idx="68">
                  <c:v>1.41475470590165</c:v>
                </c:pt>
                <c:pt idx="69">
                  <c:v>1.40436114395809</c:v>
                </c:pt>
                <c:pt idx="70">
                  <c:v>1.39593412008203</c:v>
                </c:pt>
                <c:pt idx="71">
                  <c:v>1.38296887418515</c:v>
                </c:pt>
                <c:pt idx="72">
                  <c:v>1.37907565126479</c:v>
                </c:pt>
                <c:pt idx="73">
                  <c:v>1.374752338243</c:v>
                </c:pt>
                <c:pt idx="74">
                  <c:v>1.36518796683983</c:v>
                </c:pt>
                <c:pt idx="75">
                  <c:v>1.35323361114621</c:v>
                </c:pt>
                <c:pt idx="76">
                  <c:v>1.35848899060162</c:v>
                </c:pt>
                <c:pt idx="77">
                  <c:v>1.36511198195408</c:v>
                </c:pt>
                <c:pt idx="78">
                  <c:v>1.37213621133848</c:v>
                </c:pt>
                <c:pt idx="79">
                  <c:v>1.37831667292872</c:v>
                </c:pt>
                <c:pt idx="80">
                  <c:v>1.37913101032347</c:v>
                </c:pt>
                <c:pt idx="81">
                  <c:v>1.37342036085709</c:v>
                </c:pt>
                <c:pt idx="82">
                  <c:v>1.36105391181694</c:v>
                </c:pt>
                <c:pt idx="83">
                  <c:v>1.35943742397454</c:v>
                </c:pt>
                <c:pt idx="84">
                  <c:v>1.35636876990454</c:v>
                </c:pt>
                <c:pt idx="85">
                  <c:v>1.35201769769807</c:v>
                </c:pt>
                <c:pt idx="86">
                  <c:v>1.34774452305122</c:v>
                </c:pt>
                <c:pt idx="87">
                  <c:v>1.34374138074954</c:v>
                </c:pt>
                <c:pt idx="88">
                  <c:v>1.3489995654358</c:v>
                </c:pt>
                <c:pt idx="89">
                  <c:v>1.36745268618615</c:v>
                </c:pt>
                <c:pt idx="90">
                  <c:v>1.38485877086865</c:v>
                </c:pt>
                <c:pt idx="91">
                  <c:v>1.40576781512033</c:v>
                </c:pt>
                <c:pt idx="92">
                  <c:v>1.41688156050011</c:v>
                </c:pt>
                <c:pt idx="93">
                  <c:v>1.42091224380792</c:v>
                </c:pt>
                <c:pt idx="94">
                  <c:v>1.43032739333334</c:v>
                </c:pt>
                <c:pt idx="95">
                  <c:v>1.42790556440746</c:v>
                </c:pt>
                <c:pt idx="96">
                  <c:v>1.38753117848069</c:v>
                </c:pt>
                <c:pt idx="97">
                  <c:v>1.31268339058091</c:v>
                </c:pt>
                <c:pt idx="98">
                  <c:v>1.27844542017276</c:v>
                </c:pt>
                <c:pt idx="99">
                  <c:v>1.22022060727061</c:v>
                </c:pt>
                <c:pt idx="100">
                  <c:v>1.23530752745961</c:v>
                </c:pt>
                <c:pt idx="101">
                  <c:v>1.24270985250958</c:v>
                </c:pt>
                <c:pt idx="102">
                  <c:v>1.23575843005046</c:v>
                </c:pt>
                <c:pt idx="103">
                  <c:v>1.22828901805989</c:v>
                </c:pt>
                <c:pt idx="104">
                  <c:v>1.22365897875798</c:v>
                </c:pt>
                <c:pt idx="105">
                  <c:v>1.21299099358403</c:v>
                </c:pt>
                <c:pt idx="106">
                  <c:v>1.2103386447615</c:v>
                </c:pt>
                <c:pt idx="107">
                  <c:v>1.20537392754215</c:v>
                </c:pt>
                <c:pt idx="108">
                  <c:v>1.20417348103716</c:v>
                </c:pt>
                <c:pt idx="109">
                  <c:v>1.20265187768771</c:v>
                </c:pt>
                <c:pt idx="110">
                  <c:v>1.19212150408573</c:v>
                </c:pt>
                <c:pt idx="111">
                  <c:v>1.18066874455431</c:v>
                </c:pt>
                <c:pt idx="112">
                  <c:v>1.1780608126852</c:v>
                </c:pt>
                <c:pt idx="113">
                  <c:v>1.17437609736756</c:v>
                </c:pt>
                <c:pt idx="114">
                  <c:v>1.18077391139782</c:v>
                </c:pt>
                <c:pt idx="115">
                  <c:v>1.1819564850694</c:v>
                </c:pt>
                <c:pt idx="116">
                  <c:v>1.17508723802752</c:v>
                </c:pt>
                <c:pt idx="117">
                  <c:v>1.18472514702708</c:v>
                </c:pt>
                <c:pt idx="118">
                  <c:v>1.20954243315542</c:v>
                </c:pt>
                <c:pt idx="119">
                  <c:v>1.24595020757079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3505178"/>
        <c:axId val="688403538"/>
      </c:lineChart>
      <c:catAx>
        <c:axId val="3350517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88403538"/>
        <c:crosses val="autoZero"/>
        <c:auto val="1"/>
        <c:lblAlgn val="ctr"/>
        <c:lblOffset val="100"/>
        <c:tickLblSkip val="1"/>
        <c:noMultiLvlLbl val="0"/>
      </c:catAx>
      <c:valAx>
        <c:axId val="688403538"/>
        <c:scaling>
          <c:orientation val="minMax"/>
          <c:min val="1.1"/>
        </c:scaling>
        <c:delete val="0"/>
        <c:axPos val="l"/>
        <c:numFmt formatCode="0.0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350517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9f96082-a40d-4015-ab72-317eb348078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Office_12.1.2.22554_F1E327BC-269C-435d-A152-05C5408002CA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2026-02-05T15:41:00Z</dcterms:created>
  <dc:creator>qk156</dc:creator>
  <cp:lastModifiedBy>于翔</cp:lastModifiedBy>
  <dcterms:modified xsi:type="dcterms:W3CDTF">2026-03-14T18:09:27Z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2052-12.1.2.22554</vt:lpwstr>
  </property>
  <property fmtid="{D5CDD505-2E9C-101B-9397-08002B2CF9AE}" pid="3" name="ICV">
    <vt:lpwstr>72C079187E1FD0D2D733B5691EF8E10B_43</vt:lpwstr>
  </property>
</Properties>
</file>