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Triangulation / Cross-Source Synthesis</w:t>
      </w:r>
    </w:p>
    <w:p>
      <w:pPr>
        <w:jc w:val="center"/>
      </w:pPr>
      <w:r>
        <w:rPr>
          <w:i/>
        </w:rPr>
        <w:t>Literature Analysis + Interview Analysis + Culture Probe Analysis</w:t>
      </w:r>
    </w:p>
    <w:p>
      <w:pPr>
        <w:pStyle w:val="Heading1"/>
      </w:pPr>
      <w:r>
        <w:t>1. Purpose of the Triangulation</w:t>
      </w:r>
    </w:p>
    <w:p>
      <w:r>
        <w:t>This synthesis brings together three separate evidence streams: the paper-based literature analysis, the interview analysis, and the culture probe analysis. The purpose is to identify where the sources converge, complement one another, extend prior research, or diverge. The synthesis does not replace the individual analyses; instead, it uses them together to establish the strongest cross-source insights and to show which design directions are supported by more than one form of evidence.</w:t>
      </w:r>
    </w:p>
    <w:p>
      <w:pPr>
        <w:pStyle w:val="Heading1"/>
      </w:pPr>
      <w:r>
        <w:t>2. Evidence Sources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b/>
              </w:rPr>
              <w:t>Evidence source</w:t>
            </w:r>
          </w:p>
        </w:tc>
        <w:tc>
          <w:tcPr>
            <w:tcW w:type="dxa" w:w="2556"/>
            <w:vAlign w:val="center"/>
            <w:shd w:fill="D9EAF7"/>
          </w:tcPr>
          <w:p>
            <w:pPr>
              <w:spacing w:after="0"/>
            </w:pPr>
            <w:r/>
            <w:r>
              <w:rPr>
                <w:b/>
              </w:rPr>
              <w:t>Analytical approach</w:t>
            </w:r>
          </w:p>
        </w:tc>
        <w:tc>
          <w:tcPr>
            <w:tcW w:type="dxa" w:w="2556"/>
            <w:vAlign w:val="center"/>
            <w:shd w:fill="D9EAF7"/>
          </w:tcPr>
          <w:p>
            <w:pPr>
              <w:spacing w:after="0"/>
            </w:pPr>
            <w:r/>
            <w:r>
              <w:rPr>
                <w:b/>
              </w:rPr>
              <w:t>Main contribution</w:t>
            </w:r>
          </w:p>
        </w:tc>
        <w:tc>
          <w:tcPr>
            <w:tcW w:type="dxa" w:w="2556"/>
            <w:vAlign w:val="center"/>
            <w:shd w:fill="D9EAF7"/>
          </w:tcPr>
          <w:p>
            <w:pPr>
              <w:spacing w:after="0"/>
            </w:pPr>
            <w:r/>
            <w:r>
              <w:rPr>
                <w:b/>
              </w:rPr>
              <w:t>Role in triangulation</w:t>
            </w:r>
          </w:p>
        </w:tc>
      </w:tr>
      <w:tr>
        <w:tc>
          <w:tcPr>
            <w:tcW w:type="dxa" w:w="2556"/>
            <w:vAlign w:val="center"/>
          </w:tcPr>
          <w:p>
            <w:pPr>
              <w:spacing w:after="0"/>
            </w:pPr>
            <w:r/>
            <w:r>
              <w:rPr>
                <w:b w:val="0"/>
              </w:rPr>
              <w:t>Literature analysis</w:t>
            </w:r>
          </w:p>
        </w:tc>
        <w:tc>
          <w:tcPr>
            <w:tcW w:type="dxa" w:w="2556"/>
            <w:vAlign w:val="center"/>
          </w:tcPr>
          <w:p>
            <w:pPr>
              <w:spacing w:after="0"/>
            </w:pPr>
            <w:r/>
            <w:r>
              <w:rPr>
                <w:b w:val="0"/>
              </w:rPr>
              <w:t>Paper-by-paper extraction, cross-paper coding, thematic synthesis</w:t>
            </w:r>
          </w:p>
        </w:tc>
        <w:tc>
          <w:tcPr>
            <w:tcW w:type="dxa" w:w="2556"/>
            <w:vAlign w:val="center"/>
          </w:tcPr>
          <w:p>
            <w:pPr>
              <w:spacing w:after="0"/>
            </w:pPr>
            <w:r/>
            <w:r>
              <w:rPr>
                <w:b w:val="0"/>
              </w:rPr>
              <w:t>Established recurring concepts, tensions and design principles across 9 unique papers</w:t>
            </w:r>
          </w:p>
        </w:tc>
        <w:tc>
          <w:tcPr>
            <w:tcW w:type="dxa" w:w="2556"/>
            <w:vAlign w:val="center"/>
          </w:tcPr>
          <w:p>
            <w:pPr>
              <w:spacing w:after="0"/>
            </w:pPr>
            <w:r/>
            <w:r>
              <w:rPr>
                <w:b w:val="0"/>
              </w:rPr>
              <w:t>Provides the theoretical and prior-research baseline.</w:t>
            </w:r>
          </w:p>
        </w:tc>
      </w:tr>
      <w:tr>
        <w:tc>
          <w:tcPr>
            <w:tcW w:type="dxa" w:w="2556"/>
            <w:vAlign w:val="center"/>
          </w:tcPr>
          <w:p>
            <w:pPr>
              <w:spacing w:after="0"/>
            </w:pPr>
            <w:r/>
            <w:r>
              <w:rPr>
                <w:b w:val="0"/>
              </w:rPr>
              <w:t>Interview analysis</w:t>
            </w:r>
          </w:p>
        </w:tc>
        <w:tc>
          <w:tcPr>
            <w:tcW w:type="dxa" w:w="2556"/>
            <w:vAlign w:val="center"/>
          </w:tcPr>
          <w:p>
            <w:pPr>
              <w:spacing w:after="0"/>
            </w:pPr>
            <w:r/>
            <w:r>
              <w:rPr>
                <w:b w:val="0"/>
              </w:rPr>
              <w:t>Thematic analysis with coding and affinity clustering</w:t>
            </w:r>
          </w:p>
        </w:tc>
        <w:tc>
          <w:tcPr>
            <w:tcW w:type="dxa" w:w="2556"/>
            <w:vAlign w:val="center"/>
          </w:tcPr>
          <w:p>
            <w:pPr>
              <w:spacing w:after="0"/>
            </w:pPr>
            <w:r/>
            <w:r>
              <w:rPr>
                <w:b w:val="0"/>
              </w:rPr>
              <w:t>Explained visitor behaviours, needs, tensions and experiences in depth</w:t>
            </w:r>
          </w:p>
        </w:tc>
        <w:tc>
          <w:tcPr>
            <w:tcW w:type="dxa" w:w="2556"/>
            <w:vAlign w:val="center"/>
          </w:tcPr>
          <w:p>
            <w:pPr>
              <w:spacing w:after="0"/>
            </w:pPr>
            <w:r/>
            <w:r>
              <w:rPr>
                <w:b w:val="0"/>
              </w:rPr>
              <w:t>Shows how the issues are experienced and negotiated by visitors.</w:t>
            </w:r>
          </w:p>
        </w:tc>
      </w:tr>
      <w:tr>
        <w:tc>
          <w:tcPr>
            <w:tcW w:type="dxa" w:w="2556"/>
            <w:vAlign w:val="center"/>
          </w:tcPr>
          <w:p>
            <w:pPr>
              <w:spacing w:after="0"/>
            </w:pPr>
            <w:r/>
            <w:r>
              <w:rPr>
                <w:b w:val="0"/>
              </w:rPr>
              <w:t>Culture probe</w:t>
            </w:r>
          </w:p>
        </w:tc>
        <w:tc>
          <w:tcPr>
            <w:tcW w:type="dxa" w:w="2556"/>
            <w:vAlign w:val="center"/>
          </w:tcPr>
          <w:p>
            <w:pPr>
              <w:spacing w:after="0"/>
            </w:pPr>
            <w:r/>
            <w:r>
              <w:rPr>
                <w:b w:val="0"/>
              </w:rPr>
              <w:t>Descriptive frequency analysis + qualitative content analysis</w:t>
            </w:r>
          </w:p>
        </w:tc>
        <w:tc>
          <w:tcPr>
            <w:tcW w:type="dxa" w:w="2556"/>
            <w:vAlign w:val="center"/>
          </w:tcPr>
          <w:p>
            <w:pPr>
              <w:spacing w:after="0"/>
            </w:pPr>
            <w:r/>
            <w:r>
              <w:rPr>
                <w:b w:val="0"/>
              </w:rPr>
              <w:t>Captured quick, situated preference patterns and open-ended practical needs</w:t>
            </w:r>
          </w:p>
        </w:tc>
        <w:tc>
          <w:tcPr>
            <w:tcW w:type="dxa" w:w="2556"/>
            <w:vAlign w:val="center"/>
          </w:tcPr>
          <w:p>
            <w:pPr>
              <w:spacing w:after="0"/>
            </w:pPr>
            <w:r/>
            <w:r>
              <w:rPr>
                <w:b w:val="0"/>
              </w:rPr>
              <w:t>Provides a broader preference signal and checks whether themes are visible beyond interviews.</w:t>
            </w:r>
          </w:p>
        </w:tc>
      </w:tr>
    </w:tbl>
    <w:p>
      <w:pPr>
        <w:pStyle w:val="Heading1"/>
      </w:pPr>
      <w:r>
        <w:t>3. Triangulation Logic</w:t>
      </w:r>
    </w:p>
    <w:p>
      <w:r>
        <w:t>Each cross-source finding was assessed using four relationships:</w:t>
      </w:r>
    </w:p>
    <w:p>
      <w:pPr>
        <w:pStyle w:val="ListBullet"/>
      </w:pPr>
      <w:r>
        <w:t>Convergence - two or more sources independently support the same underlying idea.</w:t>
      </w:r>
    </w:p>
    <w:p>
      <w:pPr>
        <w:pStyle w:val="ListBullet"/>
      </w:pPr>
      <w:r>
        <w:t>Complementarity - the sources support the same area but contribute different aspects or levels of detail.</w:t>
      </w:r>
    </w:p>
    <w:p>
      <w:pPr>
        <w:pStyle w:val="ListBullet"/>
      </w:pPr>
      <w:r>
        <w:t>Extension - the primary research adds a more specific mechanism, nuance, or contextual condition beyond the literature.</w:t>
      </w:r>
    </w:p>
    <w:p>
      <w:pPr>
        <w:pStyle w:val="ListBullet"/>
      </w:pPr>
      <w:r>
        <w:t>Divergence - the sources point in different directions or reveal a tension that should not be collapsed into one conclusion.</w:t>
      </w:r>
    </w:p>
    <w:p>
      <w:pPr>
        <w:pStyle w:val="Heading1"/>
      </w:pPr>
      <w:r>
        <w:t>4. Cross-Source Synthesis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2F0D9"/>
          </w:tcPr>
          <w:p>
            <w:pPr>
              <w:spacing w:after="0"/>
            </w:pPr>
            <w:r/>
            <w:r>
              <w:rPr>
                <w:b/>
              </w:rPr>
              <w:t>Cross-source area</w:t>
            </w:r>
          </w:p>
        </w:tc>
        <w:tc>
          <w:tcPr>
            <w:tcW w:type="dxa" w:w="2045"/>
            <w:vAlign w:val="center"/>
            <w:shd w:fill="E2F0D9"/>
          </w:tcPr>
          <w:p>
            <w:pPr>
              <w:spacing w:after="0"/>
            </w:pPr>
            <w:r/>
            <w:r>
              <w:rPr>
                <w:b/>
              </w:rPr>
              <w:t>Literature</w:t>
            </w:r>
          </w:p>
        </w:tc>
        <w:tc>
          <w:tcPr>
            <w:tcW w:type="dxa" w:w="2045"/>
            <w:vAlign w:val="center"/>
            <w:shd w:fill="E2F0D9"/>
          </w:tcPr>
          <w:p>
            <w:pPr>
              <w:spacing w:after="0"/>
            </w:pPr>
            <w:r/>
            <w:r>
              <w:rPr>
                <w:b/>
              </w:rPr>
              <w:t>Interviews</w:t>
            </w:r>
          </w:p>
        </w:tc>
        <w:tc>
          <w:tcPr>
            <w:tcW w:type="dxa" w:w="2045"/>
            <w:vAlign w:val="center"/>
            <w:shd w:fill="E2F0D9"/>
          </w:tcPr>
          <w:p>
            <w:pPr>
              <w:spacing w:after="0"/>
            </w:pPr>
            <w:r/>
            <w:r>
              <w:rPr>
                <w:b/>
              </w:rPr>
              <w:t>Culture probe</w:t>
            </w:r>
          </w:p>
        </w:tc>
        <w:tc>
          <w:tcPr>
            <w:tcW w:type="dxa" w:w="2045"/>
            <w:vAlign w:val="center"/>
            <w:shd w:fill="E2F0D9"/>
          </w:tcPr>
          <w:p>
            <w:pPr>
              <w:spacing w:after="0"/>
            </w:pPr>
            <w:r/>
            <w:r>
              <w:rPr>
                <w:b/>
              </w:rPr>
              <w:t>Synthesis</w:t>
            </w:r>
          </w:p>
        </w:tc>
      </w:tr>
      <w:tr>
        <w:tc>
          <w:tcPr>
            <w:tcW w:type="dxa" w:w="2045"/>
            <w:vAlign w:val="center"/>
          </w:tcPr>
          <w:p>
            <w:pPr>
              <w:spacing w:after="0"/>
            </w:pPr>
            <w:r/>
            <w:r>
              <w:rPr>
                <w:b w:val="0"/>
              </w:rPr>
              <w:t>Social experience and shared meaning-making</w:t>
            </w:r>
          </w:p>
        </w:tc>
        <w:tc>
          <w:tcPr>
            <w:tcW w:type="dxa" w:w="2045"/>
            <w:vAlign w:val="center"/>
          </w:tcPr>
          <w:p>
            <w:pPr>
              <w:spacing w:after="0"/>
            </w:pPr>
            <w:r/>
            <w:r>
              <w:rPr>
                <w:b w:val="0"/>
              </w:rPr>
              <w:t>Museum visiting is repeatedly framed as social as well as personal. Co-presence, collaboration, shared interpretation and awareness of others can support engagement and meaning-making.</w:t>
            </w:r>
          </w:p>
        </w:tc>
        <w:tc>
          <w:tcPr>
            <w:tcW w:type="dxa" w:w="2045"/>
            <w:vAlign w:val="center"/>
          </w:tcPr>
          <w:p>
            <w:pPr>
              <w:spacing w:after="0"/>
            </w:pPr>
            <w:r/>
            <w:r>
              <w:rPr>
                <w:b w:val="0"/>
              </w:rPr>
              <w:t>Friends and strangers shape what visitors notice; discussion changes interpretation and encourages looking again.</w:t>
            </w:r>
          </w:p>
        </w:tc>
        <w:tc>
          <w:tcPr>
            <w:tcW w:type="dxa" w:w="2045"/>
            <w:vAlign w:val="center"/>
          </w:tcPr>
          <w:p>
            <w:pPr>
              <w:spacing w:after="0"/>
            </w:pPr>
            <w:r/>
            <w:r>
              <w:rPr>
                <w:b w:val="0"/>
              </w:rPr>
              <w:t>Explore with others and ways to interact with others were strongly represented.</w:t>
            </w:r>
          </w:p>
        </w:tc>
        <w:tc>
          <w:tcPr>
            <w:tcW w:type="dxa" w:w="2045"/>
            <w:vAlign w:val="center"/>
          </w:tcPr>
          <w:p>
            <w:pPr>
              <w:spacing w:after="0"/>
            </w:pPr>
            <w:r/>
            <w:r>
              <w:rPr>
                <w:b w:val="0"/>
              </w:rPr>
              <w:t>Strong convergence. Social experience is not peripheral; it is a core part of gallery engagement.</w:t>
            </w:r>
          </w:p>
        </w:tc>
      </w:tr>
      <w:tr>
        <w:tc>
          <w:tcPr>
            <w:tcW w:type="dxa" w:w="2045"/>
            <w:vAlign w:val="center"/>
          </w:tcPr>
          <w:p>
            <w:pPr>
              <w:spacing w:after="0"/>
            </w:pPr>
            <w:r/>
            <w:r>
              <w:rPr>
                <w:b w:val="0"/>
              </w:rPr>
              <w:t>Autonomy, pace and control</w:t>
            </w:r>
          </w:p>
        </w:tc>
        <w:tc>
          <w:tcPr>
            <w:tcW w:type="dxa" w:w="2045"/>
            <w:vAlign w:val="center"/>
          </w:tcPr>
          <w:p>
            <w:pPr>
              <w:spacing w:after="0"/>
            </w:pPr>
            <w:r/>
            <w:r>
              <w:rPr>
                <w:b w:val="0"/>
              </w:rPr>
              <w:t>Visitor agency, pace control, optional communication, flexible information depth and non-linear exploration are recurring design principles.</w:t>
            </w:r>
          </w:p>
        </w:tc>
        <w:tc>
          <w:tcPr>
            <w:tcW w:type="dxa" w:w="2045"/>
            <w:vAlign w:val="center"/>
          </w:tcPr>
          <w:p>
            <w:pPr>
              <w:spacing w:after="0"/>
            </w:pPr>
            <w:r/>
            <w:r>
              <w:rPr>
                <w:b w:val="0"/>
              </w:rPr>
              <w:t>Visitors want connection without losing control of their own pace; group movement can create pressure to move on.</w:t>
            </w:r>
          </w:p>
        </w:tc>
        <w:tc>
          <w:tcPr>
            <w:tcW w:type="dxa" w:w="2045"/>
            <w:vAlign w:val="center"/>
          </w:tcPr>
          <w:p>
            <w:pPr>
              <w:spacing w:after="0"/>
            </w:pPr>
            <w:r/>
            <w:r>
              <w:rPr>
                <w:b w:val="0"/>
              </w:rPr>
              <w:t>Responses show interest in both structure and freedom: clear routes, following personal interests and social exploration all matter.</w:t>
            </w:r>
          </w:p>
        </w:tc>
        <w:tc>
          <w:tcPr>
            <w:tcW w:type="dxa" w:w="2045"/>
            <w:vAlign w:val="center"/>
          </w:tcPr>
          <w:p>
            <w:pPr>
              <w:spacing w:after="0"/>
            </w:pPr>
            <w:r/>
            <w:r>
              <w:rPr>
                <w:b w:val="0"/>
              </w:rPr>
              <w:t>Strong convergence. Social features should preserve individual control rather than synchronise everyone by default.</w:t>
            </w:r>
          </w:p>
        </w:tc>
      </w:tr>
      <w:tr>
        <w:tc>
          <w:tcPr>
            <w:tcW w:type="dxa" w:w="2045"/>
            <w:vAlign w:val="center"/>
          </w:tcPr>
          <w:p>
            <w:pPr>
              <w:spacing w:after="0"/>
            </w:pPr>
            <w:r/>
            <w:r>
              <w:rPr>
                <w:b w:val="0"/>
              </w:rPr>
              <w:t>Active participation and deeper engagement</w:t>
            </w:r>
          </w:p>
        </w:tc>
        <w:tc>
          <w:tcPr>
            <w:tcW w:type="dxa" w:w="2045"/>
            <w:vAlign w:val="center"/>
          </w:tcPr>
          <w:p>
            <w:pPr>
              <w:spacing w:after="0"/>
            </w:pPr>
            <w:r/>
            <w:r>
              <w:rPr>
                <w:b w:val="0"/>
              </w:rPr>
              <w:t>Hands-on interaction, play, embodied activity, challenge and creative appropriation are associated with prolonged engagement; information-heavy systems often perform less well.</w:t>
            </w:r>
          </w:p>
        </w:tc>
        <w:tc>
          <w:tcPr>
            <w:tcW w:type="dxa" w:w="2045"/>
            <w:vAlign w:val="center"/>
          </w:tcPr>
          <w:p>
            <w:pPr>
              <w:spacing w:after="0"/>
            </w:pPr>
            <w:r/>
            <w:r>
              <w:rPr>
                <w:b w:val="0"/>
              </w:rPr>
              <w:t>Sketching and interactive activity slow visitors down and produce closer observation of details.</w:t>
            </w:r>
          </w:p>
        </w:tc>
        <w:tc>
          <w:tcPr>
            <w:tcW w:type="dxa" w:w="2045"/>
            <w:vAlign w:val="center"/>
          </w:tcPr>
          <w:p>
            <w:pPr>
              <w:spacing w:after="0"/>
            </w:pPr>
            <w:r/>
            <w:r>
              <w:rPr>
                <w:b w:val="0"/>
              </w:rPr>
              <w:t>Interactive activities were the strongest factor associated with staying longer; observation challenges also attracted interest.</w:t>
            </w:r>
          </w:p>
        </w:tc>
        <w:tc>
          <w:tcPr>
            <w:tcW w:type="dxa" w:w="2045"/>
            <w:vAlign w:val="center"/>
          </w:tcPr>
          <w:p>
            <w:pPr>
              <w:spacing w:after="0"/>
            </w:pPr>
            <w:r/>
            <w:r>
              <w:rPr>
                <w:b w:val="0"/>
              </w:rPr>
              <w:t>Very strong convergence. The most promising intervention is likely to give visitors something meaningful to do rather than simply more content to consume.</w:t>
            </w:r>
          </w:p>
        </w:tc>
      </w:tr>
      <w:tr>
        <w:tc>
          <w:tcPr>
            <w:tcW w:type="dxa" w:w="2045"/>
            <w:vAlign w:val="center"/>
          </w:tcPr>
          <w:p>
            <w:pPr>
              <w:spacing w:after="0"/>
            </w:pPr>
            <w:r/>
            <w:r>
              <w:rPr>
                <w:b w:val="0"/>
              </w:rPr>
              <w:t>Information, guidance and interpretation</w:t>
            </w:r>
          </w:p>
        </w:tc>
        <w:tc>
          <w:tcPr>
            <w:tcW w:type="dxa" w:w="2045"/>
            <w:vAlign w:val="center"/>
          </w:tcPr>
          <w:p>
            <w:pPr>
              <w:spacing w:after="0"/>
            </w:pPr>
            <w:r/>
            <w:r>
              <w:rPr>
                <w:b w:val="0"/>
              </w:rPr>
              <w:t>The literature supports progressive disclosure, concise content, visitor choice and discovery; information overload and over-guidance are recurring concerns.</w:t>
            </w:r>
          </w:p>
        </w:tc>
        <w:tc>
          <w:tcPr>
            <w:tcW w:type="dxa" w:w="2045"/>
            <w:vAlign w:val="center"/>
          </w:tcPr>
          <w:p>
            <w:pPr>
              <w:spacing w:after="0"/>
            </w:pPr>
            <w:r/>
            <w:r>
              <w:rPr>
                <w:b w:val="0"/>
              </w:rPr>
              <w:t>Participants wanted useful context but not long labels, excessive audio or constant explanation. Basic information with optional depth was preferred.</w:t>
            </w:r>
          </w:p>
        </w:tc>
        <w:tc>
          <w:tcPr>
            <w:tcW w:type="dxa" w:w="2045"/>
            <w:vAlign w:val="center"/>
          </w:tcPr>
          <w:p>
            <w:pPr>
              <w:spacing w:after="0"/>
            </w:pPr>
            <w:r/>
            <w:r>
              <w:rPr>
                <w:b w:val="0"/>
              </w:rPr>
              <w:t>Stories and meaning matter, but interactive activities were more prominent; visitors also showed mixed preferences for routes and guidance.</w:t>
            </w:r>
          </w:p>
        </w:tc>
        <w:tc>
          <w:tcPr>
            <w:tcW w:type="dxa" w:w="2045"/>
            <w:vAlign w:val="center"/>
          </w:tcPr>
          <w:p>
            <w:pPr>
              <w:spacing w:after="0"/>
            </w:pPr>
            <w:r/>
            <w:r>
              <w:rPr>
                <w:b w:val="0"/>
              </w:rPr>
              <w:t>Strong convergence. Guidance should be available, lightweight and optional, supporting interpretation without prescribing it.</w:t>
            </w:r>
          </w:p>
        </w:tc>
      </w:tr>
      <w:tr>
        <w:tc>
          <w:tcPr>
            <w:tcW w:type="dxa" w:w="2045"/>
            <w:vAlign w:val="center"/>
          </w:tcPr>
          <w:p>
            <w:pPr>
              <w:spacing w:after="0"/>
            </w:pPr>
            <w:r/>
            <w:r>
              <w:rPr>
                <w:b w:val="0"/>
              </w:rPr>
              <w:t>Technology as support versus distraction</w:t>
            </w:r>
          </w:p>
        </w:tc>
        <w:tc>
          <w:tcPr>
            <w:tcW w:type="dxa" w:w="2045"/>
            <w:vAlign w:val="center"/>
          </w:tcPr>
          <w:p>
            <w:pPr>
              <w:spacing w:after="0"/>
            </w:pPr>
            <w:r/>
            <w:r>
              <w:rPr>
                <w:b w:val="0"/>
              </w:rPr>
              <w:t>Digital systems can enrich visits but can also isolate visitors, create cognitive load and compete with attention to exhibits. Technology should augment rather than replace the museum experience.</w:t>
            </w:r>
          </w:p>
        </w:tc>
        <w:tc>
          <w:tcPr>
            <w:tcW w:type="dxa" w:w="2045"/>
            <w:vAlign w:val="center"/>
          </w:tcPr>
          <w:p>
            <w:pPr>
              <w:spacing w:after="0"/>
            </w:pPr>
            <w:r/>
            <w:r>
              <w:rPr>
                <w:b w:val="0"/>
              </w:rPr>
              <w:t>Participants resisted screen-heavy experiences, notifications and technologies that tell them what an artwork means.</w:t>
            </w:r>
          </w:p>
        </w:tc>
        <w:tc>
          <w:tcPr>
            <w:tcW w:type="dxa" w:w="2045"/>
            <w:vAlign w:val="center"/>
          </w:tcPr>
          <w:p>
            <w:pPr>
              <w:spacing w:after="0"/>
            </w:pPr>
            <w:r/>
            <w:r>
              <w:rPr>
                <w:b w:val="0"/>
              </w:rPr>
              <w:t>Sound/media and soundscape options were comparatively less prominent than interactive and social options.</w:t>
            </w:r>
          </w:p>
        </w:tc>
        <w:tc>
          <w:tcPr>
            <w:tcW w:type="dxa" w:w="2045"/>
            <w:vAlign w:val="center"/>
          </w:tcPr>
          <w:p>
            <w:pPr>
              <w:spacing w:after="0"/>
            </w:pPr>
            <w:r/>
            <w:r>
              <w:rPr>
                <w:b w:val="0"/>
              </w:rPr>
              <w:t>Strong convergence. Technology should remain quiet, contextual and subordinate to the physical gallery experience.</w:t>
            </w:r>
          </w:p>
        </w:tc>
      </w:tr>
      <w:tr>
        <w:tc>
          <w:tcPr>
            <w:tcW w:type="dxa" w:w="2045"/>
            <w:vAlign w:val="center"/>
          </w:tcPr>
          <w:p>
            <w:pPr>
              <w:spacing w:after="0"/>
            </w:pPr>
            <w:r/>
            <w:r>
              <w:rPr>
                <w:b w:val="0"/>
              </w:rPr>
              <w:t>Physical and spatial context</w:t>
            </w:r>
          </w:p>
        </w:tc>
        <w:tc>
          <w:tcPr>
            <w:tcW w:type="dxa" w:w="2045"/>
            <w:vAlign w:val="center"/>
          </w:tcPr>
          <w:p>
            <w:pPr>
              <w:spacing w:after="0"/>
            </w:pPr>
            <w:r/>
            <w:r>
              <w:rPr>
                <w:b w:val="0"/>
              </w:rPr>
              <w:t>Wayfinding, crowding, noise, proximity, spatial setup and visibility of interaction are part of the interaction system.</w:t>
            </w:r>
          </w:p>
        </w:tc>
        <w:tc>
          <w:tcPr>
            <w:tcW w:type="dxa" w:w="2045"/>
            <w:vAlign w:val="center"/>
          </w:tcPr>
          <w:p>
            <w:pPr>
              <w:spacing w:after="0"/>
            </w:pPr>
            <w:r/>
            <w:r>
              <w:rPr>
                <w:b w:val="0"/>
              </w:rPr>
              <w:t>Seating, fatigue, crowding, lighting, layout and available space affect whether visitors can engage and for how long.</w:t>
            </w:r>
          </w:p>
        </w:tc>
        <w:tc>
          <w:tcPr>
            <w:tcW w:type="dxa" w:w="2045"/>
            <w:vAlign w:val="center"/>
          </w:tcPr>
          <w:p>
            <w:pPr>
              <w:spacing w:after="0"/>
            </w:pPr>
            <w:r/>
            <w:r>
              <w:rPr>
                <w:b w:val="0"/>
              </w:rPr>
              <w:t>Colours, visuals, space and atmosphere were prominent; open comments also raised navigation, amenities and participation resources.</w:t>
            </w:r>
          </w:p>
        </w:tc>
        <w:tc>
          <w:tcPr>
            <w:tcW w:type="dxa" w:w="2045"/>
            <w:vAlign w:val="center"/>
          </w:tcPr>
          <w:p>
            <w:pPr>
              <w:spacing w:after="0"/>
            </w:pPr>
            <w:r/>
            <w:r>
              <w:rPr>
                <w:b w:val="0"/>
              </w:rPr>
              <w:t>Strong convergence and complementarity. Gallery experience must be designed as a situated physical-social system, not only as an interface.</w:t>
            </w:r>
          </w:p>
        </w:tc>
      </w:tr>
      <w:tr>
        <w:tc>
          <w:tcPr>
            <w:tcW w:type="dxa" w:w="2045"/>
            <w:vAlign w:val="center"/>
          </w:tcPr>
          <w:p>
            <w:pPr>
              <w:spacing w:after="0"/>
            </w:pPr>
            <w:r/>
            <w:r>
              <w:rPr>
                <w:b w:val="0"/>
              </w:rPr>
              <w:t>Social awareness without forced communication</w:t>
            </w:r>
          </w:p>
        </w:tc>
        <w:tc>
          <w:tcPr>
            <w:tcW w:type="dxa" w:w="2045"/>
            <w:vAlign w:val="center"/>
          </w:tcPr>
          <w:p>
            <w:pPr>
              <w:spacing w:after="0"/>
            </w:pPr>
            <w:r/>
            <w:r>
              <w:rPr>
                <w:b w:val="0"/>
              </w:rPr>
              <w:t>The literature distinguishes sociality from direct messaging. Co-presence, shared tasks and awareness can matter more than voice or text chat; direct messaging was often not preferred.</w:t>
            </w:r>
          </w:p>
        </w:tc>
        <w:tc>
          <w:tcPr>
            <w:tcW w:type="dxa" w:w="2045"/>
            <w:vAlign w:val="center"/>
          </w:tcPr>
          <w:p>
            <w:pPr>
              <w:spacing w:after="0"/>
            </w:pPr>
            <w:r/>
            <w:r>
              <w:rPr>
                <w:b w:val="0"/>
              </w:rPr>
              <w:t>Visitors often learn from others without speaking to them: watching where people stand, how they interact, what they sketch, or what they discuss.</w:t>
            </w:r>
          </w:p>
        </w:tc>
        <w:tc>
          <w:tcPr>
            <w:tcW w:type="dxa" w:w="2045"/>
            <w:vAlign w:val="center"/>
          </w:tcPr>
          <w:p>
            <w:pPr>
              <w:spacing w:after="0"/>
            </w:pPr>
            <w:r/>
            <w:r>
              <w:rPr>
                <w:b w:val="0"/>
              </w:rPr>
              <w:t>The probe shows interest in ways to interact with others, but does not specify that visitors want direct communication.</w:t>
            </w:r>
          </w:p>
        </w:tc>
        <w:tc>
          <w:tcPr>
            <w:tcW w:type="dxa" w:w="2045"/>
            <w:vAlign w:val="center"/>
          </w:tcPr>
          <w:p>
            <w:pPr>
              <w:spacing w:after="0"/>
            </w:pPr>
            <w:r/>
            <w:r>
              <w:rPr>
                <w:b w:val="0"/>
              </w:rPr>
              <w:t>Strong convergence plus extension. Social awareness and lightweight traces are better-supported directions than building a conventional chat system.</w:t>
            </w:r>
          </w:p>
        </w:tc>
      </w:tr>
      <w:tr>
        <w:tc>
          <w:tcPr>
            <w:tcW w:type="dxa" w:w="2045"/>
            <w:vAlign w:val="center"/>
          </w:tcPr>
          <w:p>
            <w:pPr>
              <w:spacing w:after="0"/>
            </w:pPr>
            <w:r/>
            <w:r>
              <w:rPr>
                <w:b w:val="0"/>
              </w:rPr>
              <w:t>Visitor differences and personalisation</w:t>
            </w:r>
          </w:p>
        </w:tc>
        <w:tc>
          <w:tcPr>
            <w:tcW w:type="dxa" w:w="2045"/>
            <w:vAlign w:val="center"/>
          </w:tcPr>
          <w:p>
            <w:pPr>
              <w:spacing w:after="0"/>
            </w:pPr>
            <w:r/>
            <w:r>
              <w:rPr>
                <w:b w:val="0"/>
              </w:rPr>
              <w:t>Different visitor motivations and preferred levels of participation mean that one-size-fits-all approaches are problematic. Personalisation should be cautious and adaptable.</w:t>
            </w:r>
          </w:p>
        </w:tc>
        <w:tc>
          <w:tcPr>
            <w:tcW w:type="dxa" w:w="2045"/>
            <w:vAlign w:val="center"/>
          </w:tcPr>
          <w:p>
            <w:pPr>
              <w:spacing w:after="0"/>
            </w:pPr>
            <w:r/>
            <w:r>
              <w:rPr>
                <w:b w:val="0"/>
              </w:rPr>
              <w:t>Participants differed in desired pace, information depth, confidence, sociality and preferred ways of engaging.</w:t>
            </w:r>
          </w:p>
        </w:tc>
        <w:tc>
          <w:tcPr>
            <w:tcW w:type="dxa" w:w="2045"/>
            <w:vAlign w:val="center"/>
          </w:tcPr>
          <w:p>
            <w:pPr>
              <w:spacing w:after="0"/>
            </w:pPr>
            <w:r/>
            <w:r>
              <w:rPr>
                <w:b w:val="0"/>
              </w:rPr>
              <w:t>Interest was spread across clear routes, interest-led exploration, personalised routes and social exploration.</w:t>
            </w:r>
          </w:p>
        </w:tc>
        <w:tc>
          <w:tcPr>
            <w:tcW w:type="dxa" w:w="2045"/>
            <w:vAlign w:val="center"/>
          </w:tcPr>
          <w:p>
            <w:pPr>
              <w:spacing w:after="0"/>
            </w:pPr>
            <w:r/>
            <w:r>
              <w:rPr>
                <w:b w:val="0"/>
              </w:rPr>
              <w:t>Convergence. The system should offer adaptable options rather than infer one fixed visitor type or prescribe one path.</w:t>
            </w:r>
          </w:p>
        </w:tc>
      </w:tr>
      <w:tr>
        <w:tc>
          <w:tcPr>
            <w:tcW w:type="dxa" w:w="2045"/>
            <w:vAlign w:val="center"/>
          </w:tcPr>
          <w:p>
            <w:pPr>
              <w:spacing w:after="0"/>
            </w:pPr>
            <w:r/>
            <w:r>
              <w:rPr>
                <w:b w:val="0"/>
              </w:rPr>
              <w:t>Emotion and personal reflection</w:t>
            </w:r>
          </w:p>
        </w:tc>
        <w:tc>
          <w:tcPr>
            <w:tcW w:type="dxa" w:w="2045"/>
            <w:vAlign w:val="center"/>
          </w:tcPr>
          <w:p>
            <w:pPr>
              <w:spacing w:after="0"/>
            </w:pPr>
            <w:r/>
            <w:r>
              <w:rPr>
                <w:b w:val="0"/>
              </w:rPr>
              <w:t>The literature values introspection and emotional engagement, while warning that system-generated interpretations can become overly authoritative.</w:t>
            </w:r>
          </w:p>
        </w:tc>
        <w:tc>
          <w:tcPr>
            <w:tcW w:type="dxa" w:w="2045"/>
            <w:vAlign w:val="center"/>
          </w:tcPr>
          <w:p>
            <w:pPr>
              <w:spacing w:after="0"/>
            </w:pPr>
            <w:r/>
            <w:r>
              <w:rPr>
                <w:b w:val="0"/>
              </w:rPr>
              <w:t>Participants described personal interpretation, reflection, uncertainty and the value of different perspectives, but resisted being told what an artwork means.</w:t>
            </w:r>
          </w:p>
        </w:tc>
        <w:tc>
          <w:tcPr>
            <w:tcW w:type="dxa" w:w="2045"/>
            <w:vAlign w:val="center"/>
          </w:tcPr>
          <w:p>
            <w:pPr>
              <w:spacing w:after="0"/>
            </w:pPr>
            <w:r/>
            <w:r>
              <w:rPr>
                <w:b w:val="0"/>
              </w:rPr>
              <w:t>The probe focused less directly on emotion, although quiet atmosphere and visual/atmospheric qualities were valued.</w:t>
            </w:r>
          </w:p>
        </w:tc>
        <w:tc>
          <w:tcPr>
            <w:tcW w:type="dxa" w:w="2045"/>
            <w:vAlign w:val="center"/>
          </w:tcPr>
          <w:p>
            <w:pPr>
              <w:spacing w:after="0"/>
            </w:pPr>
            <w:r/>
            <w:r>
              <w:rPr>
                <w:b w:val="0"/>
              </w:rPr>
              <w:t>Complementarity rather than full convergence. Emotional reflection remains relevant, but the strongest primary-research evidence supports open-ended reflection rather than automated emotional interpretation.</w:t>
            </w:r>
          </w:p>
        </w:tc>
      </w:tr>
      <w:tr>
        <w:tc>
          <w:tcPr>
            <w:tcW w:type="dxa" w:w="2045"/>
            <w:vAlign w:val="center"/>
          </w:tcPr>
          <w:p>
            <w:pPr>
              <w:spacing w:after="0"/>
            </w:pPr>
            <w:r/>
            <w:r>
              <w:rPr>
                <w:b w:val="0"/>
              </w:rPr>
              <w:t>Social cues from unfamiliar visitors</w:t>
            </w:r>
          </w:p>
        </w:tc>
        <w:tc>
          <w:tcPr>
            <w:tcW w:type="dxa" w:w="2045"/>
            <w:vAlign w:val="center"/>
          </w:tcPr>
          <w:p>
            <w:pPr>
              <w:spacing w:after="0"/>
            </w:pPr>
            <w:r/>
            <w:r>
              <w:rPr>
                <w:b w:val="0"/>
              </w:rPr>
              <w:t>The literature acknowledges social presence and observation of others, but contains less detailed evidence about subtle natural social cues during ordinary gallery visits.</w:t>
            </w:r>
          </w:p>
        </w:tc>
        <w:tc>
          <w:tcPr>
            <w:tcW w:type="dxa" w:w="2045"/>
            <w:vAlign w:val="center"/>
          </w:tcPr>
          <w:p>
            <w:pPr>
              <w:spacing w:after="0"/>
            </w:pPr>
            <w:r/>
            <w:r>
              <w:rPr>
                <w:b w:val="0"/>
              </w:rPr>
              <w:t>This is a particularly strong interview finding: strangers act as informal guides through attention, viewing positions, sketching, crowd behaviour and overheard comments.</w:t>
            </w:r>
          </w:p>
        </w:tc>
        <w:tc>
          <w:tcPr>
            <w:tcW w:type="dxa" w:w="2045"/>
            <w:vAlign w:val="center"/>
          </w:tcPr>
          <w:p>
            <w:pPr>
              <w:spacing w:after="0"/>
            </w:pPr>
            <w:r/>
            <w:r>
              <w:rPr>
                <w:b w:val="0"/>
              </w:rPr>
              <w:t>The probe supports social interest broadly but does not directly measure stranger-based social cues.</w:t>
            </w:r>
          </w:p>
        </w:tc>
        <w:tc>
          <w:tcPr>
            <w:tcW w:type="dxa" w:w="2045"/>
            <w:vAlign w:val="center"/>
          </w:tcPr>
          <w:p>
            <w:pPr>
              <w:spacing w:after="0"/>
            </w:pPr>
            <w:r/>
            <w:r>
              <w:rPr>
                <w:b w:val="0"/>
              </w:rPr>
              <w:t>Extension. The interviews identify a more specific mechanism that could become a distinctive design opportunity: revealing existing social traces without requiring direct interaction.</w:t>
            </w:r>
          </w:p>
        </w:tc>
      </w:tr>
    </w:tbl>
    <w:p>
      <w:pPr>
        <w:pStyle w:val="Heading1"/>
      </w:pPr>
      <w:r>
        <w:t>5. Integrated Cross-Source Themes</w:t>
      </w:r>
    </w:p>
    <w:p>
      <w:pPr>
        <w:pStyle w:val="Heading2"/>
      </w:pPr>
      <w:r>
        <w:t>Theme 1 - Gallery engagement is socially shaped, even when interaction is indirect</w:t>
      </w:r>
    </w:p>
    <w:p>
      <w:r>
        <w:t>Across the three evidence streams, gallery experience is not purely individual. Prior research emphasises co-presence, shared interpretation and social meaning-making; interviews show that both companions and unfamiliar visitors redirect attention and influence interpretation; and the culture probe shows strong interest in exploring and interacting with others. The combined evidence suggests that sociality includes conversation, collaboration, observation and subtle awareness of other people.</w:t>
      </w:r>
    </w:p>
    <w:p>
      <w:r>
        <w:rPr>
          <w:b/>
        </w:rPr>
        <w:t xml:space="preserve">Design implication: </w:t>
      </w:r>
      <w:r>
        <w:t>Support social awareness and shared discovery without assuming that visitors want constant conversation or direct messaging.</w:t>
      </w:r>
    </w:p>
    <w:p>
      <w:pPr>
        <w:pStyle w:val="Heading2"/>
      </w:pPr>
      <w:r>
        <w:t>Theme 2 - Visitors want connection without surrendering autonomy</w:t>
      </w:r>
    </w:p>
    <w:p>
      <w:r>
        <w:t>The literature repeatedly emphasises pace, choice and optional communication. Interviews show that companions can enrich a visit but also create pressure to keep moving. The culture probe similarly shows preferences for both social exploration and individual control. The core need is therefore not simply more social interaction, but the ability to move between togetherness and independence.</w:t>
      </w:r>
    </w:p>
    <w:p>
      <w:r>
        <w:rPr>
          <w:b/>
        </w:rPr>
        <w:t xml:space="preserve">Design implication: </w:t>
      </w:r>
      <w:r>
        <w:t>Support asynchronous and optional social interaction, flexible pacing and independent exploration.</w:t>
      </w:r>
    </w:p>
    <w:p>
      <w:pPr>
        <w:pStyle w:val="Heading2"/>
      </w:pPr>
      <w:r>
        <w:t>Theme 3 - Active participation is a stronger engagement mechanism than passive information delivery</w:t>
      </w:r>
    </w:p>
    <w:p>
      <w:r>
        <w:t>Hands-on, playful and embodied activities are consistently valued in the literature. Interview participants describe sketching and interactive activity as reasons to look more carefully. The culture probe strongly favours interactive activities as something that encourages visitors to stay longer. This is one of the strongest points of convergence across all sources.</w:t>
      </w:r>
    </w:p>
    <w:p>
      <w:r>
        <w:rPr>
          <w:b/>
        </w:rPr>
        <w:t xml:space="preserve">Design implication: </w:t>
      </w:r>
      <w:r>
        <w:t>Prioritise look-do-look-again activities, observation prompts, making, challenges and embodied interaction over information-heavy features.</w:t>
      </w:r>
    </w:p>
    <w:p>
      <w:pPr>
        <w:pStyle w:val="Heading2"/>
      </w:pPr>
      <w:r>
        <w:t>Theme 4 - Guidance should enable discovery rather than prescribe meaning</w:t>
      </w:r>
    </w:p>
    <w:p>
      <w:r>
        <w:t>Prior research supports progressive disclosure and visitor control over information. Interviewees want context but reject overload and authoritative explanations. The culture probe shows that stories and guidance matter, but visitors also want autonomy and interest-led exploration. Guidance is therefore most useful when it helps visitors enter the experience without narrowing interpretation.</w:t>
      </w:r>
    </w:p>
    <w:p>
      <w:r>
        <w:rPr>
          <w:b/>
        </w:rPr>
        <w:t xml:space="preserve">Design implication: </w:t>
      </w:r>
      <w:r>
        <w:t>Use short prompts and optional contextual depth; avoid fixed routes, excessive recommendations and authoritative interpretations.</w:t>
      </w:r>
    </w:p>
    <w:p>
      <w:pPr>
        <w:pStyle w:val="Heading2"/>
      </w:pPr>
      <w:r>
        <w:t>Theme 5 - Technology should recede into the background of the gallery experience</w:t>
      </w:r>
    </w:p>
    <w:p>
      <w:r>
        <w:t>The literature warns that digital systems can isolate visitors and divert attention from exhibits. Interviews explicitly reject screen-heavy experiences and constant notifications. The culture probe shows weaker interest in sound/media than in interaction and sociality. Together, the evidence supports technology that briefly facilitates engagement and then returns attention to artworks, people and space.</w:t>
      </w:r>
    </w:p>
    <w:p>
      <w:r>
        <w:rPr>
          <w:b/>
        </w:rPr>
        <w:t xml:space="preserve">Design implication: </w:t>
      </w:r>
      <w:r>
        <w:t>Keep interactions lightweight, peripheral, context-sensitive and physically oriented.</w:t>
      </w:r>
    </w:p>
    <w:p>
      <w:pPr>
        <w:pStyle w:val="Heading2"/>
      </w:pPr>
      <w:r>
        <w:t>Theme 6 - The gallery environment is part of the interaction system</w:t>
      </w:r>
    </w:p>
    <w:p>
      <w:r>
        <w:t>Across the literature, interviews and probe, engagement is shaped by spatial arrangement, navigation, crowding, atmosphere, seating, noise and visibility. These factors determine what visitors can see, how long they stay and whether social interaction feels possible.</w:t>
      </w:r>
    </w:p>
    <w:p>
      <w:r>
        <w:rPr>
          <w:b/>
        </w:rPr>
        <w:t xml:space="preserve">Design implication: </w:t>
      </w:r>
      <w:r>
        <w:t>Treat context such as crowding, location, visibility, comfort and movement as core design variables rather than background conditions.</w:t>
      </w:r>
    </w:p>
    <w:p>
      <w:pPr>
        <w:pStyle w:val="Heading1"/>
      </w:pPr>
      <w:r>
        <w:t>6. Findings That Extend the Literature</w:t>
      </w:r>
    </w:p>
    <w:p>
      <w:r>
        <w:t>The triangulation also identifies several contributions that are more specific in the primary research than in the literature:</w:t>
      </w:r>
    </w:p>
    <w:p>
      <w:pPr>
        <w:pStyle w:val="ListBullet"/>
      </w:pPr>
      <w:r>
        <w:t>Other visitors function as an informal guidance layer. Interviews show that where people stand, how long they look, whether they sketch, and how they position themselves can redirect attention without direct communication.</w:t>
      </w:r>
    </w:p>
    <w:p>
      <w:pPr>
        <w:pStyle w:val="ListBullet"/>
      </w:pPr>
      <w:r>
        <w:t>Social behaviour can provide permission to participate. Seeing someone else sketch or interact can signal that a behaviour is acceptable and reduce uncertainty.</w:t>
      </w:r>
    </w:p>
    <w:p>
      <w:pPr>
        <w:pStyle w:val="ListBullet"/>
      </w:pPr>
      <w:r>
        <w:t>Social activity has a threshold effect. Moderate visible activity can attract attention, while excessive crowding can repel visitors.</w:t>
      </w:r>
    </w:p>
    <w:p>
      <w:pPr>
        <w:pStyle w:val="ListBullet"/>
      </w:pPr>
      <w:r>
        <w:t>Seating can be engagement infrastructure, not only a rest facility. It can support longer looking, sketching and conversation.</w:t>
      </w:r>
    </w:p>
    <w:p>
      <w:pPr>
        <w:pStyle w:val="ListBullet"/>
      </w:pPr>
      <w:r>
        <w:t>Creating something can bridge private and social engagement. Making or sketching may begin as an individual activity but create a later desire to compare, share or discuss.</w:t>
      </w:r>
    </w:p>
    <w:p>
      <w:pPr>
        <w:pStyle w:val="Heading1"/>
      </w:pPr>
      <w:r>
        <w:t>7. Integrated Design Tensions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FCE4D6"/>
          </w:tcPr>
          <w:p>
            <w:pPr>
              <w:spacing w:after="0"/>
            </w:pPr>
            <w:r/>
            <w:r>
              <w:rPr>
                <w:b/>
              </w:rPr>
              <w:t>Tension</w:t>
            </w:r>
          </w:p>
        </w:tc>
        <w:tc>
          <w:tcPr>
            <w:tcW w:type="dxa" w:w="3408"/>
            <w:vAlign w:val="center"/>
            <w:shd w:fill="FCE4D6"/>
          </w:tcPr>
          <w:p>
            <w:pPr>
              <w:spacing w:after="0"/>
            </w:pPr>
            <w:r/>
            <w:r>
              <w:rPr>
                <w:b/>
              </w:rPr>
              <w:t>What the evidence shows</w:t>
            </w:r>
          </w:p>
        </w:tc>
        <w:tc>
          <w:tcPr>
            <w:tcW w:type="dxa" w:w="3408"/>
            <w:vAlign w:val="center"/>
            <w:shd w:fill="FCE4D6"/>
          </w:tcPr>
          <w:p>
            <w:pPr>
              <w:spacing w:after="0"/>
            </w:pPr>
            <w:r/>
            <w:r>
              <w:rPr>
                <w:b/>
              </w:rPr>
              <w:t>Design response</w:t>
            </w:r>
          </w:p>
        </w:tc>
      </w:tr>
      <w:tr>
        <w:tc>
          <w:tcPr>
            <w:tcW w:type="dxa" w:w="3408"/>
            <w:vAlign w:val="center"/>
          </w:tcPr>
          <w:p>
            <w:pPr>
              <w:spacing w:after="0"/>
            </w:pPr>
            <w:r/>
            <w:r>
              <w:rPr>
                <w:b w:val="0"/>
              </w:rPr>
              <w:t>Connection ↔ Autonomy</w:t>
            </w:r>
          </w:p>
        </w:tc>
        <w:tc>
          <w:tcPr>
            <w:tcW w:type="dxa" w:w="3408"/>
            <w:vAlign w:val="center"/>
          </w:tcPr>
          <w:p>
            <w:pPr>
              <w:spacing w:after="0"/>
            </w:pPr>
            <w:r/>
            <w:r>
              <w:rPr>
                <w:b w:val="0"/>
              </w:rPr>
              <w:t>Visitors benefit from sociality but also need self-paced, reflective moments.</w:t>
            </w:r>
          </w:p>
        </w:tc>
        <w:tc>
          <w:tcPr>
            <w:tcW w:type="dxa" w:w="3408"/>
            <w:vAlign w:val="center"/>
          </w:tcPr>
          <w:p>
            <w:pPr>
              <w:spacing w:after="0"/>
            </w:pPr>
            <w:r/>
            <w:r>
              <w:rPr>
                <w:b w:val="0"/>
              </w:rPr>
              <w:t>Make social functions optional, asynchronous and easy to ignore.</w:t>
            </w:r>
          </w:p>
        </w:tc>
      </w:tr>
      <w:tr>
        <w:tc>
          <w:tcPr>
            <w:tcW w:type="dxa" w:w="3408"/>
            <w:vAlign w:val="center"/>
          </w:tcPr>
          <w:p>
            <w:pPr>
              <w:spacing w:after="0"/>
            </w:pPr>
            <w:r/>
            <w:r>
              <w:rPr>
                <w:b w:val="0"/>
              </w:rPr>
              <w:t>Guidance ↔ Exploration</w:t>
            </w:r>
          </w:p>
        </w:tc>
        <w:tc>
          <w:tcPr>
            <w:tcW w:type="dxa" w:w="3408"/>
            <w:vAlign w:val="center"/>
          </w:tcPr>
          <w:p>
            <w:pPr>
              <w:spacing w:after="0"/>
            </w:pPr>
            <w:r/>
            <w:r>
              <w:rPr>
                <w:b w:val="0"/>
              </w:rPr>
              <w:t>Guidance can reduce uncertainty, but excessive direction can undermine discovery and visitor ownership.</w:t>
            </w:r>
          </w:p>
        </w:tc>
        <w:tc>
          <w:tcPr>
            <w:tcW w:type="dxa" w:w="3408"/>
            <w:vAlign w:val="center"/>
          </w:tcPr>
          <w:p>
            <w:pPr>
              <w:spacing w:after="0"/>
            </w:pPr>
            <w:r/>
            <w:r>
              <w:rPr>
                <w:b w:val="0"/>
              </w:rPr>
              <w:t>Use prompts, progressive disclosure and optional context rather than fixed routes or prescriptive recommendations.</w:t>
            </w:r>
          </w:p>
        </w:tc>
      </w:tr>
      <w:tr>
        <w:tc>
          <w:tcPr>
            <w:tcW w:type="dxa" w:w="3408"/>
            <w:vAlign w:val="center"/>
          </w:tcPr>
          <w:p>
            <w:pPr>
              <w:spacing w:after="0"/>
            </w:pPr>
            <w:r/>
            <w:r>
              <w:rPr>
                <w:b w:val="0"/>
              </w:rPr>
              <w:t>Information ↔ Engagement</w:t>
            </w:r>
          </w:p>
        </w:tc>
        <w:tc>
          <w:tcPr>
            <w:tcW w:type="dxa" w:w="3408"/>
            <w:vAlign w:val="center"/>
          </w:tcPr>
          <w:p>
            <w:pPr>
              <w:spacing w:after="0"/>
            </w:pPr>
            <w:r/>
            <w:r>
              <w:rPr>
                <w:b w:val="0"/>
              </w:rPr>
              <w:t>Information supports understanding, but too much text/audio competes with looking and doing.</w:t>
            </w:r>
          </w:p>
        </w:tc>
        <w:tc>
          <w:tcPr>
            <w:tcW w:type="dxa" w:w="3408"/>
            <w:vAlign w:val="center"/>
          </w:tcPr>
          <w:p>
            <w:pPr>
              <w:spacing w:after="0"/>
            </w:pPr>
            <w:r/>
            <w:r>
              <w:rPr>
                <w:b w:val="0"/>
              </w:rPr>
              <w:t>Keep content concise and make deeper information available on demand.</w:t>
            </w:r>
          </w:p>
        </w:tc>
      </w:tr>
      <w:tr>
        <w:tc>
          <w:tcPr>
            <w:tcW w:type="dxa" w:w="3408"/>
            <w:vAlign w:val="center"/>
          </w:tcPr>
          <w:p>
            <w:pPr>
              <w:spacing w:after="0"/>
            </w:pPr>
            <w:r/>
            <w:r>
              <w:rPr>
                <w:b w:val="0"/>
              </w:rPr>
              <w:t>Personalisation ↔ Shared experience</w:t>
            </w:r>
          </w:p>
        </w:tc>
        <w:tc>
          <w:tcPr>
            <w:tcW w:type="dxa" w:w="3408"/>
            <w:vAlign w:val="center"/>
          </w:tcPr>
          <w:p>
            <w:pPr>
              <w:spacing w:after="0"/>
            </w:pPr>
            <w:r/>
            <w:r>
              <w:rPr>
                <w:b w:val="0"/>
              </w:rPr>
              <w:t>Personal relevance is useful, but individualised paths can fragment groups.</w:t>
            </w:r>
          </w:p>
        </w:tc>
        <w:tc>
          <w:tcPr>
            <w:tcW w:type="dxa" w:w="3408"/>
            <w:vAlign w:val="center"/>
          </w:tcPr>
          <w:p>
            <w:pPr>
              <w:spacing w:after="0"/>
            </w:pPr>
            <w:r/>
            <w:r>
              <w:rPr>
                <w:b w:val="0"/>
              </w:rPr>
              <w:t>Personalise lightly and preserve opportunities for co-experience and reconnection.</w:t>
            </w:r>
          </w:p>
        </w:tc>
      </w:tr>
      <w:tr>
        <w:tc>
          <w:tcPr>
            <w:tcW w:type="dxa" w:w="3408"/>
            <w:vAlign w:val="center"/>
          </w:tcPr>
          <w:p>
            <w:pPr>
              <w:spacing w:after="0"/>
            </w:pPr>
            <w:r/>
            <w:r>
              <w:rPr>
                <w:b w:val="0"/>
              </w:rPr>
              <w:t>Social activity ↔ Crowding</w:t>
            </w:r>
          </w:p>
        </w:tc>
        <w:tc>
          <w:tcPr>
            <w:tcW w:type="dxa" w:w="3408"/>
            <w:vAlign w:val="center"/>
          </w:tcPr>
          <w:p>
            <w:pPr>
              <w:spacing w:after="0"/>
            </w:pPr>
            <w:r/>
            <w:r>
              <w:rPr>
                <w:b w:val="0"/>
              </w:rPr>
              <w:t>Visible activity can attract attention, but high density can cause avoidance.</w:t>
            </w:r>
          </w:p>
        </w:tc>
        <w:tc>
          <w:tcPr>
            <w:tcW w:type="dxa" w:w="3408"/>
            <w:vAlign w:val="center"/>
          </w:tcPr>
          <w:p>
            <w:pPr>
              <w:spacing w:after="0"/>
            </w:pPr>
            <w:r/>
            <w:r>
              <w:rPr>
                <w:b w:val="0"/>
              </w:rPr>
              <w:t>Avoid using popularity alone as a recommendation signal; consider contextual crowd conditions.</w:t>
            </w:r>
          </w:p>
        </w:tc>
      </w:tr>
      <w:tr>
        <w:tc>
          <w:tcPr>
            <w:tcW w:type="dxa" w:w="3408"/>
            <w:vAlign w:val="center"/>
          </w:tcPr>
          <w:p>
            <w:pPr>
              <w:spacing w:after="0"/>
            </w:pPr>
            <w:r/>
            <w:r>
              <w:rPr>
                <w:b w:val="0"/>
              </w:rPr>
              <w:t>Technology support ↔ Technology distraction</w:t>
            </w:r>
          </w:p>
        </w:tc>
        <w:tc>
          <w:tcPr>
            <w:tcW w:type="dxa" w:w="3408"/>
            <w:vAlign w:val="center"/>
          </w:tcPr>
          <w:p>
            <w:pPr>
              <w:spacing w:after="0"/>
            </w:pPr>
            <w:r/>
            <w:r>
              <w:rPr>
                <w:b w:val="0"/>
              </w:rPr>
              <w:t>Digital mediation can facilitate engagement but can become the focus itself.</w:t>
            </w:r>
          </w:p>
        </w:tc>
        <w:tc>
          <w:tcPr>
            <w:tcW w:type="dxa" w:w="3408"/>
            <w:vAlign w:val="center"/>
          </w:tcPr>
          <w:p>
            <w:pPr>
              <w:spacing w:after="0"/>
            </w:pPr>
            <w:r/>
            <w:r>
              <w:rPr>
                <w:b w:val="0"/>
              </w:rPr>
              <w:t>Use low-attention interactions that redirect attention to artworks and the environment.</w:t>
            </w:r>
          </w:p>
        </w:tc>
      </w:tr>
      <w:tr>
        <w:tc>
          <w:tcPr>
            <w:tcW w:type="dxa" w:w="3408"/>
            <w:vAlign w:val="center"/>
          </w:tcPr>
          <w:p>
            <w:pPr>
              <w:spacing w:after="0"/>
            </w:pPr>
            <w:r/>
            <w:r>
              <w:rPr>
                <w:b w:val="0"/>
              </w:rPr>
              <w:t>Interpretive support ↔ Visitor meaning-making</w:t>
            </w:r>
          </w:p>
        </w:tc>
        <w:tc>
          <w:tcPr>
            <w:tcW w:type="dxa" w:w="3408"/>
            <w:vAlign w:val="center"/>
          </w:tcPr>
          <w:p>
            <w:pPr>
              <w:spacing w:after="0"/>
            </w:pPr>
            <w:r/>
            <w:r>
              <w:rPr>
                <w:b w:val="0"/>
              </w:rPr>
              <w:t>Interpretation can support confidence, but authoritative outputs can narrow personal meaning.</w:t>
            </w:r>
          </w:p>
        </w:tc>
        <w:tc>
          <w:tcPr>
            <w:tcW w:type="dxa" w:w="3408"/>
            <w:vAlign w:val="center"/>
          </w:tcPr>
          <w:p>
            <w:pPr>
              <w:spacing w:after="0"/>
            </w:pPr>
            <w:r/>
            <w:r>
              <w:rPr>
                <w:b w:val="0"/>
              </w:rPr>
              <w:t>Frame content and automated outputs as perspectives or prompts, not truth.</w:t>
            </w:r>
          </w:p>
        </w:tc>
      </w:tr>
    </w:tbl>
    <w:p>
      <w:pPr>
        <w:pStyle w:val="Heading1"/>
      </w:pPr>
      <w:r>
        <w:t>8. Cross-Source User Needs</w:t>
      </w:r>
    </w:p>
    <w:p>
      <w:pPr>
        <w:pStyle w:val="ListNumber"/>
      </w:pPr>
      <w:r>
        <w:t>Visitors need opportunities to discover interesting artworks through social and contextual cues without having their route prescribed.</w:t>
      </w:r>
    </w:p>
    <w:p>
      <w:pPr>
        <w:pStyle w:val="ListNumber"/>
      </w:pPr>
      <w:r>
        <w:t>Visitors need to encounter perspectives beyond their own while retaining ownership of interpretation.</w:t>
      </w:r>
    </w:p>
    <w:p>
      <w:pPr>
        <w:pStyle w:val="ListNumber"/>
      </w:pPr>
      <w:r>
        <w:t>Visitors need control over pace, sequence and when they engage socially.</w:t>
      </w:r>
    </w:p>
    <w:p>
      <w:pPr>
        <w:pStyle w:val="ListNumber"/>
      </w:pPr>
      <w:r>
        <w:t>Visitors need lightweight ways to reconnect and share discoveries after exploring independently.</w:t>
      </w:r>
    </w:p>
    <w:p>
      <w:pPr>
        <w:pStyle w:val="ListNumber"/>
      </w:pPr>
      <w:r>
        <w:t>Visitors need active, participatory reasons to look more carefully rather than simply more information.</w:t>
      </w:r>
    </w:p>
    <w:p>
      <w:pPr>
        <w:pStyle w:val="ListNumber"/>
      </w:pPr>
      <w:r>
        <w:t>Visitors need guidance that is concise, optional and available at the moment it becomes useful.</w:t>
      </w:r>
    </w:p>
    <w:p>
      <w:pPr>
        <w:pStyle w:val="ListNumber"/>
      </w:pPr>
      <w:r>
        <w:t>Visitors need social features that do not require direct communication with strangers.</w:t>
      </w:r>
    </w:p>
    <w:p>
      <w:pPr>
        <w:pStyle w:val="ListNumber"/>
      </w:pPr>
      <w:r>
        <w:t>Visitors need technology that preserves attention to artworks, companions and the physical gallery.</w:t>
      </w:r>
    </w:p>
    <w:p>
      <w:pPr>
        <w:pStyle w:val="ListNumber"/>
      </w:pPr>
      <w:r>
        <w:t>Visitors need interaction that accounts for spatial and practical conditions such as crowding, navigation, seating and atmosphere.</w:t>
      </w:r>
    </w:p>
    <w:p>
      <w:pPr>
        <w:pStyle w:val="ListNumber"/>
      </w:pPr>
      <w:r>
        <w:t>Visitors need adaptable options because motivations, confidence, information preferences and social preferences differ.</w:t>
      </w:r>
    </w:p>
    <w:p>
      <w:pPr>
        <w:pStyle w:val="Heading1"/>
      </w:pPr>
      <w:r>
        <w:t>9. Cross-Source Design Principles</w:t>
      </w:r>
    </w:p>
    <w:p>
      <w:pPr>
        <w:pStyle w:val="ListBullet"/>
      </w:pPr>
      <w:r>
        <w:t>Preserve visitor agency: allow control over pace, route, information depth and social participation.</w:t>
      </w:r>
    </w:p>
    <w:p>
      <w:pPr>
        <w:pStyle w:val="ListBullet"/>
      </w:pPr>
      <w:r>
        <w:t>Support social awareness before adding direct communication features.</w:t>
      </w:r>
    </w:p>
    <w:p>
      <w:pPr>
        <w:pStyle w:val="ListBullet"/>
      </w:pPr>
      <w:r>
        <w:t>Enable asynchronous sharing so visitors can separate and reconnect without losing the shared experience.</w:t>
      </w:r>
    </w:p>
    <w:p>
      <w:pPr>
        <w:pStyle w:val="ListBullet"/>
      </w:pPr>
      <w:r>
        <w:t>Prompt active observation and participation rather than relying on passive content delivery.</w:t>
      </w:r>
    </w:p>
    <w:p>
      <w:pPr>
        <w:pStyle w:val="ListBullet"/>
      </w:pPr>
      <w:r>
        <w:t>Use progressive disclosure: small cue first, deeper context only when requested.</w:t>
      </w:r>
    </w:p>
    <w:p>
      <w:pPr>
        <w:pStyle w:val="ListBullet"/>
      </w:pPr>
      <w:r>
        <w:t>Redirect attention toward artworks and the physical environment after every digital intervention.</w:t>
      </w:r>
    </w:p>
    <w:p>
      <w:pPr>
        <w:pStyle w:val="ListBullet"/>
      </w:pPr>
      <w:r>
        <w:t>Do not equate popularity with value; account for crowding and contextual conditions.</w:t>
      </w:r>
    </w:p>
    <w:p>
      <w:pPr>
        <w:pStyle w:val="ListBullet"/>
      </w:pPr>
      <w:r>
        <w:t>Offer adaptable interaction styles rather than a single fixed experience.</w:t>
      </w:r>
    </w:p>
    <w:p>
      <w:pPr>
        <w:pStyle w:val="ListBullet"/>
      </w:pPr>
      <w:r>
        <w:t>Frame interpretive or system-generated outputs as prompts and perspectives rather than objective truth.</w:t>
      </w:r>
    </w:p>
    <w:p>
      <w:pPr>
        <w:pStyle w:val="ListBullet"/>
      </w:pPr>
      <w:r>
        <w:t>Design for the whole situated gallery system, including movement, seating, visibility, noise, proximity and atmosphere.</w:t>
      </w:r>
    </w:p>
    <w:p>
      <w:pPr>
        <w:pStyle w:val="Heading1"/>
      </w:pPr>
      <w:r>
        <w:t>10. Integrated Design Opportunities</w:t>
      </w:r>
    </w:p>
    <w:p>
      <w:pPr>
        <w:pStyle w:val="Heading2"/>
      </w:pPr>
      <w:r>
        <w:t>Opportunity 1 - Reveal lightweight social traces</w:t>
      </w:r>
    </w:p>
    <w:p>
      <w:r>
        <w:t>Make subtle social activity visible, such as what others noticed, where they looked from, or that someone returned to an artwork, without turning this into a popularity leaderboard.</w:t>
      </w:r>
    </w:p>
    <w:p>
      <w:pPr>
        <w:pStyle w:val="Heading2"/>
      </w:pPr>
      <w:r>
        <w:t>Opportunity 2 - Support asynchronous group exploration</w:t>
      </w:r>
    </w:p>
    <w:p>
      <w:r>
        <w:t>Allow companions to separate, leave lightweight reactions or observations, and encounter one another's discoveries later.</w:t>
      </w:r>
    </w:p>
    <w:p>
      <w:pPr>
        <w:pStyle w:val="Heading2"/>
      </w:pPr>
      <w:r>
        <w:t>Opportunity 3 - Prompt deeper observation</w:t>
      </w:r>
    </w:p>
    <w:p>
      <w:r>
        <w:t>Use small activities such as looking from another position, finding a detail, sketching, comparing, or responding to a question.</w:t>
      </w:r>
    </w:p>
    <w:p>
      <w:pPr>
        <w:pStyle w:val="Heading2"/>
      </w:pPr>
      <w:r>
        <w:t>Opportunity 4 - Provide optional contextual depth</w:t>
      </w:r>
    </w:p>
    <w:p>
      <w:r>
        <w:t>Offer a brief cue or interpretation first, followed by deeper information only when the visitor chooses.</w:t>
      </w:r>
    </w:p>
    <w:p>
      <w:pPr>
        <w:pStyle w:val="Heading2"/>
      </w:pPr>
      <w:r>
        <w:t>Opportunity 5 - Design for context-sensitive engagement</w:t>
      </w:r>
    </w:p>
    <w:p>
      <w:r>
        <w:t>Consider crowding, available space, seating, movement and atmosphere when determining when and how an interaction should appear.</w:t>
      </w:r>
    </w:p>
    <w:p>
      <w:pPr>
        <w:pStyle w:val="Heading1"/>
      </w:pPr>
      <w:r>
        <w:t>11. Integrated Core Insight</w:t>
      </w:r>
    </w:p>
    <w:p>
      <w:r>
        <w:rPr>
          <w:b/>
        </w:rPr>
        <w:t>Gallery experiences are shaped by the interaction between artworks, visitors, other people, the physical environment and mediating technology. Across the literature, interviews and culture probe, the strongest opportunity is not to add more information or more communication, but to support active and social engagement while preserving visitor autonomy and attention to the physical gallery. Visitors benefit from other people's presence, perspectives and activity, yet they also need control over pace, interpretation and participation. This points toward lightweight, context-sensitive technology that helps visitors notice, act, share and reconnect without becoming the centre of the experience.</w:t>
      </w:r>
    </w:p>
    <w:p>
      <w:r>
        <w:rPr>
          <w:b/>
        </w:rPr>
        <w:t xml:space="preserve">Integrated design question: </w:t>
      </w:r>
      <w:r>
        <w:t>How might we make the social activity, perspectives and discoveries already present within galleries more visible and useful, while preserving visitors' independence, attention and freedom to explore?</w:t>
      </w:r>
    </w:p>
    <w:p>
      <w:pPr>
        <w:pStyle w:val="Heading1"/>
      </w:pPr>
      <w:r>
        <w:t>12. Interpretation Boundary</w:t>
      </w:r>
    </w:p>
    <w:p>
      <w:r>
        <w:t>The triangulation strengthens conclusions that are supported across multiple sources, but it does not justify assuming a particular technology solution. The combined evidence supports sociality, active participation, optional guidance and contextual awareness, but does not by itself establish that visitors want a chat application, AI-generated interpretation, stranger messaging, a compulsory personalised route, or any other specific implementation. Those decisions should be evaluated in the next concept-development and testing stage.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