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8BBAC" w14:textId="0AFFD658" w:rsidR="000C787D" w:rsidRDefault="00000000" w:rsidP="002B5947">
      <w:pPr>
        <w:pStyle w:val="Title"/>
        <w:pBdr>
          <w:bottom w:val="single" w:sz="8" w:space="13" w:color="4F81BD" w:themeColor="accent1"/>
        </w:pBdr>
        <w:spacing w:after="100" w:line="259" w:lineRule="auto"/>
        <w:jc w:val="center"/>
      </w:pPr>
      <w:r>
        <w:rPr>
          <w:b/>
        </w:rPr>
        <w:t>Literature Analysis</w:t>
      </w:r>
    </w:p>
    <w:p w14:paraId="47D4AFD8" w14:textId="77777777" w:rsidR="000C787D" w:rsidRDefault="00000000">
      <w:pPr>
        <w:pStyle w:val="Heading1"/>
        <w:spacing w:after="100" w:line="259" w:lineRule="auto"/>
      </w:pPr>
      <w:r>
        <w:t>1. Purpose and Scope</w:t>
      </w:r>
    </w:p>
    <w:p w14:paraId="456ABCC6" w14:textId="77777777" w:rsidR="000C787D" w:rsidRDefault="00000000">
      <w:pPr>
        <w:spacing w:after="100" w:line="259" w:lineRule="auto"/>
      </w:pPr>
      <w:r>
        <w:t>This document analyses the uploaded museum and art-gallery research papers as a literature dataset. The aim is to identify recurring concepts, findings, tensions, and design implications that can later be used to build a literature-informed coding framework. No interview findings are included here. Where the same paper appears in more than one uploaded file or translation, it is treated as one study to avoid double-counting.</w:t>
      </w:r>
    </w:p>
    <w:p w14:paraId="2AD8C076" w14:textId="77777777" w:rsidR="000C787D" w:rsidRDefault="00000000">
      <w:pPr>
        <w:pStyle w:val="Heading1"/>
        <w:spacing w:after="100" w:line="259" w:lineRule="auto"/>
      </w:pPr>
      <w:r>
        <w:t>2. Analysis Process</w:t>
      </w:r>
    </w:p>
    <w:p w14:paraId="585C421D" w14:textId="77777777" w:rsidR="000C787D" w:rsidRDefault="00000000">
      <w:pPr>
        <w:pStyle w:val="ListNumber"/>
        <w:spacing w:after="100" w:line="259" w:lineRule="auto"/>
      </w:pPr>
      <w:r>
        <w:t>Familiarise with each paper and identify its research focus.</w:t>
      </w:r>
    </w:p>
    <w:p w14:paraId="666124CE" w14:textId="77777777" w:rsidR="000C787D" w:rsidRDefault="00000000">
      <w:pPr>
        <w:pStyle w:val="ListNumber"/>
        <w:spacing w:after="100" w:line="259" w:lineRule="auto"/>
      </w:pPr>
      <w:r>
        <w:t>Extract the study purpose, method, major findings, and stated design implications.</w:t>
      </w:r>
    </w:p>
    <w:p w14:paraId="37CDDD9C" w14:textId="77777777" w:rsidR="000C787D" w:rsidRDefault="00000000">
      <w:pPr>
        <w:pStyle w:val="ListNumber"/>
        <w:spacing w:after="100" w:line="259" w:lineRule="auto"/>
      </w:pPr>
      <w:r>
        <w:t>Generate initial literature codes that stay close to the terminology and findings reported in the papers.</w:t>
      </w:r>
    </w:p>
    <w:p w14:paraId="6FBB7D4A" w14:textId="77777777" w:rsidR="000C787D" w:rsidRDefault="00000000">
      <w:pPr>
        <w:pStyle w:val="ListNumber"/>
        <w:spacing w:after="100" w:line="259" w:lineRule="auto"/>
      </w:pPr>
      <w:r>
        <w:t>Group related codes into broader categories.</w:t>
      </w:r>
    </w:p>
    <w:p w14:paraId="06C27500" w14:textId="77777777" w:rsidR="000C787D" w:rsidRDefault="00000000">
      <w:pPr>
        <w:pStyle w:val="ListNumber"/>
        <w:spacing w:after="100" w:line="259" w:lineRule="auto"/>
      </w:pPr>
      <w:r>
        <w:t>Compare patterns, differences, and tensions across papers.</w:t>
      </w:r>
    </w:p>
    <w:p w14:paraId="6D0F30E0" w14:textId="77777777" w:rsidR="000C787D" w:rsidRDefault="00000000">
      <w:pPr>
        <w:pStyle w:val="ListNumber"/>
        <w:spacing w:after="100" w:line="259" w:lineRule="auto"/>
      </w:pPr>
      <w:r>
        <w:t>Develop higher-level literature themes.</w:t>
      </w:r>
    </w:p>
    <w:p w14:paraId="7AD30432" w14:textId="77777777" w:rsidR="000C787D" w:rsidRDefault="00000000">
      <w:pPr>
        <w:pStyle w:val="ListNumber"/>
        <w:spacing w:after="100" w:line="259" w:lineRule="auto"/>
      </w:pPr>
      <w:r>
        <w:t>Translate the themes into a literature-informed analytical framework for later stages of the project.</w:t>
      </w:r>
    </w:p>
    <w:p w14:paraId="0C54F7EA" w14:textId="77777777" w:rsidR="000C787D" w:rsidRDefault="00000000">
      <w:pPr>
        <w:spacing w:after="100" w:line="259" w:lineRule="auto"/>
      </w:pPr>
      <w:r>
        <w:rPr>
          <w:b/>
        </w:rPr>
        <w:t xml:space="preserve">Important methodological note: </w:t>
      </w:r>
      <w:r>
        <w:t>the protocol paper is treated as a conceptual/design source rather than as an empirical findings paper.</w:t>
      </w:r>
    </w:p>
    <w:p w14:paraId="32B78854" w14:textId="77777777" w:rsidR="000C787D" w:rsidRDefault="00000000">
      <w:pPr>
        <w:pStyle w:val="Heading1"/>
        <w:spacing w:after="100" w:line="259" w:lineRule="auto"/>
      </w:pPr>
      <w:r>
        <w:t>3. Paper-by-Paper Extraction and Coding</w:t>
      </w:r>
    </w:p>
    <w:p w14:paraId="45F5BA75" w14:textId="77777777" w:rsidR="000C787D" w:rsidRDefault="00000000">
      <w:pPr>
        <w:pStyle w:val="Heading2"/>
        <w:spacing w:after="100" w:line="259" w:lineRule="auto"/>
      </w:pPr>
      <w:r>
        <w:t>1. Partners in (Solving) Crime: Promoting Sociality through Play in Hybrid Museum Visits (2024)</w:t>
      </w:r>
    </w:p>
    <w:tbl>
      <w:tblPr>
        <w:tblStyle w:val="TableGrid"/>
        <w:tblW w:w="0" w:type="auto"/>
        <w:jc w:val="center"/>
        <w:tblLook w:val="04A0" w:firstRow="1" w:lastRow="0" w:firstColumn="1" w:lastColumn="0" w:noHBand="0" w:noVBand="1"/>
      </w:tblPr>
      <w:tblGrid>
        <w:gridCol w:w="3091"/>
        <w:gridCol w:w="7149"/>
      </w:tblGrid>
      <w:tr w:rsidR="000C787D" w14:paraId="38118C79" w14:textId="77777777">
        <w:trPr>
          <w:jc w:val="center"/>
        </w:trPr>
        <w:tc>
          <w:tcPr>
            <w:tcW w:w="3168" w:type="dxa"/>
            <w:shd w:val="clear" w:color="auto" w:fill="EDEDED"/>
            <w:tcMar>
              <w:top w:w="80" w:type="dxa"/>
              <w:left w:w="80" w:type="dxa"/>
              <w:bottom w:w="80" w:type="dxa"/>
              <w:right w:w="80" w:type="dxa"/>
            </w:tcMar>
          </w:tcPr>
          <w:p w14:paraId="7EFF0054" w14:textId="77777777" w:rsidR="000C787D" w:rsidRDefault="00000000">
            <w:r>
              <w:t>Source type</w:t>
            </w:r>
          </w:p>
        </w:tc>
        <w:tc>
          <w:tcPr>
            <w:tcW w:w="7344" w:type="dxa"/>
            <w:tcMar>
              <w:top w:w="80" w:type="dxa"/>
              <w:left w:w="80" w:type="dxa"/>
              <w:bottom w:w="80" w:type="dxa"/>
              <w:right w:w="80" w:type="dxa"/>
            </w:tcMar>
          </w:tcPr>
          <w:p w14:paraId="17BC90F4" w14:textId="77777777" w:rsidR="000C787D" w:rsidRDefault="00000000">
            <w:r>
              <w:t>Preliminary empirical / design evaluation</w:t>
            </w:r>
          </w:p>
        </w:tc>
      </w:tr>
      <w:tr w:rsidR="000C787D" w14:paraId="568E9B81" w14:textId="77777777">
        <w:trPr>
          <w:jc w:val="center"/>
        </w:trPr>
        <w:tc>
          <w:tcPr>
            <w:tcW w:w="3168" w:type="dxa"/>
            <w:shd w:val="clear" w:color="auto" w:fill="EDEDED"/>
            <w:tcMar>
              <w:top w:w="80" w:type="dxa"/>
              <w:left w:w="80" w:type="dxa"/>
              <w:bottom w:w="80" w:type="dxa"/>
              <w:right w:w="80" w:type="dxa"/>
            </w:tcMar>
          </w:tcPr>
          <w:p w14:paraId="1446E1C4" w14:textId="77777777" w:rsidR="000C787D" w:rsidRDefault="00000000">
            <w:r>
              <w:t>Purpose</w:t>
            </w:r>
          </w:p>
        </w:tc>
        <w:tc>
          <w:tcPr>
            <w:tcW w:w="7344" w:type="dxa"/>
            <w:tcMar>
              <w:top w:w="80" w:type="dxa"/>
              <w:left w:w="80" w:type="dxa"/>
              <w:bottom w:w="80" w:type="dxa"/>
              <w:right w:w="80" w:type="dxa"/>
            </w:tcMar>
          </w:tcPr>
          <w:p w14:paraId="7E4FCD94" w14:textId="77777777" w:rsidR="000C787D" w:rsidRDefault="00000000">
            <w:r>
              <w:t>To explore whether an asymmetric cooperative game can enhance sociality, engagement, and informal learning in hybrid museum visits involving one on-site and one remote visitor.</w:t>
            </w:r>
          </w:p>
        </w:tc>
      </w:tr>
      <w:tr w:rsidR="000C787D" w14:paraId="3F344F6C" w14:textId="77777777">
        <w:trPr>
          <w:jc w:val="center"/>
        </w:trPr>
        <w:tc>
          <w:tcPr>
            <w:tcW w:w="3168" w:type="dxa"/>
            <w:shd w:val="clear" w:color="auto" w:fill="EDEDED"/>
            <w:tcMar>
              <w:top w:w="80" w:type="dxa"/>
              <w:left w:w="80" w:type="dxa"/>
              <w:bottom w:w="80" w:type="dxa"/>
              <w:right w:w="80" w:type="dxa"/>
            </w:tcMar>
          </w:tcPr>
          <w:p w14:paraId="37F07D8E" w14:textId="77777777" w:rsidR="000C787D" w:rsidRDefault="00000000">
            <w:r>
              <w:t>Method</w:t>
            </w:r>
          </w:p>
        </w:tc>
        <w:tc>
          <w:tcPr>
            <w:tcW w:w="7344" w:type="dxa"/>
            <w:tcMar>
              <w:top w:w="80" w:type="dxa"/>
              <w:left w:w="80" w:type="dxa"/>
              <w:bottom w:w="80" w:type="dxa"/>
              <w:right w:w="80" w:type="dxa"/>
            </w:tcMar>
          </w:tcPr>
          <w:p w14:paraId="200D7453" w14:textId="77777777" w:rsidR="000C787D" w:rsidRDefault="00000000">
            <w:r>
              <w:t>Early prototype playtesting in two hybrid sessions, followed by focus-group discussion. Communication and interaction were examined across player communication, game content, and overall user experience.</w:t>
            </w:r>
          </w:p>
        </w:tc>
      </w:tr>
    </w:tbl>
    <w:p w14:paraId="54D7AFB6" w14:textId="77777777" w:rsidR="000C787D" w:rsidRDefault="00000000">
      <w:pPr>
        <w:spacing w:after="100" w:line="259" w:lineRule="auto"/>
      </w:pPr>
      <w:r>
        <w:rPr>
          <w:b/>
        </w:rPr>
        <w:t>Key findings</w:t>
      </w:r>
    </w:p>
    <w:p w14:paraId="717CABE9" w14:textId="77777777" w:rsidR="000C787D" w:rsidRDefault="00000000">
      <w:pPr>
        <w:pStyle w:val="ListBullet"/>
        <w:spacing w:after="100" w:line="259" w:lineRule="auto"/>
      </w:pPr>
      <w:r>
        <w:t>Restricting communication made puzzle solving feel mechanical and reduced opportunities for reflection.</w:t>
      </w:r>
    </w:p>
    <w:p w14:paraId="56DBFED5" w14:textId="77777777" w:rsidR="000C787D" w:rsidRDefault="00000000">
      <w:pPr>
        <w:pStyle w:val="ListBullet"/>
        <w:spacing w:after="100" w:line="259" w:lineRule="auto"/>
      </w:pPr>
      <w:r>
        <w:t>Allowing players to communicate freely was experienced as a clear improvement; players could use mute controls when individual focus was needed.</w:t>
      </w:r>
    </w:p>
    <w:p w14:paraId="50CC0E84" w14:textId="77777777" w:rsidR="000C787D" w:rsidRDefault="00000000">
      <w:pPr>
        <w:pStyle w:val="ListBullet"/>
        <w:spacing w:after="100" w:line="259" w:lineRule="auto"/>
      </w:pPr>
      <w:r>
        <w:t>Players valued moments when they could contribute useful information to their partner and help progress the shared task.</w:t>
      </w:r>
    </w:p>
    <w:p w14:paraId="3F55AF53" w14:textId="77777777" w:rsidR="000C787D" w:rsidRDefault="00000000">
      <w:pPr>
        <w:pStyle w:val="ListBullet"/>
        <w:spacing w:after="100" w:line="259" w:lineRule="auto"/>
      </w:pPr>
      <w:r>
        <w:t>Asymmetric roles can create alternating dependence, helping each participant feel useful without requiring constant contribution.</w:t>
      </w:r>
    </w:p>
    <w:p w14:paraId="5533E708" w14:textId="77777777" w:rsidR="000C787D" w:rsidRDefault="00000000">
      <w:pPr>
        <w:pStyle w:val="ListBullet"/>
        <w:spacing w:after="100" w:line="259" w:lineRule="auto"/>
      </w:pPr>
      <w:r>
        <w:t>Educational information needs careful curation and integration because too much content can interrupt game flow or overwhelm one player.</w:t>
      </w:r>
    </w:p>
    <w:p w14:paraId="4332FC9E" w14:textId="77777777" w:rsidR="000C787D" w:rsidRDefault="00000000">
      <w:pPr>
        <w:pStyle w:val="ListBullet"/>
        <w:spacing w:after="100" w:line="259" w:lineRule="auto"/>
      </w:pPr>
      <w:r>
        <w:lastRenderedPageBreak/>
        <w:t>Optional hints can support progression when participants encounter difficulty.</w:t>
      </w:r>
    </w:p>
    <w:p w14:paraId="161203A8" w14:textId="77777777" w:rsidR="000C787D" w:rsidRDefault="00000000">
      <w:pPr>
        <w:spacing w:after="100" w:line="259" w:lineRule="auto"/>
      </w:pPr>
      <w:r>
        <w:rPr>
          <w:b/>
        </w:rPr>
        <w:t>Initial literature codes</w:t>
      </w:r>
    </w:p>
    <w:p w14:paraId="4C22F7BB" w14:textId="77777777" w:rsidR="000C787D" w:rsidRDefault="00000000">
      <w:pPr>
        <w:spacing w:after="100" w:line="259" w:lineRule="auto"/>
      </w:pPr>
      <w:r>
        <w:t>asymmetric collaboration • free communication • player control • reflection time • mutual contribution • alternating dependence • optional hints • information overload • game flow • hybrid sociality</w:t>
      </w:r>
    </w:p>
    <w:p w14:paraId="7486A782" w14:textId="77777777" w:rsidR="000C787D" w:rsidRDefault="00000000">
      <w:pPr>
        <w:spacing w:after="100" w:line="259" w:lineRule="auto"/>
      </w:pPr>
      <w:r>
        <w:rPr>
          <w:b/>
        </w:rPr>
        <w:t>Design implication from this paper</w:t>
      </w:r>
    </w:p>
    <w:p w14:paraId="6CD5199D" w14:textId="77777777" w:rsidR="000C787D" w:rsidRDefault="00000000">
      <w:pPr>
        <w:spacing w:after="100" w:line="259" w:lineRule="auto"/>
      </w:pPr>
      <w:r>
        <w:t>Design cooperative activities so each participant has a meaningful role; allow communication rather than artificially restricting it; give users control over pacing/focus; integrate learning content without disrupting the social activity.</w:t>
      </w:r>
    </w:p>
    <w:p w14:paraId="464491BF" w14:textId="77777777" w:rsidR="000C787D" w:rsidRDefault="00000000">
      <w:pPr>
        <w:pStyle w:val="Heading2"/>
        <w:spacing w:after="100" w:line="259" w:lineRule="auto"/>
      </w:pPr>
      <w:r>
        <w:t>2. The Silent Conversation: Designing for Introspection and Social Play in Art Museums (2020)</w:t>
      </w:r>
    </w:p>
    <w:tbl>
      <w:tblPr>
        <w:tblStyle w:val="TableGrid"/>
        <w:tblW w:w="0" w:type="auto"/>
        <w:jc w:val="center"/>
        <w:tblLook w:val="04A0" w:firstRow="1" w:lastRow="0" w:firstColumn="1" w:lastColumn="0" w:noHBand="0" w:noVBand="1"/>
      </w:tblPr>
      <w:tblGrid>
        <w:gridCol w:w="3094"/>
        <w:gridCol w:w="7146"/>
      </w:tblGrid>
      <w:tr w:rsidR="000C787D" w14:paraId="12657E4C" w14:textId="77777777">
        <w:trPr>
          <w:jc w:val="center"/>
        </w:trPr>
        <w:tc>
          <w:tcPr>
            <w:tcW w:w="3168" w:type="dxa"/>
            <w:shd w:val="clear" w:color="auto" w:fill="EDEDED"/>
            <w:tcMar>
              <w:top w:w="80" w:type="dxa"/>
              <w:left w:w="80" w:type="dxa"/>
              <w:bottom w:w="80" w:type="dxa"/>
              <w:right w:w="80" w:type="dxa"/>
            </w:tcMar>
          </w:tcPr>
          <w:p w14:paraId="4F983403" w14:textId="77777777" w:rsidR="000C787D" w:rsidRDefault="00000000">
            <w:r>
              <w:t>Source type</w:t>
            </w:r>
          </w:p>
        </w:tc>
        <w:tc>
          <w:tcPr>
            <w:tcW w:w="7344" w:type="dxa"/>
            <w:tcMar>
              <w:top w:w="80" w:type="dxa"/>
              <w:left w:w="80" w:type="dxa"/>
              <w:bottom w:w="80" w:type="dxa"/>
              <w:right w:w="80" w:type="dxa"/>
            </w:tcMar>
          </w:tcPr>
          <w:p w14:paraId="1D1038F3" w14:textId="77777777" w:rsidR="000C787D" w:rsidRDefault="00000000">
            <w:r>
              <w:t>Empirical design-led field study</w:t>
            </w:r>
          </w:p>
        </w:tc>
      </w:tr>
      <w:tr w:rsidR="000C787D" w14:paraId="0836077D" w14:textId="77777777">
        <w:trPr>
          <w:jc w:val="center"/>
        </w:trPr>
        <w:tc>
          <w:tcPr>
            <w:tcW w:w="3168" w:type="dxa"/>
            <w:shd w:val="clear" w:color="auto" w:fill="EDEDED"/>
            <w:tcMar>
              <w:top w:w="80" w:type="dxa"/>
              <w:left w:w="80" w:type="dxa"/>
              <w:bottom w:w="80" w:type="dxa"/>
              <w:right w:w="80" w:type="dxa"/>
            </w:tcMar>
          </w:tcPr>
          <w:p w14:paraId="5AAAF00A" w14:textId="77777777" w:rsidR="000C787D" w:rsidRDefault="00000000">
            <w:r>
              <w:t>Purpose</w:t>
            </w:r>
          </w:p>
        </w:tc>
        <w:tc>
          <w:tcPr>
            <w:tcW w:w="7344" w:type="dxa"/>
            <w:tcMar>
              <w:top w:w="80" w:type="dxa"/>
              <w:left w:w="80" w:type="dxa"/>
              <w:bottom w:w="80" w:type="dxa"/>
              <w:right w:w="80" w:type="dxa"/>
            </w:tcMar>
          </w:tcPr>
          <w:p w14:paraId="6AC7A5F1" w14:textId="77777777" w:rsidR="000C787D" w:rsidRDefault="00000000">
            <w:r>
              <w:t>To explore how a two-player mobile experience can combine social play with personal and introspective engagement in an art museum.</w:t>
            </w:r>
          </w:p>
        </w:tc>
      </w:tr>
      <w:tr w:rsidR="000C787D" w14:paraId="2FEAE9B4" w14:textId="77777777">
        <w:trPr>
          <w:jc w:val="center"/>
        </w:trPr>
        <w:tc>
          <w:tcPr>
            <w:tcW w:w="3168" w:type="dxa"/>
            <w:shd w:val="clear" w:color="auto" w:fill="EDEDED"/>
            <w:tcMar>
              <w:top w:w="80" w:type="dxa"/>
              <w:left w:w="80" w:type="dxa"/>
              <w:bottom w:w="80" w:type="dxa"/>
              <w:right w:w="80" w:type="dxa"/>
            </w:tcMar>
          </w:tcPr>
          <w:p w14:paraId="1BCA0055" w14:textId="77777777" w:rsidR="000C787D" w:rsidRDefault="00000000">
            <w:r>
              <w:t>Method</w:t>
            </w:r>
          </w:p>
        </w:tc>
        <w:tc>
          <w:tcPr>
            <w:tcW w:w="7344" w:type="dxa"/>
            <w:tcMar>
              <w:top w:w="80" w:type="dxa"/>
              <w:left w:w="80" w:type="dxa"/>
              <w:bottom w:w="80" w:type="dxa"/>
              <w:right w:w="80" w:type="dxa"/>
            </w:tcMar>
          </w:tcPr>
          <w:p w14:paraId="2F7B8004" w14:textId="77777777" w:rsidR="000C787D" w:rsidRDefault="00000000">
            <w:r>
              <w:t>Field trial of the mobile web app “Never let me go.” Participants visited in pairs, with one person sending prompts to the other. Observation, photographs, semi-structured paired interviews, and inductive content analysis were used.</w:t>
            </w:r>
          </w:p>
        </w:tc>
      </w:tr>
    </w:tbl>
    <w:p w14:paraId="62146678" w14:textId="77777777" w:rsidR="000C787D" w:rsidRDefault="00000000">
      <w:pPr>
        <w:spacing w:after="100" w:line="259" w:lineRule="auto"/>
      </w:pPr>
      <w:r>
        <w:rPr>
          <w:b/>
        </w:rPr>
        <w:t>Key findings</w:t>
      </w:r>
    </w:p>
    <w:p w14:paraId="43ABFFC1" w14:textId="77777777" w:rsidR="000C787D" w:rsidRDefault="00000000">
      <w:pPr>
        <w:pStyle w:val="ListBullet"/>
        <w:spacing w:after="100" w:line="259" w:lineRule="auto"/>
      </w:pPr>
      <w:r>
        <w:t>Participants used the system both to create personal/introspective encounters with art and to explore their relationship through teasing, play, and social boundary-pushing.</w:t>
      </w:r>
    </w:p>
    <w:p w14:paraId="387F7A1D" w14:textId="77777777" w:rsidR="000C787D" w:rsidRDefault="00000000">
      <w:pPr>
        <w:pStyle w:val="ListBullet"/>
        <w:spacing w:after="100" w:line="259" w:lineRule="auto"/>
      </w:pPr>
      <w:r>
        <w:t>Communication did not have to be ordinary conversation: silent, prompt-based and bodily communication could be enjoyable and meaningful.</w:t>
      </w:r>
    </w:p>
    <w:p w14:paraId="0D7C6CB3" w14:textId="77777777" w:rsidR="000C787D" w:rsidRDefault="00000000">
      <w:pPr>
        <w:pStyle w:val="ListBullet"/>
        <w:spacing w:after="100" w:line="259" w:lineRule="auto"/>
      </w:pPr>
      <w:r>
        <w:t>The relationship and existing trust between companions shaped which prompts were chosen and how they were interpreted.</w:t>
      </w:r>
    </w:p>
    <w:p w14:paraId="7962D169" w14:textId="77777777" w:rsidR="000C787D" w:rsidRDefault="00000000">
      <w:pPr>
        <w:pStyle w:val="ListBullet"/>
        <w:spacing w:after="100" w:line="259" w:lineRule="auto"/>
      </w:pPr>
      <w:r>
        <w:t>Play could give visitors permission to behave differently and encounter artworks in more embodied or unexpected ways while still respecting museum boundaries.</w:t>
      </w:r>
    </w:p>
    <w:p w14:paraId="5F08A6CC" w14:textId="77777777" w:rsidR="000C787D" w:rsidRDefault="00000000">
      <w:pPr>
        <w:pStyle w:val="ListBullet"/>
        <w:spacing w:after="100" w:line="259" w:lineRule="auto"/>
      </w:pPr>
      <w:r>
        <w:t>Social interaction sometimes deepened engagement with art but could also draw attention away from the artwork toward the companion.</w:t>
      </w:r>
    </w:p>
    <w:p w14:paraId="69F3D179" w14:textId="77777777" w:rsidR="000C787D" w:rsidRDefault="00000000">
      <w:pPr>
        <w:pStyle w:val="ListBullet"/>
        <w:spacing w:after="100" w:line="259" w:lineRule="auto"/>
      </w:pPr>
      <w:r>
        <w:t>Timing was critical: prompts delivered at the wrong time could become confusing or relate to the wrong artwork.</w:t>
      </w:r>
    </w:p>
    <w:p w14:paraId="49B80857" w14:textId="77777777" w:rsidR="000C787D" w:rsidRDefault="00000000">
      <w:pPr>
        <w:pStyle w:val="ListBullet"/>
        <w:spacing w:after="100" w:line="259" w:lineRule="auto"/>
      </w:pPr>
      <w:r>
        <w:t>Giving visitors more control over orchestrating experiences for one another supported deeply personal, playful, and sometimes serendipitous experiences.</w:t>
      </w:r>
    </w:p>
    <w:p w14:paraId="3424D556" w14:textId="77777777" w:rsidR="000C787D" w:rsidRDefault="00000000">
      <w:pPr>
        <w:spacing w:after="100" w:line="259" w:lineRule="auto"/>
      </w:pPr>
      <w:r>
        <w:rPr>
          <w:b/>
        </w:rPr>
        <w:t>Initial literature codes</w:t>
      </w:r>
    </w:p>
    <w:p w14:paraId="04191505" w14:textId="77777777" w:rsidR="000C787D" w:rsidRDefault="00000000">
      <w:pPr>
        <w:spacing w:after="100" w:line="259" w:lineRule="auto"/>
      </w:pPr>
      <w:r>
        <w:t>introspection • social play • silent communication • embodied interaction • trust • relationship knowledge • visitor control • improvisation • timing • social boundaries • serendipity • personal meaning-making</w:t>
      </w:r>
    </w:p>
    <w:p w14:paraId="51480CF3" w14:textId="77777777" w:rsidR="000C787D" w:rsidRDefault="00000000">
      <w:pPr>
        <w:spacing w:after="100" w:line="259" w:lineRule="auto"/>
      </w:pPr>
      <w:r>
        <w:rPr>
          <w:b/>
        </w:rPr>
        <w:t>Design implication from this paper</w:t>
      </w:r>
    </w:p>
    <w:p w14:paraId="54259F97" w14:textId="77777777" w:rsidR="000C787D" w:rsidRDefault="00000000">
      <w:pPr>
        <w:spacing w:after="100" w:line="259" w:lineRule="auto"/>
      </w:pPr>
      <w:r>
        <w:t>Design for sociality that can be lightweight or non-verbal; preserve room for introspection; support improvisation and visitor agency; ensure context/timing is accurate; recognise that playful interaction can both enrich and compete with attention to art.</w:t>
      </w:r>
    </w:p>
    <w:p w14:paraId="4268517A" w14:textId="77777777" w:rsidR="000C787D" w:rsidRDefault="00000000">
      <w:pPr>
        <w:pStyle w:val="Heading2"/>
        <w:spacing w:after="100" w:line="259" w:lineRule="auto"/>
      </w:pPr>
      <w:r>
        <w:t>3. Protocol to Build a Framework for Designing an Interactive Tool for Art Gallery Visitors (2019)</w:t>
      </w:r>
    </w:p>
    <w:tbl>
      <w:tblPr>
        <w:tblStyle w:val="TableGrid"/>
        <w:tblW w:w="0" w:type="auto"/>
        <w:jc w:val="center"/>
        <w:tblLook w:val="04A0" w:firstRow="1" w:lastRow="0" w:firstColumn="1" w:lastColumn="0" w:noHBand="0" w:noVBand="1"/>
      </w:tblPr>
      <w:tblGrid>
        <w:gridCol w:w="3093"/>
        <w:gridCol w:w="7147"/>
      </w:tblGrid>
      <w:tr w:rsidR="000C787D" w14:paraId="2AD2359C" w14:textId="77777777">
        <w:trPr>
          <w:jc w:val="center"/>
        </w:trPr>
        <w:tc>
          <w:tcPr>
            <w:tcW w:w="3168" w:type="dxa"/>
            <w:shd w:val="clear" w:color="auto" w:fill="EDEDED"/>
            <w:tcMar>
              <w:top w:w="80" w:type="dxa"/>
              <w:left w:w="80" w:type="dxa"/>
              <w:bottom w:w="80" w:type="dxa"/>
              <w:right w:w="80" w:type="dxa"/>
            </w:tcMar>
          </w:tcPr>
          <w:p w14:paraId="370A8532" w14:textId="77777777" w:rsidR="000C787D" w:rsidRDefault="00000000">
            <w:r>
              <w:t>Source type</w:t>
            </w:r>
          </w:p>
        </w:tc>
        <w:tc>
          <w:tcPr>
            <w:tcW w:w="7344" w:type="dxa"/>
            <w:tcMar>
              <w:top w:w="80" w:type="dxa"/>
              <w:left w:w="80" w:type="dxa"/>
              <w:bottom w:w="80" w:type="dxa"/>
              <w:right w:w="80" w:type="dxa"/>
            </w:tcMar>
          </w:tcPr>
          <w:p w14:paraId="29A49AC5" w14:textId="77777777" w:rsidR="000C787D" w:rsidRDefault="00000000">
            <w:r>
              <w:t>Protocol / conceptual design paper</w:t>
            </w:r>
          </w:p>
        </w:tc>
      </w:tr>
      <w:tr w:rsidR="000C787D" w14:paraId="2D01D768" w14:textId="77777777">
        <w:trPr>
          <w:jc w:val="center"/>
        </w:trPr>
        <w:tc>
          <w:tcPr>
            <w:tcW w:w="3168" w:type="dxa"/>
            <w:shd w:val="clear" w:color="auto" w:fill="EDEDED"/>
            <w:tcMar>
              <w:top w:w="80" w:type="dxa"/>
              <w:left w:w="80" w:type="dxa"/>
              <w:bottom w:w="80" w:type="dxa"/>
              <w:right w:w="80" w:type="dxa"/>
            </w:tcMar>
          </w:tcPr>
          <w:p w14:paraId="5D5F646E" w14:textId="77777777" w:rsidR="000C787D" w:rsidRDefault="00000000">
            <w:r>
              <w:lastRenderedPageBreak/>
              <w:t>Purpose</w:t>
            </w:r>
          </w:p>
        </w:tc>
        <w:tc>
          <w:tcPr>
            <w:tcW w:w="7344" w:type="dxa"/>
            <w:tcMar>
              <w:top w:w="80" w:type="dxa"/>
              <w:left w:w="80" w:type="dxa"/>
              <w:bottom w:w="80" w:type="dxa"/>
              <w:right w:w="80" w:type="dxa"/>
            </w:tcMar>
          </w:tcPr>
          <w:p w14:paraId="2F9CCA18" w14:textId="77777777" w:rsidR="000C787D" w:rsidRDefault="00000000">
            <w:r>
              <w:t>To propose a research approach for building a framework to guide the design of interactive tools for art-gallery visitors, including accessibility and visitor/exhibit factors.</w:t>
            </w:r>
          </w:p>
        </w:tc>
      </w:tr>
      <w:tr w:rsidR="000C787D" w14:paraId="0877021A" w14:textId="77777777">
        <w:trPr>
          <w:jc w:val="center"/>
        </w:trPr>
        <w:tc>
          <w:tcPr>
            <w:tcW w:w="3168" w:type="dxa"/>
            <w:shd w:val="clear" w:color="auto" w:fill="EDEDED"/>
            <w:tcMar>
              <w:top w:w="80" w:type="dxa"/>
              <w:left w:w="80" w:type="dxa"/>
              <w:bottom w:w="80" w:type="dxa"/>
              <w:right w:w="80" w:type="dxa"/>
            </w:tcMar>
          </w:tcPr>
          <w:p w14:paraId="3AB17EB5" w14:textId="77777777" w:rsidR="000C787D" w:rsidRDefault="00000000">
            <w:r>
              <w:t>Method</w:t>
            </w:r>
          </w:p>
        </w:tc>
        <w:tc>
          <w:tcPr>
            <w:tcW w:w="7344" w:type="dxa"/>
            <w:tcMar>
              <w:top w:w="80" w:type="dxa"/>
              <w:left w:w="80" w:type="dxa"/>
              <w:bottom w:w="80" w:type="dxa"/>
              <w:right w:w="80" w:type="dxa"/>
            </w:tcMar>
          </w:tcPr>
          <w:p w14:paraId="4656BBFF" w14:textId="77777777" w:rsidR="000C787D" w:rsidRDefault="00000000">
            <w:r>
              <w:t>Proposed semi-structured interviews with curators, thematic analysis, and affinity diagramming; the paper also reviews interactive and hypermedia approaches used in galleries.</w:t>
            </w:r>
          </w:p>
        </w:tc>
      </w:tr>
    </w:tbl>
    <w:p w14:paraId="58985877" w14:textId="77777777" w:rsidR="000C787D" w:rsidRDefault="00000000">
      <w:pPr>
        <w:spacing w:after="100" w:line="259" w:lineRule="auto"/>
      </w:pPr>
      <w:r>
        <w:rPr>
          <w:b/>
        </w:rPr>
        <w:t>Key findings</w:t>
      </w:r>
    </w:p>
    <w:p w14:paraId="6786AFD6" w14:textId="77777777" w:rsidR="000C787D" w:rsidRDefault="00000000">
      <w:pPr>
        <w:pStyle w:val="ListBullet"/>
        <w:spacing w:after="100" w:line="259" w:lineRule="auto"/>
      </w:pPr>
      <w:r>
        <w:t>Gallery visitors can feel intimidated or believe they need specialist knowledge; interactive tools may help bridge this gap.</w:t>
      </w:r>
    </w:p>
    <w:p w14:paraId="35148015" w14:textId="77777777" w:rsidR="000C787D" w:rsidRDefault="00000000">
      <w:pPr>
        <w:pStyle w:val="ListBullet"/>
        <w:spacing w:after="100" w:line="259" w:lineRule="auto"/>
      </w:pPr>
      <w:r>
        <w:t>Visitors should be treated as active explorers and meaning-makers rather than passive receivers of information.</w:t>
      </w:r>
    </w:p>
    <w:p w14:paraId="6E826936" w14:textId="77777777" w:rsidR="000C787D" w:rsidRDefault="00000000">
      <w:pPr>
        <w:pStyle w:val="ListBullet"/>
        <w:spacing w:after="100" w:line="259" w:lineRule="auto"/>
      </w:pPr>
      <w:r>
        <w:t>Tools should be designed around personal, socio-cultural, and physical context, and should account for different visitor motivations and profiles.</w:t>
      </w:r>
    </w:p>
    <w:p w14:paraId="1C0B36AE" w14:textId="77777777" w:rsidR="000C787D" w:rsidRDefault="00000000">
      <w:pPr>
        <w:pStyle w:val="ListBullet"/>
        <w:spacing w:after="100" w:line="259" w:lineRule="auto"/>
      </w:pPr>
      <w:r>
        <w:t>Multimodal and adaptive approaches can support visitors with different abilities, preferences, and levels of digital skill.</w:t>
      </w:r>
    </w:p>
    <w:p w14:paraId="753D60A3" w14:textId="77777777" w:rsidR="000C787D" w:rsidRDefault="00000000">
      <w:pPr>
        <w:pStyle w:val="ListBullet"/>
        <w:spacing w:after="100" w:line="259" w:lineRule="auto"/>
      </w:pPr>
      <w:r>
        <w:t>Interactive tools can become intrusive, distract from exhibits, and interfere with social interaction when designed primarily for single-user attention.</w:t>
      </w:r>
    </w:p>
    <w:p w14:paraId="4EB14C98" w14:textId="77777777" w:rsidR="000C787D" w:rsidRDefault="00000000">
      <w:pPr>
        <w:pStyle w:val="ListBullet"/>
        <w:spacing w:after="100" w:line="259" w:lineRule="auto"/>
      </w:pPr>
      <w:r>
        <w:t>Digital systems should augment and enhance existing exhibit resources rather than replace or overshadow them.</w:t>
      </w:r>
    </w:p>
    <w:p w14:paraId="02D434F8" w14:textId="77777777" w:rsidR="000C787D" w:rsidRDefault="00000000">
      <w:pPr>
        <w:pStyle w:val="ListBullet"/>
        <w:spacing w:after="100" w:line="259" w:lineRule="auto"/>
      </w:pPr>
      <w:r>
        <w:t>Visitor control over timing and level of information is important.</w:t>
      </w:r>
    </w:p>
    <w:p w14:paraId="2200C817" w14:textId="77777777" w:rsidR="000C787D" w:rsidRDefault="00000000">
      <w:pPr>
        <w:spacing w:after="100" w:line="259" w:lineRule="auto"/>
      </w:pPr>
      <w:r>
        <w:rPr>
          <w:b/>
        </w:rPr>
        <w:t>Initial literature codes</w:t>
      </w:r>
    </w:p>
    <w:p w14:paraId="1308E477" w14:textId="77777777" w:rsidR="000C787D" w:rsidRDefault="00000000">
      <w:pPr>
        <w:spacing w:after="100" w:line="259" w:lineRule="auto"/>
      </w:pPr>
      <w:r>
        <w:t>visitor intimidation • active meaning-maker • contextual learning • visitor profiling • multimodality • accessibility • adaptive content • visitor control • technology intrusion • augmentation not replacement</w:t>
      </w:r>
    </w:p>
    <w:p w14:paraId="573165FF" w14:textId="77777777" w:rsidR="000C787D" w:rsidRDefault="00000000">
      <w:pPr>
        <w:spacing w:after="100" w:line="259" w:lineRule="auto"/>
      </w:pPr>
      <w:r>
        <w:rPr>
          <w:b/>
        </w:rPr>
        <w:t>Design implication from this paper</w:t>
      </w:r>
    </w:p>
    <w:p w14:paraId="1D22CD64" w14:textId="77777777" w:rsidR="000C787D" w:rsidRDefault="00000000">
      <w:pPr>
        <w:spacing w:after="100" w:line="259" w:lineRule="auto"/>
      </w:pPr>
      <w:r>
        <w:t>Use the source as a conceptual framing rather than empirical evidence: understand visitors and context first; support accessibility and adaptation; avoid technology that overshadows the exhibit; give visitors control over information and interaction.</w:t>
      </w:r>
    </w:p>
    <w:p w14:paraId="5B2E426E" w14:textId="77777777" w:rsidR="000C787D" w:rsidRDefault="00000000">
      <w:pPr>
        <w:pStyle w:val="Heading2"/>
        <w:spacing w:after="100" w:line="259" w:lineRule="auto"/>
      </w:pPr>
      <w:r>
        <w:t>4. Designing for Social Interactions in a Virtual Art Gallery (2022)</w:t>
      </w:r>
    </w:p>
    <w:tbl>
      <w:tblPr>
        <w:tblStyle w:val="TableGrid"/>
        <w:tblW w:w="0" w:type="auto"/>
        <w:jc w:val="center"/>
        <w:tblLook w:val="04A0" w:firstRow="1" w:lastRow="0" w:firstColumn="1" w:lastColumn="0" w:noHBand="0" w:noVBand="1"/>
      </w:tblPr>
      <w:tblGrid>
        <w:gridCol w:w="3089"/>
        <w:gridCol w:w="7151"/>
      </w:tblGrid>
      <w:tr w:rsidR="000C787D" w14:paraId="5FB21CF8" w14:textId="77777777">
        <w:trPr>
          <w:jc w:val="center"/>
        </w:trPr>
        <w:tc>
          <w:tcPr>
            <w:tcW w:w="3168" w:type="dxa"/>
            <w:shd w:val="clear" w:color="auto" w:fill="EDEDED"/>
            <w:tcMar>
              <w:top w:w="80" w:type="dxa"/>
              <w:left w:w="80" w:type="dxa"/>
              <w:bottom w:w="80" w:type="dxa"/>
              <w:right w:w="80" w:type="dxa"/>
            </w:tcMar>
          </w:tcPr>
          <w:p w14:paraId="18B74C48" w14:textId="77777777" w:rsidR="000C787D" w:rsidRDefault="00000000">
            <w:r>
              <w:t>Source type</w:t>
            </w:r>
          </w:p>
        </w:tc>
        <w:tc>
          <w:tcPr>
            <w:tcW w:w="7344" w:type="dxa"/>
            <w:tcMar>
              <w:top w:w="80" w:type="dxa"/>
              <w:left w:w="80" w:type="dxa"/>
              <w:bottom w:w="80" w:type="dxa"/>
              <w:right w:w="80" w:type="dxa"/>
            </w:tcMar>
          </w:tcPr>
          <w:p w14:paraId="4AF62339" w14:textId="77777777" w:rsidR="000C787D" w:rsidRDefault="00000000">
            <w:r>
              <w:t>Prototype design and small usability evaluation</w:t>
            </w:r>
          </w:p>
        </w:tc>
      </w:tr>
      <w:tr w:rsidR="000C787D" w14:paraId="5D3B1930" w14:textId="77777777">
        <w:trPr>
          <w:jc w:val="center"/>
        </w:trPr>
        <w:tc>
          <w:tcPr>
            <w:tcW w:w="3168" w:type="dxa"/>
            <w:shd w:val="clear" w:color="auto" w:fill="EDEDED"/>
            <w:tcMar>
              <w:top w:w="80" w:type="dxa"/>
              <w:left w:w="80" w:type="dxa"/>
              <w:bottom w:w="80" w:type="dxa"/>
              <w:right w:w="80" w:type="dxa"/>
            </w:tcMar>
          </w:tcPr>
          <w:p w14:paraId="4F0E3913" w14:textId="77777777" w:rsidR="000C787D" w:rsidRDefault="00000000">
            <w:r>
              <w:t>Purpose</w:t>
            </w:r>
          </w:p>
        </w:tc>
        <w:tc>
          <w:tcPr>
            <w:tcW w:w="7344" w:type="dxa"/>
            <w:tcMar>
              <w:top w:w="80" w:type="dxa"/>
              <w:left w:w="80" w:type="dxa"/>
              <w:bottom w:w="80" w:type="dxa"/>
              <w:right w:w="80" w:type="dxa"/>
            </w:tcMar>
          </w:tcPr>
          <w:p w14:paraId="6FB065B7" w14:textId="77777777" w:rsidR="000C787D" w:rsidRDefault="00000000">
            <w:r>
              <w:t>To design and test a multiuser virtual art-gallery environment that supports social interaction, consent, spatial navigation, shared viewing, audio, and note-taking.</w:t>
            </w:r>
          </w:p>
        </w:tc>
      </w:tr>
      <w:tr w:rsidR="000C787D" w14:paraId="2B2625BF" w14:textId="77777777">
        <w:trPr>
          <w:jc w:val="center"/>
        </w:trPr>
        <w:tc>
          <w:tcPr>
            <w:tcW w:w="3168" w:type="dxa"/>
            <w:shd w:val="clear" w:color="auto" w:fill="EDEDED"/>
            <w:tcMar>
              <w:top w:w="80" w:type="dxa"/>
              <w:left w:w="80" w:type="dxa"/>
              <w:bottom w:w="80" w:type="dxa"/>
              <w:right w:w="80" w:type="dxa"/>
            </w:tcMar>
          </w:tcPr>
          <w:p w14:paraId="3F421C15" w14:textId="77777777" w:rsidR="000C787D" w:rsidRDefault="00000000">
            <w:r>
              <w:t>Method</w:t>
            </w:r>
          </w:p>
        </w:tc>
        <w:tc>
          <w:tcPr>
            <w:tcW w:w="7344" w:type="dxa"/>
            <w:tcMar>
              <w:top w:w="80" w:type="dxa"/>
              <w:left w:w="80" w:type="dxa"/>
              <w:bottom w:w="80" w:type="dxa"/>
              <w:right w:w="80" w:type="dxa"/>
            </w:tcMar>
          </w:tcPr>
          <w:p w14:paraId="663C1CB4" w14:textId="77777777" w:rsidR="000C787D" w:rsidRDefault="00000000">
            <w:r>
              <w:t>Interactive prototype followed by a small usability evaluation with four users. Features included 3D navigation, map/teleportation, art/audio panels, notes, public/private or proximity chat, and permission-based social interaction.</w:t>
            </w:r>
          </w:p>
        </w:tc>
      </w:tr>
    </w:tbl>
    <w:p w14:paraId="7182C9A1" w14:textId="77777777" w:rsidR="000C787D" w:rsidRDefault="00000000">
      <w:pPr>
        <w:spacing w:after="100" w:line="259" w:lineRule="auto"/>
      </w:pPr>
      <w:r>
        <w:rPr>
          <w:b/>
        </w:rPr>
        <w:t>Key findings</w:t>
      </w:r>
    </w:p>
    <w:p w14:paraId="417E1D00" w14:textId="77777777" w:rsidR="000C787D" w:rsidRDefault="00000000">
      <w:pPr>
        <w:pStyle w:val="ListBullet"/>
        <w:spacing w:after="100" w:line="259" w:lineRule="auto"/>
      </w:pPr>
      <w:r>
        <w:t>Users relied on familiar interface metaphors when learning the system; familiar chat and avatar conventions improved comprehensibility.</w:t>
      </w:r>
    </w:p>
    <w:p w14:paraId="1E2B580D" w14:textId="77777777" w:rsidR="000C787D" w:rsidRDefault="00000000">
      <w:pPr>
        <w:pStyle w:val="ListBullet"/>
        <w:spacing w:after="100" w:line="259" w:lineRule="auto"/>
      </w:pPr>
      <w:r>
        <w:t>Navigation and movement were the most challenging aspects of the virtual environment.</w:t>
      </w:r>
    </w:p>
    <w:p w14:paraId="7FDDB666" w14:textId="77777777" w:rsidR="000C787D" w:rsidRDefault="00000000">
      <w:pPr>
        <w:pStyle w:val="ListBullet"/>
        <w:spacing w:after="100" w:line="259" w:lineRule="auto"/>
      </w:pPr>
      <w:r>
        <w:t>Art audio, notes, and proximity chat were generally evaluated positively in the small study.</w:t>
      </w:r>
    </w:p>
    <w:p w14:paraId="77AB526D" w14:textId="77777777" w:rsidR="000C787D" w:rsidRDefault="00000000">
      <w:pPr>
        <w:pStyle w:val="ListBullet"/>
        <w:spacing w:after="100" w:line="259" w:lineRule="auto"/>
      </w:pPr>
      <w:r>
        <w:t>Separating multiple chat modes could create confusion, suggesting the need for clearer or consolidated social interaction design.</w:t>
      </w:r>
    </w:p>
    <w:p w14:paraId="028604AE" w14:textId="77777777" w:rsidR="000C787D" w:rsidRDefault="00000000">
      <w:pPr>
        <w:pStyle w:val="ListBullet"/>
        <w:spacing w:after="100" w:line="259" w:lineRule="auto"/>
      </w:pPr>
      <w:r>
        <w:lastRenderedPageBreak/>
        <w:t>Proximity/private communication was intended to support small-group interaction without forcing uninvolved visitors into the conversation.</w:t>
      </w:r>
    </w:p>
    <w:p w14:paraId="6A6E3C08" w14:textId="77777777" w:rsidR="000C787D" w:rsidRDefault="00000000">
      <w:pPr>
        <w:pStyle w:val="ListBullet"/>
        <w:spacing w:after="100" w:line="259" w:lineRule="auto"/>
      </w:pPr>
      <w:r>
        <w:t>Future directions included shared viewing, persistent/shareable notes, and shared audio/video experiences.</w:t>
      </w:r>
    </w:p>
    <w:p w14:paraId="22020149" w14:textId="77777777" w:rsidR="000C787D" w:rsidRDefault="00000000">
      <w:pPr>
        <w:spacing w:after="100" w:line="259" w:lineRule="auto"/>
      </w:pPr>
      <w:r>
        <w:rPr>
          <w:b/>
        </w:rPr>
        <w:t>Initial literature codes</w:t>
      </w:r>
    </w:p>
    <w:p w14:paraId="41F81A19" w14:textId="77777777" w:rsidR="000C787D" w:rsidRDefault="00000000">
      <w:pPr>
        <w:spacing w:after="100" w:line="259" w:lineRule="auto"/>
      </w:pPr>
      <w:r>
        <w:t>social presence • proximity interaction • consent • permissions • small-group communication • familiar metaphors • navigation difficulty • shared viewing • shared notes • spatial control</w:t>
      </w:r>
    </w:p>
    <w:p w14:paraId="660DFCFB" w14:textId="77777777" w:rsidR="000C787D" w:rsidRDefault="00000000">
      <w:pPr>
        <w:spacing w:after="100" w:line="259" w:lineRule="auto"/>
      </w:pPr>
      <w:r>
        <w:rPr>
          <w:b/>
        </w:rPr>
        <w:t>Design implication from this paper</w:t>
      </w:r>
    </w:p>
    <w:p w14:paraId="41AF2976" w14:textId="77777777" w:rsidR="000C787D" w:rsidRDefault="00000000">
      <w:pPr>
        <w:spacing w:after="100" w:line="259" w:lineRule="auto"/>
      </w:pPr>
      <w:r>
        <w:t>Make social interaction consensual and proximity-aware; use familiar interaction metaphors; prioritise clear navigation; support small-group shared experiences and persistent lightweight contributions such as notes.</w:t>
      </w:r>
    </w:p>
    <w:p w14:paraId="77D66C81" w14:textId="77777777" w:rsidR="000C787D" w:rsidRDefault="00000000">
      <w:pPr>
        <w:pStyle w:val="Heading2"/>
        <w:spacing w:after="100" w:line="259" w:lineRule="auto"/>
      </w:pPr>
      <w:r>
        <w:t>5. Museum Mobile Guide Preferences of Different Visitor Personas (2020)</w:t>
      </w:r>
    </w:p>
    <w:tbl>
      <w:tblPr>
        <w:tblStyle w:val="TableGrid"/>
        <w:tblW w:w="0" w:type="auto"/>
        <w:jc w:val="center"/>
        <w:tblLook w:val="04A0" w:firstRow="1" w:lastRow="0" w:firstColumn="1" w:lastColumn="0" w:noHBand="0" w:noVBand="1"/>
      </w:tblPr>
      <w:tblGrid>
        <w:gridCol w:w="3093"/>
        <w:gridCol w:w="7147"/>
      </w:tblGrid>
      <w:tr w:rsidR="000C787D" w14:paraId="667CC4F7" w14:textId="77777777">
        <w:trPr>
          <w:jc w:val="center"/>
        </w:trPr>
        <w:tc>
          <w:tcPr>
            <w:tcW w:w="3168" w:type="dxa"/>
            <w:shd w:val="clear" w:color="auto" w:fill="EDEDED"/>
            <w:tcMar>
              <w:top w:w="80" w:type="dxa"/>
              <w:left w:w="80" w:type="dxa"/>
              <w:bottom w:w="80" w:type="dxa"/>
              <w:right w:w="80" w:type="dxa"/>
            </w:tcMar>
          </w:tcPr>
          <w:p w14:paraId="780D8C7E" w14:textId="77777777" w:rsidR="000C787D" w:rsidRDefault="00000000">
            <w:r>
              <w:t>Source type</w:t>
            </w:r>
          </w:p>
        </w:tc>
        <w:tc>
          <w:tcPr>
            <w:tcW w:w="7344" w:type="dxa"/>
            <w:tcMar>
              <w:top w:w="80" w:type="dxa"/>
              <w:left w:w="80" w:type="dxa"/>
              <w:bottom w:w="80" w:type="dxa"/>
              <w:right w:w="80" w:type="dxa"/>
            </w:tcMar>
          </w:tcPr>
          <w:p w14:paraId="3AD3B2BD" w14:textId="77777777" w:rsidR="000C787D" w:rsidRDefault="00000000">
            <w:r>
              <w:t>Quantitative empirical study</w:t>
            </w:r>
          </w:p>
        </w:tc>
      </w:tr>
      <w:tr w:rsidR="000C787D" w14:paraId="25F01CA8" w14:textId="77777777">
        <w:trPr>
          <w:jc w:val="center"/>
        </w:trPr>
        <w:tc>
          <w:tcPr>
            <w:tcW w:w="3168" w:type="dxa"/>
            <w:shd w:val="clear" w:color="auto" w:fill="EDEDED"/>
            <w:tcMar>
              <w:top w:w="80" w:type="dxa"/>
              <w:left w:w="80" w:type="dxa"/>
              <w:bottom w:w="80" w:type="dxa"/>
              <w:right w:w="80" w:type="dxa"/>
            </w:tcMar>
          </w:tcPr>
          <w:p w14:paraId="5B9D1C6F" w14:textId="77777777" w:rsidR="000C787D" w:rsidRDefault="00000000">
            <w:r>
              <w:t>Purpose</w:t>
            </w:r>
          </w:p>
        </w:tc>
        <w:tc>
          <w:tcPr>
            <w:tcW w:w="7344" w:type="dxa"/>
            <w:tcMar>
              <w:top w:w="80" w:type="dxa"/>
              <w:left w:w="80" w:type="dxa"/>
              <w:bottom w:w="80" w:type="dxa"/>
              <w:right w:w="80" w:type="dxa"/>
            </w:tcMar>
          </w:tcPr>
          <w:p w14:paraId="3558ACF6" w14:textId="77777777" w:rsidR="000C787D" w:rsidRDefault="00000000">
            <w:r>
              <w:t>To examine whether visitor personas can be identified efficiently and whether different visitor types prefer different museum mobile-guide features.</w:t>
            </w:r>
          </w:p>
        </w:tc>
      </w:tr>
      <w:tr w:rsidR="000C787D" w14:paraId="0BD4569B" w14:textId="77777777">
        <w:trPr>
          <w:jc w:val="center"/>
        </w:trPr>
        <w:tc>
          <w:tcPr>
            <w:tcW w:w="3168" w:type="dxa"/>
            <w:shd w:val="clear" w:color="auto" w:fill="EDEDED"/>
            <w:tcMar>
              <w:top w:w="80" w:type="dxa"/>
              <w:left w:w="80" w:type="dxa"/>
              <w:bottom w:w="80" w:type="dxa"/>
              <w:right w:w="80" w:type="dxa"/>
            </w:tcMar>
          </w:tcPr>
          <w:p w14:paraId="078810DB" w14:textId="77777777" w:rsidR="000C787D" w:rsidRDefault="00000000">
            <w:r>
              <w:t>Method</w:t>
            </w:r>
          </w:p>
        </w:tc>
        <w:tc>
          <w:tcPr>
            <w:tcW w:w="7344" w:type="dxa"/>
            <w:tcMar>
              <w:top w:w="80" w:type="dxa"/>
              <w:left w:w="80" w:type="dxa"/>
              <w:bottom w:w="80" w:type="dxa"/>
              <w:right w:w="80" w:type="dxa"/>
            </w:tcMar>
          </w:tcPr>
          <w:p w14:paraId="09FB6167" w14:textId="77777777" w:rsidR="000C787D" w:rsidRDefault="00000000">
            <w:r>
              <w:t>Face-to-face questionnaire with 105 visitors at Scitech. Categorical responses were analysed using chi-square tests and clustering.</w:t>
            </w:r>
          </w:p>
        </w:tc>
      </w:tr>
    </w:tbl>
    <w:p w14:paraId="6C0B35E6" w14:textId="77777777" w:rsidR="000C787D" w:rsidRDefault="00000000">
      <w:pPr>
        <w:spacing w:after="100" w:line="259" w:lineRule="auto"/>
      </w:pPr>
      <w:r>
        <w:rPr>
          <w:b/>
        </w:rPr>
        <w:t>Key findings</w:t>
      </w:r>
    </w:p>
    <w:p w14:paraId="051F9E3C" w14:textId="77777777" w:rsidR="000C787D" w:rsidRDefault="00000000">
      <w:pPr>
        <w:pStyle w:val="ListBullet"/>
        <w:spacing w:after="100" w:line="259" w:lineRule="auto"/>
      </w:pPr>
      <w:r>
        <w:t>Visitor persona could be identified using two questions focused on visit motivation and perceived success criteria.</w:t>
      </w:r>
    </w:p>
    <w:p w14:paraId="29062A02" w14:textId="77777777" w:rsidR="000C787D" w:rsidRDefault="00000000">
      <w:pPr>
        <w:pStyle w:val="ListBullet"/>
        <w:spacing w:after="100" w:line="259" w:lineRule="auto"/>
      </w:pPr>
      <w:r>
        <w:t>Preferences differed for media, navigation, information depth, exhibit recommendations, information retrieval, and social features.</w:t>
      </w:r>
    </w:p>
    <w:p w14:paraId="6C8649C5" w14:textId="77777777" w:rsidR="000C787D" w:rsidRDefault="00000000">
      <w:pPr>
        <w:pStyle w:val="ListBullet"/>
        <w:spacing w:after="100" w:line="259" w:lineRule="auto"/>
      </w:pPr>
      <w:r>
        <w:t>Visitors preferred summaries with additional detail available on demand rather than fully detailed text by default.</w:t>
      </w:r>
    </w:p>
    <w:p w14:paraId="76C8E97F" w14:textId="77777777" w:rsidR="000C787D" w:rsidRDefault="00000000">
      <w:pPr>
        <w:pStyle w:val="ListBullet"/>
        <w:spacing w:after="100" w:line="259" w:lineRule="auto"/>
      </w:pPr>
      <w:r>
        <w:t>Most participants did not want recommendations for other exhibits, challenging the assumption that recommendation features are automatically desirable.</w:t>
      </w:r>
    </w:p>
    <w:p w14:paraId="14B2B2BD" w14:textId="77777777" w:rsidR="000C787D" w:rsidRDefault="00000000">
      <w:pPr>
        <w:pStyle w:val="ListBullet"/>
        <w:spacing w:after="100" w:line="259" w:lineRule="auto"/>
      </w:pPr>
      <w:r>
        <w:t>An interactive map was the most preferred navigation option.</w:t>
      </w:r>
    </w:p>
    <w:p w14:paraId="267FAB0B" w14:textId="77777777" w:rsidR="000C787D" w:rsidRDefault="00000000">
      <w:pPr>
        <w:pStyle w:val="ListBullet"/>
        <w:spacing w:after="100" w:line="259" w:lineRule="auto"/>
      </w:pPr>
      <w:r>
        <w:t>There was interest in social functionality, but direct instant messaging and voice communication were generally not preferred.</w:t>
      </w:r>
    </w:p>
    <w:p w14:paraId="0AD1892F" w14:textId="77777777" w:rsidR="000C787D" w:rsidRDefault="00000000">
      <w:pPr>
        <w:pStyle w:val="ListBullet"/>
        <w:spacing w:after="100" w:line="259" w:lineRule="auto"/>
      </w:pPr>
      <w:r>
        <w:t>Preferences for games/challenges varied by persona, reinforcing that one interaction style will not suit everyone.</w:t>
      </w:r>
    </w:p>
    <w:p w14:paraId="23888ECB" w14:textId="77777777" w:rsidR="000C787D" w:rsidRDefault="00000000">
      <w:pPr>
        <w:pStyle w:val="ListBullet"/>
        <w:spacing w:after="100" w:line="259" w:lineRule="auto"/>
      </w:pPr>
      <w:r>
        <w:t>The paper cautions that persona/stereotype approaches require careful use and should focus on motivations and goals rather than protected or demographic characteristics.</w:t>
      </w:r>
    </w:p>
    <w:p w14:paraId="48DAB67F" w14:textId="77777777" w:rsidR="000C787D" w:rsidRDefault="00000000">
      <w:pPr>
        <w:spacing w:after="100" w:line="259" w:lineRule="auto"/>
      </w:pPr>
      <w:r>
        <w:rPr>
          <w:b/>
        </w:rPr>
        <w:t>Initial literature codes</w:t>
      </w:r>
    </w:p>
    <w:p w14:paraId="0997FB2F" w14:textId="77777777" w:rsidR="000C787D" w:rsidRDefault="00000000">
      <w:pPr>
        <w:spacing w:after="100" w:line="259" w:lineRule="auto"/>
      </w:pPr>
      <w:r>
        <w:t>visitor motivation • personas • personalisation • progressive disclosure • information on demand • navigation • recommendation resistance • social features • direct communication resistance • preference diversity</w:t>
      </w:r>
    </w:p>
    <w:p w14:paraId="268BF3C5" w14:textId="77777777" w:rsidR="000C787D" w:rsidRDefault="00000000">
      <w:pPr>
        <w:spacing w:after="100" w:line="259" w:lineRule="auto"/>
      </w:pPr>
      <w:r>
        <w:rPr>
          <w:b/>
        </w:rPr>
        <w:t>Design implication from this paper</w:t>
      </w:r>
    </w:p>
    <w:p w14:paraId="6213A129" w14:textId="77777777" w:rsidR="000C787D" w:rsidRDefault="00000000">
      <w:pPr>
        <w:spacing w:after="100" w:line="259" w:lineRule="auto"/>
      </w:pPr>
      <w:r>
        <w:t>Personalise cautiously around motivations/goals; provide progressive disclosure; do not assume visitors want recommendations or direct messaging; offer optional features and support multiple visit styles.</w:t>
      </w:r>
    </w:p>
    <w:p w14:paraId="261A7E82" w14:textId="77777777" w:rsidR="000C787D" w:rsidRDefault="00000000">
      <w:pPr>
        <w:pStyle w:val="Heading2"/>
        <w:spacing w:after="100" w:line="259" w:lineRule="auto"/>
      </w:pPr>
      <w:r>
        <w:t>6. Flow, Staging, Wayfinding, Personalization: Evaluating Mobile Museum Narratives (2018)</w:t>
      </w:r>
    </w:p>
    <w:tbl>
      <w:tblPr>
        <w:tblStyle w:val="TableGrid"/>
        <w:tblW w:w="0" w:type="auto"/>
        <w:jc w:val="center"/>
        <w:tblLook w:val="04A0" w:firstRow="1" w:lastRow="0" w:firstColumn="1" w:lastColumn="0" w:noHBand="0" w:noVBand="1"/>
      </w:tblPr>
      <w:tblGrid>
        <w:gridCol w:w="3091"/>
        <w:gridCol w:w="7149"/>
      </w:tblGrid>
      <w:tr w:rsidR="000C787D" w14:paraId="0B581DC7" w14:textId="77777777">
        <w:trPr>
          <w:jc w:val="center"/>
        </w:trPr>
        <w:tc>
          <w:tcPr>
            <w:tcW w:w="3168" w:type="dxa"/>
            <w:shd w:val="clear" w:color="auto" w:fill="EDEDED"/>
            <w:tcMar>
              <w:top w:w="80" w:type="dxa"/>
              <w:left w:w="80" w:type="dxa"/>
              <w:bottom w:w="80" w:type="dxa"/>
              <w:right w:w="80" w:type="dxa"/>
            </w:tcMar>
          </w:tcPr>
          <w:p w14:paraId="6174082F" w14:textId="77777777" w:rsidR="000C787D" w:rsidRDefault="00000000">
            <w:r>
              <w:t>Source type</w:t>
            </w:r>
          </w:p>
        </w:tc>
        <w:tc>
          <w:tcPr>
            <w:tcW w:w="7344" w:type="dxa"/>
            <w:tcMar>
              <w:top w:w="80" w:type="dxa"/>
              <w:left w:w="80" w:type="dxa"/>
              <w:bottom w:w="80" w:type="dxa"/>
              <w:right w:w="80" w:type="dxa"/>
            </w:tcMar>
          </w:tcPr>
          <w:p w14:paraId="3B6ACD70" w14:textId="77777777" w:rsidR="000C787D" w:rsidRDefault="00000000">
            <w:r>
              <w:t>Mixed-method, predominantly qualitative empirical evaluation</w:t>
            </w:r>
          </w:p>
        </w:tc>
      </w:tr>
      <w:tr w:rsidR="000C787D" w14:paraId="4B9DA352" w14:textId="77777777">
        <w:trPr>
          <w:jc w:val="center"/>
        </w:trPr>
        <w:tc>
          <w:tcPr>
            <w:tcW w:w="3168" w:type="dxa"/>
            <w:shd w:val="clear" w:color="auto" w:fill="EDEDED"/>
            <w:tcMar>
              <w:top w:w="80" w:type="dxa"/>
              <w:left w:w="80" w:type="dxa"/>
              <w:bottom w:w="80" w:type="dxa"/>
              <w:right w:w="80" w:type="dxa"/>
            </w:tcMar>
          </w:tcPr>
          <w:p w14:paraId="4E7B17D6" w14:textId="77777777" w:rsidR="000C787D" w:rsidRDefault="00000000">
            <w:r>
              <w:lastRenderedPageBreak/>
              <w:t>Purpose</w:t>
            </w:r>
          </w:p>
        </w:tc>
        <w:tc>
          <w:tcPr>
            <w:tcW w:w="7344" w:type="dxa"/>
            <w:tcMar>
              <w:top w:w="80" w:type="dxa"/>
              <w:left w:w="80" w:type="dxa"/>
              <w:bottom w:w="80" w:type="dxa"/>
              <w:right w:w="80" w:type="dxa"/>
            </w:tcMar>
          </w:tcPr>
          <w:p w14:paraId="634E3D97" w14:textId="77777777" w:rsidR="000C787D" w:rsidRDefault="00000000">
            <w:r>
              <w:t>To evaluate personalised interactive storytelling experiences in a real museum setting and understand issues involving story flow, digital/physical attention, navigation, interaction, social experience, and personalisation.</w:t>
            </w:r>
          </w:p>
        </w:tc>
      </w:tr>
      <w:tr w:rsidR="000C787D" w14:paraId="2B5CED11" w14:textId="77777777">
        <w:trPr>
          <w:jc w:val="center"/>
        </w:trPr>
        <w:tc>
          <w:tcPr>
            <w:tcW w:w="3168" w:type="dxa"/>
            <w:shd w:val="clear" w:color="auto" w:fill="EDEDED"/>
            <w:tcMar>
              <w:top w:w="80" w:type="dxa"/>
              <w:left w:w="80" w:type="dxa"/>
              <w:bottom w:w="80" w:type="dxa"/>
              <w:right w:w="80" w:type="dxa"/>
            </w:tcMar>
          </w:tcPr>
          <w:p w14:paraId="798F55FB" w14:textId="77777777" w:rsidR="000C787D" w:rsidRDefault="00000000">
            <w:r>
              <w:t>Method</w:t>
            </w:r>
          </w:p>
        </w:tc>
        <w:tc>
          <w:tcPr>
            <w:tcW w:w="7344" w:type="dxa"/>
            <w:tcMar>
              <w:top w:w="80" w:type="dxa"/>
              <w:left w:w="80" w:type="dxa"/>
              <w:bottom w:w="80" w:type="dxa"/>
              <w:right w:w="80" w:type="dxa"/>
            </w:tcMar>
          </w:tcPr>
          <w:p w14:paraId="0AE26C2F" w14:textId="77777777" w:rsidR="000C787D" w:rsidRDefault="00000000">
            <w:r>
              <w:t>Two evaluation studies at the Acropolis Museum using questionnaires, observation with video/audio recording, semi-structured interviews, and system logs. Analysis combined predefined themes with open coding.</w:t>
            </w:r>
          </w:p>
        </w:tc>
      </w:tr>
    </w:tbl>
    <w:p w14:paraId="26FF5C2D" w14:textId="77777777" w:rsidR="000C787D" w:rsidRDefault="00000000">
      <w:pPr>
        <w:spacing w:after="100" w:line="259" w:lineRule="auto"/>
      </w:pPr>
      <w:r>
        <w:rPr>
          <w:b/>
        </w:rPr>
        <w:t>Key findings</w:t>
      </w:r>
    </w:p>
    <w:p w14:paraId="2D7FEA43" w14:textId="77777777" w:rsidR="000C787D" w:rsidRDefault="00000000">
      <w:pPr>
        <w:pStyle w:val="ListBullet"/>
        <w:spacing w:after="100" w:line="259" w:lineRule="auto"/>
      </w:pPr>
      <w:r>
        <w:t>Museum mobile experiences are shaped by content delivery, attention balance, navigation, usability, social interaction, and personalisation rather than by the interface alone.</w:t>
      </w:r>
    </w:p>
    <w:p w14:paraId="1F4AE3DC" w14:textId="77777777" w:rsidR="000C787D" w:rsidRDefault="00000000">
      <w:pPr>
        <w:pStyle w:val="ListBullet"/>
        <w:spacing w:after="100" w:line="259" w:lineRule="auto"/>
      </w:pPr>
      <w:r>
        <w:t>Stories that became too informational or static reduced engagement; shorter sections, coherent plots, discovery, humour, and personal relevance were preferred.</w:t>
      </w:r>
    </w:p>
    <w:p w14:paraId="17142865" w14:textId="77777777" w:rsidR="000C787D" w:rsidRDefault="00000000">
      <w:pPr>
        <w:pStyle w:val="ListBullet"/>
        <w:spacing w:after="100" w:line="259" w:lineRule="auto"/>
      </w:pPr>
      <w:r>
        <w:t>Visitors wanted control over content amount, sequence, pace, and the ability to break away from a fixed route to inspect something interesting.</w:t>
      </w:r>
    </w:p>
    <w:p w14:paraId="7B5E6A61" w14:textId="77777777" w:rsidR="000C787D" w:rsidRDefault="00000000">
      <w:pPr>
        <w:pStyle w:val="ListBullet"/>
        <w:spacing w:after="100" w:line="259" w:lineRule="auto"/>
      </w:pPr>
      <w:r>
        <w:t>Mobile guides can isolate group members, but social effects are context-dependent rather than universally negative.</w:t>
      </w:r>
    </w:p>
    <w:p w14:paraId="7023F436" w14:textId="77777777" w:rsidR="000C787D" w:rsidRDefault="00000000">
      <w:pPr>
        <w:pStyle w:val="ListBullet"/>
        <w:spacing w:after="100" w:line="259" w:lineRule="auto"/>
      </w:pPr>
      <w:r>
        <w:t>Some visitors wanted to co-experience and collaborate rather than use individualised experiences in parallel.</w:t>
      </w:r>
    </w:p>
    <w:p w14:paraId="2E5CA7E4" w14:textId="77777777" w:rsidR="000C787D" w:rsidRDefault="00000000">
      <w:pPr>
        <w:pStyle w:val="ListBullet"/>
        <w:spacing w:after="100" w:line="259" w:lineRule="auto"/>
      </w:pPr>
      <w:r>
        <w:t>Visitors differed in how actively they wanted to participate and how deeply they wanted to consume content.</w:t>
      </w:r>
    </w:p>
    <w:p w14:paraId="33A19B70" w14:textId="77777777" w:rsidR="000C787D" w:rsidRDefault="00000000">
      <w:pPr>
        <w:pStyle w:val="ListBullet"/>
        <w:spacing w:after="100" w:line="259" w:lineRule="auto"/>
      </w:pPr>
      <w:r>
        <w:t>Personalisation inevitably creates tension with the inherently social nature of museum visiting.</w:t>
      </w:r>
    </w:p>
    <w:p w14:paraId="59D4E7B6" w14:textId="77777777" w:rsidR="000C787D" w:rsidRDefault="00000000">
      <w:pPr>
        <w:pStyle w:val="ListBullet"/>
        <w:spacing w:after="100" w:line="259" w:lineRule="auto"/>
      </w:pPr>
      <w:r>
        <w:t>Crowding, noise, physical orientation, and the relationship between digital and physical space affect experience quality.</w:t>
      </w:r>
    </w:p>
    <w:p w14:paraId="57CA0AA8" w14:textId="77777777" w:rsidR="000C787D" w:rsidRDefault="00000000">
      <w:pPr>
        <w:spacing w:after="100" w:line="259" w:lineRule="auto"/>
      </w:pPr>
      <w:r>
        <w:rPr>
          <w:b/>
        </w:rPr>
        <w:t>Initial literature codes</w:t>
      </w:r>
    </w:p>
    <w:p w14:paraId="7D07AB31" w14:textId="77777777" w:rsidR="000C787D" w:rsidRDefault="00000000">
      <w:pPr>
        <w:spacing w:after="100" w:line="259" w:lineRule="auto"/>
      </w:pPr>
      <w:r>
        <w:t>story flow • attention balance • digital-physical tension • wayfinding • pace control • exploration • social isolation • co-experience • participation level • personalisation-social tension • crowding • context dependence</w:t>
      </w:r>
    </w:p>
    <w:p w14:paraId="2A3F60AD" w14:textId="77777777" w:rsidR="000C787D" w:rsidRDefault="00000000">
      <w:pPr>
        <w:spacing w:after="100" w:line="259" w:lineRule="auto"/>
      </w:pPr>
      <w:r>
        <w:rPr>
          <w:b/>
        </w:rPr>
        <w:t>Design implication from this paper</w:t>
      </w:r>
    </w:p>
    <w:p w14:paraId="5C6C99A6" w14:textId="77777777" w:rsidR="000C787D" w:rsidRDefault="00000000">
      <w:pPr>
        <w:spacing w:after="100" w:line="259" w:lineRule="auto"/>
      </w:pPr>
      <w:r>
        <w:t>Design the whole situated experience, not only the interface: keep content concise, support discovery and pace control, preserve physical orientation, provide collaborative options, and balance individual personalisation with social visiting.</w:t>
      </w:r>
    </w:p>
    <w:p w14:paraId="4D4F561D" w14:textId="77777777" w:rsidR="000C787D" w:rsidRDefault="00000000">
      <w:pPr>
        <w:pStyle w:val="Heading2"/>
        <w:spacing w:after="100" w:line="259" w:lineRule="auto"/>
      </w:pPr>
      <w:r>
        <w:t>7. Learning from Interactive Museum Installations (2006)</w:t>
      </w:r>
    </w:p>
    <w:tbl>
      <w:tblPr>
        <w:tblStyle w:val="TableGrid"/>
        <w:tblW w:w="0" w:type="auto"/>
        <w:jc w:val="center"/>
        <w:tblLook w:val="04A0" w:firstRow="1" w:lastRow="0" w:firstColumn="1" w:lastColumn="0" w:noHBand="0" w:noVBand="1"/>
      </w:tblPr>
      <w:tblGrid>
        <w:gridCol w:w="3093"/>
        <w:gridCol w:w="7147"/>
      </w:tblGrid>
      <w:tr w:rsidR="000C787D" w14:paraId="78C6D22D" w14:textId="77777777">
        <w:trPr>
          <w:jc w:val="center"/>
        </w:trPr>
        <w:tc>
          <w:tcPr>
            <w:tcW w:w="3168" w:type="dxa"/>
            <w:shd w:val="clear" w:color="auto" w:fill="EDEDED"/>
            <w:tcMar>
              <w:top w:w="80" w:type="dxa"/>
              <w:left w:w="80" w:type="dxa"/>
              <w:bottom w:w="80" w:type="dxa"/>
              <w:right w:w="80" w:type="dxa"/>
            </w:tcMar>
          </w:tcPr>
          <w:p w14:paraId="77A76415" w14:textId="77777777" w:rsidR="000C787D" w:rsidRDefault="00000000">
            <w:r>
              <w:t>Source type</w:t>
            </w:r>
          </w:p>
        </w:tc>
        <w:tc>
          <w:tcPr>
            <w:tcW w:w="7344" w:type="dxa"/>
            <w:tcMar>
              <w:top w:w="80" w:type="dxa"/>
              <w:left w:w="80" w:type="dxa"/>
              <w:bottom w:w="80" w:type="dxa"/>
              <w:right w:w="80" w:type="dxa"/>
            </w:tcMar>
          </w:tcPr>
          <w:p w14:paraId="6BB779C1" w14:textId="77777777" w:rsidR="000C787D" w:rsidRDefault="00000000">
            <w:r>
              <w:t>Mixed-method empirical field evaluation</w:t>
            </w:r>
          </w:p>
        </w:tc>
      </w:tr>
      <w:tr w:rsidR="000C787D" w14:paraId="67EBEB0F" w14:textId="77777777">
        <w:trPr>
          <w:jc w:val="center"/>
        </w:trPr>
        <w:tc>
          <w:tcPr>
            <w:tcW w:w="3168" w:type="dxa"/>
            <w:shd w:val="clear" w:color="auto" w:fill="EDEDED"/>
            <w:tcMar>
              <w:top w:w="80" w:type="dxa"/>
              <w:left w:w="80" w:type="dxa"/>
              <w:bottom w:w="80" w:type="dxa"/>
              <w:right w:w="80" w:type="dxa"/>
            </w:tcMar>
          </w:tcPr>
          <w:p w14:paraId="7E7A0C4B" w14:textId="77777777" w:rsidR="000C787D" w:rsidRDefault="00000000">
            <w:r>
              <w:t>Purpose</w:t>
            </w:r>
          </w:p>
        </w:tc>
        <w:tc>
          <w:tcPr>
            <w:tcW w:w="7344" w:type="dxa"/>
            <w:tcMar>
              <w:top w:w="80" w:type="dxa"/>
              <w:left w:w="80" w:type="dxa"/>
              <w:bottom w:w="80" w:type="dxa"/>
              <w:right w:w="80" w:type="dxa"/>
            </w:tcMar>
          </w:tcPr>
          <w:p w14:paraId="2B369481" w14:textId="77777777" w:rsidR="000C787D" w:rsidRDefault="00000000">
            <w:r>
              <w:t>To examine how visitors engage with different interactive installations, which exhibits attract sustained activity, and how physical interface design shapes visitor behaviour and group interaction.</w:t>
            </w:r>
          </w:p>
        </w:tc>
      </w:tr>
      <w:tr w:rsidR="000C787D" w14:paraId="5D59A46F" w14:textId="77777777">
        <w:trPr>
          <w:jc w:val="center"/>
        </w:trPr>
        <w:tc>
          <w:tcPr>
            <w:tcW w:w="3168" w:type="dxa"/>
            <w:shd w:val="clear" w:color="auto" w:fill="EDEDED"/>
            <w:tcMar>
              <w:top w:w="80" w:type="dxa"/>
              <w:left w:w="80" w:type="dxa"/>
              <w:bottom w:w="80" w:type="dxa"/>
              <w:right w:w="80" w:type="dxa"/>
            </w:tcMar>
          </w:tcPr>
          <w:p w14:paraId="60A58241" w14:textId="77777777" w:rsidR="000C787D" w:rsidRDefault="00000000">
            <w:r>
              <w:t>Method</w:t>
            </w:r>
          </w:p>
        </w:tc>
        <w:tc>
          <w:tcPr>
            <w:tcW w:w="7344" w:type="dxa"/>
            <w:tcMar>
              <w:top w:w="80" w:type="dxa"/>
              <w:left w:w="80" w:type="dxa"/>
              <w:bottom w:w="80" w:type="dxa"/>
              <w:right w:w="80" w:type="dxa"/>
            </w:tcMar>
          </w:tcPr>
          <w:p w14:paraId="4882CF5B" w14:textId="77777777" w:rsidR="000C787D" w:rsidRDefault="00000000">
            <w:r>
              <w:t>Large-scale system/log data, smartcard and digital-backpack data, approximately 16 hours of observation, and 30 semi-structured visitor interviews in the Austrian Technical Museum.</w:t>
            </w:r>
          </w:p>
        </w:tc>
      </w:tr>
    </w:tbl>
    <w:p w14:paraId="53061003" w14:textId="77777777" w:rsidR="000C787D" w:rsidRDefault="00000000">
      <w:pPr>
        <w:spacing w:after="100" w:line="259" w:lineRule="auto"/>
      </w:pPr>
      <w:r>
        <w:rPr>
          <w:b/>
        </w:rPr>
        <w:t>Key findings</w:t>
      </w:r>
    </w:p>
    <w:p w14:paraId="2AA12D31" w14:textId="77777777" w:rsidR="000C787D" w:rsidRDefault="00000000">
      <w:pPr>
        <w:pStyle w:val="ListBullet"/>
        <w:spacing w:after="100" w:line="259" w:lineRule="auto"/>
      </w:pPr>
      <w:r>
        <w:t>Hands-on interactive exhibits attracted a broad range of visitors across ages and interest profiles.</w:t>
      </w:r>
    </w:p>
    <w:p w14:paraId="044F6C13" w14:textId="77777777" w:rsidR="000C787D" w:rsidRDefault="00000000">
      <w:pPr>
        <w:pStyle w:val="ListBullet"/>
        <w:spacing w:after="100" w:line="259" w:lineRule="auto"/>
      </w:pPr>
      <w:r>
        <w:t>Active media that required challenging tasks or enabled creative appropriation were more successful than information-heavy systems.</w:t>
      </w:r>
    </w:p>
    <w:p w14:paraId="75F1BC03" w14:textId="77777777" w:rsidR="000C787D" w:rsidRDefault="00000000">
      <w:pPr>
        <w:pStyle w:val="ListBullet"/>
        <w:spacing w:after="100" w:line="259" w:lineRule="auto"/>
      </w:pPr>
      <w:r>
        <w:t>Information kiosks with large amounts of text drew little sustained attention and could distance visitors from the physical objects of interest.</w:t>
      </w:r>
    </w:p>
    <w:p w14:paraId="55C6B83F" w14:textId="77777777" w:rsidR="000C787D" w:rsidRDefault="00000000">
      <w:pPr>
        <w:pStyle w:val="ListBullet"/>
        <w:spacing w:after="100" w:line="259" w:lineRule="auto"/>
      </w:pPr>
      <w:r>
        <w:lastRenderedPageBreak/>
        <w:t>The physical form of the interface mattered: tangible handles and hands-on interaction helped reduce barriers and “techno-fatigue.”</w:t>
      </w:r>
    </w:p>
    <w:p w14:paraId="43973E26" w14:textId="77777777" w:rsidR="000C787D" w:rsidRDefault="00000000">
      <w:pPr>
        <w:pStyle w:val="ListBullet"/>
        <w:spacing w:after="100" w:line="259" w:lineRule="auto"/>
      </w:pPr>
      <w:r>
        <w:t>Creative appropriation and public visibility of visitor activity could become part of the exhibition experience for others.</w:t>
      </w:r>
    </w:p>
    <w:p w14:paraId="1C381BE9" w14:textId="77777777" w:rsidR="000C787D" w:rsidRDefault="00000000">
      <w:pPr>
        <w:pStyle w:val="ListBullet"/>
        <w:spacing w:after="100" w:line="259" w:lineRule="auto"/>
      </w:pPr>
      <w:r>
        <w:t>Touchscreens and visible interaction supported observation and collaborative small-group engagement.</w:t>
      </w:r>
    </w:p>
    <w:p w14:paraId="2F9386E6" w14:textId="77777777" w:rsidR="000C787D" w:rsidRDefault="00000000">
      <w:pPr>
        <w:pStyle w:val="ListBullet"/>
        <w:spacing w:after="100" w:line="259" w:lineRule="auto"/>
      </w:pPr>
      <w:r>
        <w:t>The physical setup of an installation influenced the constellations of people that formed around it and the interaction patterns that emerged.</w:t>
      </w:r>
    </w:p>
    <w:p w14:paraId="49AAE372" w14:textId="77777777" w:rsidR="000C787D" w:rsidRDefault="00000000">
      <w:pPr>
        <w:spacing w:after="100" w:line="259" w:lineRule="auto"/>
      </w:pPr>
      <w:r>
        <w:rPr>
          <w:b/>
        </w:rPr>
        <w:t>Initial literature codes</w:t>
      </w:r>
    </w:p>
    <w:p w14:paraId="3BE4679A" w14:textId="77777777" w:rsidR="000C787D" w:rsidRDefault="00000000">
      <w:pPr>
        <w:spacing w:after="100" w:line="259" w:lineRule="auto"/>
      </w:pPr>
      <w:r>
        <w:t>hands-on interaction • active media • creative appropriation • challenge • prolonged engagement • text overload • tangible interface • public performance • visibility • group formation • physical setup</w:t>
      </w:r>
    </w:p>
    <w:p w14:paraId="44675AF5" w14:textId="77777777" w:rsidR="000C787D" w:rsidRDefault="00000000">
      <w:pPr>
        <w:spacing w:after="100" w:line="259" w:lineRule="auto"/>
      </w:pPr>
      <w:r>
        <w:rPr>
          <w:b/>
        </w:rPr>
        <w:t>Design implication from this paper</w:t>
      </w:r>
    </w:p>
    <w:p w14:paraId="4C1944F1" w14:textId="77777777" w:rsidR="000C787D" w:rsidRDefault="00000000">
      <w:pPr>
        <w:spacing w:after="100" w:line="259" w:lineRule="auto"/>
      </w:pPr>
      <w:r>
        <w:t>Prefer active, tangible and visibly understandable interaction over information-heavy kiosks; design the physical setup so that interaction can be observed and shared; allow room for creative appropriation.</w:t>
      </w:r>
    </w:p>
    <w:p w14:paraId="0076A686" w14:textId="77777777" w:rsidR="000C787D" w:rsidRDefault="00000000">
      <w:pPr>
        <w:pStyle w:val="Heading2"/>
        <w:spacing w:after="100" w:line="259" w:lineRule="auto"/>
      </w:pPr>
      <w:r>
        <w:t>8. Sensitive Pictures: Emotional Interpretation in the Museum (2022)</w:t>
      </w:r>
    </w:p>
    <w:tbl>
      <w:tblPr>
        <w:tblStyle w:val="TableGrid"/>
        <w:tblW w:w="0" w:type="auto"/>
        <w:jc w:val="center"/>
        <w:tblLook w:val="04A0" w:firstRow="1" w:lastRow="0" w:firstColumn="1" w:lastColumn="0" w:noHBand="0" w:noVBand="1"/>
      </w:tblPr>
      <w:tblGrid>
        <w:gridCol w:w="3094"/>
        <w:gridCol w:w="7146"/>
      </w:tblGrid>
      <w:tr w:rsidR="000C787D" w14:paraId="2B7062D7" w14:textId="77777777">
        <w:trPr>
          <w:jc w:val="center"/>
        </w:trPr>
        <w:tc>
          <w:tcPr>
            <w:tcW w:w="3168" w:type="dxa"/>
            <w:shd w:val="clear" w:color="auto" w:fill="EDEDED"/>
            <w:tcMar>
              <w:top w:w="80" w:type="dxa"/>
              <w:left w:w="80" w:type="dxa"/>
              <w:bottom w:w="80" w:type="dxa"/>
              <w:right w:w="80" w:type="dxa"/>
            </w:tcMar>
          </w:tcPr>
          <w:p w14:paraId="62DF1568" w14:textId="77777777" w:rsidR="000C787D" w:rsidRDefault="00000000">
            <w:r>
              <w:t>Source type</w:t>
            </w:r>
          </w:p>
        </w:tc>
        <w:tc>
          <w:tcPr>
            <w:tcW w:w="7344" w:type="dxa"/>
            <w:tcMar>
              <w:top w:w="80" w:type="dxa"/>
              <w:left w:w="80" w:type="dxa"/>
              <w:bottom w:w="80" w:type="dxa"/>
              <w:right w:w="80" w:type="dxa"/>
            </w:tcMar>
          </w:tcPr>
          <w:p w14:paraId="23450F80" w14:textId="77777777" w:rsidR="000C787D" w:rsidRDefault="00000000">
            <w:r>
              <w:t>Large public deployment / mixed empirical study</w:t>
            </w:r>
          </w:p>
        </w:tc>
      </w:tr>
      <w:tr w:rsidR="000C787D" w14:paraId="15F629FF" w14:textId="77777777">
        <w:trPr>
          <w:jc w:val="center"/>
        </w:trPr>
        <w:tc>
          <w:tcPr>
            <w:tcW w:w="3168" w:type="dxa"/>
            <w:shd w:val="clear" w:color="auto" w:fill="EDEDED"/>
            <w:tcMar>
              <w:top w:w="80" w:type="dxa"/>
              <w:left w:w="80" w:type="dxa"/>
              <w:bottom w:w="80" w:type="dxa"/>
              <w:right w:w="80" w:type="dxa"/>
            </w:tcMar>
          </w:tcPr>
          <w:p w14:paraId="118C9492" w14:textId="77777777" w:rsidR="000C787D" w:rsidRDefault="00000000">
            <w:r>
              <w:t>Purpose</w:t>
            </w:r>
          </w:p>
        </w:tc>
        <w:tc>
          <w:tcPr>
            <w:tcW w:w="7344" w:type="dxa"/>
            <w:tcMar>
              <w:top w:w="80" w:type="dxa"/>
              <w:left w:w="80" w:type="dxa"/>
              <w:bottom w:w="80" w:type="dxa"/>
              <w:right w:w="80" w:type="dxa"/>
            </w:tcMar>
          </w:tcPr>
          <w:p w14:paraId="592C5CEF" w14:textId="77777777" w:rsidR="000C787D" w:rsidRDefault="00000000">
            <w:r>
              <w:t>To explore how digital technology can provoke, capture, and reflect emotional responses to art, and how visitors interpret affective-computing outputs.</w:t>
            </w:r>
          </w:p>
        </w:tc>
      </w:tr>
      <w:tr w:rsidR="000C787D" w14:paraId="7EB7513B" w14:textId="77777777">
        <w:trPr>
          <w:jc w:val="center"/>
        </w:trPr>
        <w:tc>
          <w:tcPr>
            <w:tcW w:w="3168" w:type="dxa"/>
            <w:shd w:val="clear" w:color="auto" w:fill="EDEDED"/>
            <w:tcMar>
              <w:top w:w="80" w:type="dxa"/>
              <w:left w:w="80" w:type="dxa"/>
              <w:bottom w:w="80" w:type="dxa"/>
              <w:right w:w="80" w:type="dxa"/>
            </w:tcMar>
          </w:tcPr>
          <w:p w14:paraId="1FB5E811" w14:textId="77777777" w:rsidR="000C787D" w:rsidRDefault="00000000">
            <w:r>
              <w:t>Method</w:t>
            </w:r>
          </w:p>
        </w:tc>
        <w:tc>
          <w:tcPr>
            <w:tcW w:w="7344" w:type="dxa"/>
            <w:tcMar>
              <w:top w:w="80" w:type="dxa"/>
              <w:left w:w="80" w:type="dxa"/>
              <w:bottom w:w="80" w:type="dxa"/>
              <w:right w:w="80" w:type="dxa"/>
            </w:tcMar>
          </w:tcPr>
          <w:p w14:paraId="20949225" w14:textId="77777777" w:rsidR="000C787D" w:rsidRDefault="00000000">
            <w:r>
              <w:t>Public deployment at the Munch Museum. 132 visitors completed the experience; system logs and self-reported emotion data were collected, and 39 participants were interviewed. The experience included emotional audio stories, self-report, computer-vision emotion estimation, and a data souvenir.</w:t>
            </w:r>
          </w:p>
        </w:tc>
      </w:tr>
    </w:tbl>
    <w:p w14:paraId="59B442B0" w14:textId="77777777" w:rsidR="000C787D" w:rsidRDefault="00000000">
      <w:pPr>
        <w:spacing w:after="100" w:line="259" w:lineRule="auto"/>
      </w:pPr>
      <w:r>
        <w:rPr>
          <w:b/>
        </w:rPr>
        <w:t>Key findings</w:t>
      </w:r>
    </w:p>
    <w:p w14:paraId="736F3652" w14:textId="77777777" w:rsidR="000C787D" w:rsidRDefault="00000000">
      <w:pPr>
        <w:pStyle w:val="ListBullet"/>
        <w:spacing w:after="100" w:line="259" w:lineRule="auto"/>
      </w:pPr>
      <w:r>
        <w:t>The system successfully provoked emotional responses and encouraged visitors to reflect on their feelings in relation to artworks.</w:t>
      </w:r>
    </w:p>
    <w:p w14:paraId="0C83E692" w14:textId="77777777" w:rsidR="000C787D" w:rsidRDefault="00000000">
      <w:pPr>
        <w:pStyle w:val="ListBullet"/>
        <w:spacing w:after="100" w:line="259" w:lineRule="auto"/>
      </w:pPr>
      <w:r>
        <w:t>Emotional engagement was designed as a trajectory that alternated attention between the artwork and inward self-reflection.</w:t>
      </w:r>
    </w:p>
    <w:p w14:paraId="3B312F67" w14:textId="77777777" w:rsidR="000C787D" w:rsidRDefault="00000000">
      <w:pPr>
        <w:pStyle w:val="ListBullet"/>
        <w:spacing w:after="100" w:line="259" w:lineRule="auto"/>
      </w:pPr>
      <w:r>
        <w:t>Visitors showed a notable tendency to reconcile their own accounts with the system’s emotional interpretation, even when they expressed general scepticism about machines understanding emotion.</w:t>
      </w:r>
    </w:p>
    <w:p w14:paraId="68F45D61" w14:textId="77777777" w:rsidR="000C787D" w:rsidRDefault="00000000">
      <w:pPr>
        <w:pStyle w:val="ListBullet"/>
        <w:spacing w:after="100" w:line="259" w:lineRule="auto"/>
      </w:pPr>
      <w:r>
        <w:t>Scientific-looking visualisations can increase perceived authority, creating a risk that visitors over-trust or defer to the system.</w:t>
      </w:r>
    </w:p>
    <w:p w14:paraId="01AF3FB6" w14:textId="77777777" w:rsidR="000C787D" w:rsidRDefault="00000000">
      <w:pPr>
        <w:pStyle w:val="ListBullet"/>
        <w:spacing w:after="100" w:line="259" w:lineRule="auto"/>
      </w:pPr>
      <w:r>
        <w:t>Ambiguous, personal data visualisations can stimulate emotional storytelling and reflection, but need careful framing.</w:t>
      </w:r>
    </w:p>
    <w:p w14:paraId="3B2BEB0E" w14:textId="77777777" w:rsidR="000C787D" w:rsidRDefault="00000000">
      <w:pPr>
        <w:pStyle w:val="ListBullet"/>
        <w:spacing w:after="100" w:line="259" w:lineRule="auto"/>
      </w:pPr>
      <w:r>
        <w:t>The authors recommend distinguishing storytelling or interpretation from claims to objective truth when presenting affective data.</w:t>
      </w:r>
    </w:p>
    <w:p w14:paraId="1EE54BEF" w14:textId="77777777" w:rsidR="000C787D" w:rsidRDefault="00000000">
      <w:pPr>
        <w:spacing w:after="100" w:line="259" w:lineRule="auto"/>
      </w:pPr>
      <w:r>
        <w:rPr>
          <w:b/>
        </w:rPr>
        <w:t>Initial literature codes</w:t>
      </w:r>
    </w:p>
    <w:p w14:paraId="5D9EE41E" w14:textId="77777777" w:rsidR="000C787D" w:rsidRDefault="00000000">
      <w:pPr>
        <w:spacing w:after="100" w:line="259" w:lineRule="auto"/>
      </w:pPr>
      <w:r>
        <w:t>emotional engagement • self-reflection • affective interaction • emotional trajectory • system authority • interpretive influence • trust • ambiguity • data souvenir • personal data</w:t>
      </w:r>
    </w:p>
    <w:p w14:paraId="33A23A00" w14:textId="77777777" w:rsidR="000C787D" w:rsidRDefault="00000000">
      <w:pPr>
        <w:spacing w:after="100" w:line="259" w:lineRule="auto"/>
      </w:pPr>
      <w:r>
        <w:rPr>
          <w:b/>
        </w:rPr>
        <w:t>Design implication from this paper</w:t>
      </w:r>
    </w:p>
    <w:p w14:paraId="7197E970" w14:textId="77777777" w:rsidR="000C787D" w:rsidRDefault="00000000">
      <w:pPr>
        <w:spacing w:after="100" w:line="259" w:lineRule="auto"/>
      </w:pPr>
      <w:r>
        <w:t>Use technology to provoke reflection rather than claim to diagnose or define a visitor’s emotion; clearly frame interpretations as interpretive; be cautious about system authority and data visualisation; support movement between outward attention to art and inward reflection.</w:t>
      </w:r>
    </w:p>
    <w:p w14:paraId="6BE36CEA" w14:textId="77777777" w:rsidR="000C787D" w:rsidRDefault="00000000">
      <w:pPr>
        <w:pStyle w:val="Heading2"/>
        <w:spacing w:after="100" w:line="259" w:lineRule="auto"/>
      </w:pPr>
      <w:r>
        <w:lastRenderedPageBreak/>
        <w:t>9. Social Augmented Reality: Communicating via Cultural Heritage (2023)</w:t>
      </w:r>
    </w:p>
    <w:tbl>
      <w:tblPr>
        <w:tblStyle w:val="TableGrid"/>
        <w:tblW w:w="0" w:type="auto"/>
        <w:jc w:val="center"/>
        <w:tblLook w:val="04A0" w:firstRow="1" w:lastRow="0" w:firstColumn="1" w:lastColumn="0" w:noHBand="0" w:noVBand="1"/>
      </w:tblPr>
      <w:tblGrid>
        <w:gridCol w:w="3081"/>
        <w:gridCol w:w="7159"/>
      </w:tblGrid>
      <w:tr w:rsidR="000C787D" w14:paraId="37874E4A" w14:textId="77777777">
        <w:trPr>
          <w:jc w:val="center"/>
        </w:trPr>
        <w:tc>
          <w:tcPr>
            <w:tcW w:w="3168" w:type="dxa"/>
            <w:shd w:val="clear" w:color="auto" w:fill="EDEDED"/>
            <w:tcMar>
              <w:top w:w="80" w:type="dxa"/>
              <w:left w:w="80" w:type="dxa"/>
              <w:bottom w:w="80" w:type="dxa"/>
              <w:right w:w="80" w:type="dxa"/>
            </w:tcMar>
          </w:tcPr>
          <w:p w14:paraId="0ED6372F" w14:textId="77777777" w:rsidR="000C787D" w:rsidRDefault="00000000">
            <w:r>
              <w:t>Source type</w:t>
            </w:r>
          </w:p>
        </w:tc>
        <w:tc>
          <w:tcPr>
            <w:tcW w:w="7344" w:type="dxa"/>
            <w:tcMar>
              <w:top w:w="80" w:type="dxa"/>
              <w:left w:w="80" w:type="dxa"/>
              <w:bottom w:w="80" w:type="dxa"/>
              <w:right w:w="80" w:type="dxa"/>
            </w:tcMar>
          </w:tcPr>
          <w:p w14:paraId="4B0FC863" w14:textId="77777777" w:rsidR="000C787D" w:rsidRDefault="00000000">
            <w:r>
              <w:t>Empirical multiuser AR study</w:t>
            </w:r>
          </w:p>
        </w:tc>
      </w:tr>
      <w:tr w:rsidR="000C787D" w14:paraId="0C5918E0" w14:textId="77777777">
        <w:trPr>
          <w:jc w:val="center"/>
        </w:trPr>
        <w:tc>
          <w:tcPr>
            <w:tcW w:w="3168" w:type="dxa"/>
            <w:shd w:val="clear" w:color="auto" w:fill="EDEDED"/>
            <w:tcMar>
              <w:top w:w="80" w:type="dxa"/>
              <w:left w:w="80" w:type="dxa"/>
              <w:bottom w:w="80" w:type="dxa"/>
              <w:right w:w="80" w:type="dxa"/>
            </w:tcMar>
          </w:tcPr>
          <w:p w14:paraId="5CD33BEE" w14:textId="77777777" w:rsidR="000C787D" w:rsidRDefault="00000000">
            <w:r>
              <w:t>Purpose</w:t>
            </w:r>
          </w:p>
        </w:tc>
        <w:tc>
          <w:tcPr>
            <w:tcW w:w="7344" w:type="dxa"/>
            <w:tcMar>
              <w:top w:w="80" w:type="dxa"/>
              <w:left w:w="80" w:type="dxa"/>
              <w:bottom w:w="80" w:type="dxa"/>
              <w:right w:w="80" w:type="dxa"/>
            </w:tcMar>
          </w:tcPr>
          <w:p w14:paraId="2EAF0B81" w14:textId="77777777" w:rsidR="000C787D" w:rsidRDefault="00000000">
            <w:r>
              <w:t>To investigate factors that facilitate or impede social communication when groups co-view cultural heritage objects using multiuser augmented reality.</w:t>
            </w:r>
          </w:p>
        </w:tc>
      </w:tr>
      <w:tr w:rsidR="000C787D" w14:paraId="461CA7BF" w14:textId="77777777">
        <w:trPr>
          <w:jc w:val="center"/>
        </w:trPr>
        <w:tc>
          <w:tcPr>
            <w:tcW w:w="3168" w:type="dxa"/>
            <w:shd w:val="clear" w:color="auto" w:fill="EDEDED"/>
            <w:tcMar>
              <w:top w:w="80" w:type="dxa"/>
              <w:left w:w="80" w:type="dxa"/>
              <w:bottom w:w="80" w:type="dxa"/>
              <w:right w:w="80" w:type="dxa"/>
            </w:tcMar>
          </w:tcPr>
          <w:p w14:paraId="511C0804" w14:textId="77777777" w:rsidR="000C787D" w:rsidRDefault="00000000">
            <w:r>
              <w:t>Method</w:t>
            </w:r>
          </w:p>
        </w:tc>
        <w:tc>
          <w:tcPr>
            <w:tcW w:w="7344" w:type="dxa"/>
            <w:tcMar>
              <w:top w:w="80" w:type="dxa"/>
              <w:left w:w="80" w:type="dxa"/>
              <w:bottom w:w="80" w:type="dxa"/>
              <w:right w:w="80" w:type="dxa"/>
            </w:tcMar>
          </w:tcPr>
          <w:p w14:paraId="3B6C5599" w14:textId="77777777" w:rsidR="000C787D" w:rsidRDefault="00000000">
            <w:r>
              <w:t>Multiuser mobile AR system evaluated with 30 participants in 10 groups. The study used usability, engagement, presence, and social-presence/communication measures to examine group communication around shared objects.</w:t>
            </w:r>
          </w:p>
        </w:tc>
      </w:tr>
    </w:tbl>
    <w:p w14:paraId="545C2A12" w14:textId="77777777" w:rsidR="000C787D" w:rsidRDefault="00000000">
      <w:pPr>
        <w:spacing w:after="100" w:line="259" w:lineRule="auto"/>
      </w:pPr>
      <w:r>
        <w:rPr>
          <w:b/>
        </w:rPr>
        <w:t>Key findings</w:t>
      </w:r>
    </w:p>
    <w:p w14:paraId="6EC6CCA7" w14:textId="77777777" w:rsidR="000C787D" w:rsidRDefault="00000000">
      <w:pPr>
        <w:pStyle w:val="ListBullet"/>
        <w:spacing w:after="100" w:line="259" w:lineRule="auto"/>
      </w:pPr>
      <w:r>
        <w:t>The social dimension of museum/object viewing is important for learning and meaning-making, not merely an optional add-on.</w:t>
      </w:r>
    </w:p>
    <w:p w14:paraId="5BA613E2" w14:textId="77777777" w:rsidR="000C787D" w:rsidRDefault="00000000">
      <w:pPr>
        <w:pStyle w:val="ListBullet"/>
        <w:spacing w:after="100" w:line="259" w:lineRule="auto"/>
      </w:pPr>
      <w:r>
        <w:t>Even lone museum visitors can be influenced by observing other visitors’ behaviour.</w:t>
      </w:r>
    </w:p>
    <w:p w14:paraId="0D55B0A1" w14:textId="77777777" w:rsidR="000C787D" w:rsidRDefault="00000000">
      <w:pPr>
        <w:pStyle w:val="ListBullet"/>
        <w:spacing w:after="100" w:line="259" w:lineRule="auto"/>
      </w:pPr>
      <w:r>
        <w:t>Awareness that other participants are present in the same space can facilitate communication and mutual understanding.</w:t>
      </w:r>
    </w:p>
    <w:p w14:paraId="2B65B6B4" w14:textId="77777777" w:rsidR="000C787D" w:rsidRDefault="00000000">
      <w:pPr>
        <w:pStyle w:val="ListBullet"/>
        <w:spacing w:after="100" w:line="259" w:lineRule="auto"/>
      </w:pPr>
      <w:r>
        <w:t>The majority of participants preferred cultural heritage experiences with friends rather than large groups.</w:t>
      </w:r>
    </w:p>
    <w:p w14:paraId="781EE34A" w14:textId="77777777" w:rsidR="000C787D" w:rsidRDefault="00000000">
      <w:pPr>
        <w:pStyle w:val="ListBullet"/>
        <w:spacing w:after="100" w:line="259" w:lineRule="auto"/>
      </w:pPr>
      <w:r>
        <w:t>The study frames social communication through awareness of others, intention to communicate, reciprocity, emotion, distraction, focus, attention, and ease of communication.</w:t>
      </w:r>
    </w:p>
    <w:p w14:paraId="54028E29" w14:textId="77777777" w:rsidR="000C787D" w:rsidRDefault="00000000">
      <w:pPr>
        <w:pStyle w:val="ListBullet"/>
        <w:spacing w:after="100" w:line="259" w:lineRule="auto"/>
      </w:pPr>
      <w:r>
        <w:t>Additional communication cues are not automatically beneficial; prior work cited in the paper suggests that too many cues can increase mental effort and reduce co-presence.</w:t>
      </w:r>
    </w:p>
    <w:p w14:paraId="0114938A" w14:textId="77777777" w:rsidR="000C787D" w:rsidRDefault="00000000">
      <w:pPr>
        <w:spacing w:after="100" w:line="259" w:lineRule="auto"/>
      </w:pPr>
      <w:r>
        <w:rPr>
          <w:b/>
        </w:rPr>
        <w:t>Initial literature codes</w:t>
      </w:r>
    </w:p>
    <w:p w14:paraId="0D6CC40B" w14:textId="77777777" w:rsidR="000C787D" w:rsidRDefault="00000000">
      <w:pPr>
        <w:spacing w:after="100" w:line="259" w:lineRule="auto"/>
      </w:pPr>
      <w:r>
        <w:t>co-viewing • social presence • awareness of others • distributed meaning-making • reciprocity • communication • small groups • attention • distraction • communication cues</w:t>
      </w:r>
    </w:p>
    <w:p w14:paraId="20A9823C" w14:textId="77777777" w:rsidR="000C787D" w:rsidRDefault="00000000">
      <w:pPr>
        <w:spacing w:after="100" w:line="259" w:lineRule="auto"/>
      </w:pPr>
      <w:r>
        <w:rPr>
          <w:b/>
        </w:rPr>
        <w:t>Design implication from this paper</w:t>
      </w:r>
    </w:p>
    <w:p w14:paraId="21F60B88" w14:textId="77777777" w:rsidR="000C787D" w:rsidRDefault="00000000">
      <w:pPr>
        <w:spacing w:after="100" w:line="259" w:lineRule="auto"/>
      </w:pPr>
      <w:r>
        <w:t>Design for awareness and co-presence before adding heavy communication features; support small-group co-viewing; use communication cues selectively; treat social arrangements as part of the core visitor experience.</w:t>
      </w:r>
    </w:p>
    <w:p w14:paraId="7725266C" w14:textId="77777777" w:rsidR="000C787D" w:rsidRDefault="00000000">
      <w:pPr>
        <w:pStyle w:val="Heading1"/>
        <w:spacing w:after="100" w:line="259" w:lineRule="auto"/>
      </w:pPr>
      <w:r>
        <w:t>4. Cross-Paper Coding</w:t>
      </w:r>
    </w:p>
    <w:tbl>
      <w:tblPr>
        <w:tblStyle w:val="TableGrid"/>
        <w:tblW w:w="0" w:type="auto"/>
        <w:jc w:val="center"/>
        <w:tblLook w:val="04A0" w:firstRow="1" w:lastRow="0" w:firstColumn="1" w:lastColumn="0" w:noHBand="0" w:noVBand="1"/>
      </w:tblPr>
      <w:tblGrid>
        <w:gridCol w:w="3108"/>
        <w:gridCol w:w="7132"/>
      </w:tblGrid>
      <w:tr w:rsidR="000C787D" w14:paraId="0CFE2923" w14:textId="77777777">
        <w:trPr>
          <w:jc w:val="center"/>
        </w:trPr>
        <w:tc>
          <w:tcPr>
            <w:tcW w:w="3168" w:type="dxa"/>
            <w:shd w:val="clear" w:color="auto" w:fill="D9EAF7"/>
            <w:tcMar>
              <w:top w:w="80" w:type="dxa"/>
              <w:left w:w="80" w:type="dxa"/>
              <w:bottom w:w="80" w:type="dxa"/>
              <w:right w:w="80" w:type="dxa"/>
            </w:tcMar>
          </w:tcPr>
          <w:p w14:paraId="674006C3" w14:textId="77777777" w:rsidR="000C787D" w:rsidRDefault="00000000">
            <w:r>
              <w:t>Broader category</w:t>
            </w:r>
          </w:p>
        </w:tc>
        <w:tc>
          <w:tcPr>
            <w:tcW w:w="7344" w:type="dxa"/>
            <w:shd w:val="clear" w:color="auto" w:fill="D9EAF7"/>
            <w:tcMar>
              <w:top w:w="80" w:type="dxa"/>
              <w:left w:w="80" w:type="dxa"/>
              <w:bottom w:w="80" w:type="dxa"/>
              <w:right w:w="80" w:type="dxa"/>
            </w:tcMar>
          </w:tcPr>
          <w:p w14:paraId="1E50634C" w14:textId="77777777" w:rsidR="000C787D" w:rsidRDefault="00000000">
            <w:r>
              <w:t>Codes grouped within the category</w:t>
            </w:r>
          </w:p>
        </w:tc>
      </w:tr>
      <w:tr w:rsidR="000C787D" w14:paraId="5CE3CB3A" w14:textId="77777777">
        <w:trPr>
          <w:jc w:val="center"/>
        </w:trPr>
        <w:tc>
          <w:tcPr>
            <w:tcW w:w="3168" w:type="dxa"/>
            <w:tcMar>
              <w:top w:w="80" w:type="dxa"/>
              <w:left w:w="80" w:type="dxa"/>
              <w:bottom w:w="80" w:type="dxa"/>
              <w:right w:w="80" w:type="dxa"/>
            </w:tcMar>
          </w:tcPr>
          <w:p w14:paraId="0D7CE4FB" w14:textId="77777777" w:rsidR="000C787D" w:rsidRDefault="00000000">
            <w:r>
              <w:t>Social interaction and shared meaning-making</w:t>
            </w:r>
          </w:p>
        </w:tc>
        <w:tc>
          <w:tcPr>
            <w:tcW w:w="7344" w:type="dxa"/>
            <w:tcMar>
              <w:top w:w="80" w:type="dxa"/>
              <w:left w:w="80" w:type="dxa"/>
              <w:bottom w:w="80" w:type="dxa"/>
              <w:right w:w="80" w:type="dxa"/>
            </w:tcMar>
          </w:tcPr>
          <w:p w14:paraId="0B692CAE" w14:textId="77777777" w:rsidR="000C787D" w:rsidRDefault="00000000">
            <w:r>
              <w:t>conversation; co-viewing; social presence; awareness of others; reciprocity; shared interpretation; mutual contribution; small-group communication</w:t>
            </w:r>
          </w:p>
        </w:tc>
      </w:tr>
      <w:tr w:rsidR="000C787D" w14:paraId="45C54027" w14:textId="77777777">
        <w:trPr>
          <w:jc w:val="center"/>
        </w:trPr>
        <w:tc>
          <w:tcPr>
            <w:tcW w:w="3168" w:type="dxa"/>
            <w:tcMar>
              <w:top w:w="80" w:type="dxa"/>
              <w:left w:w="80" w:type="dxa"/>
              <w:bottom w:w="80" w:type="dxa"/>
              <w:right w:w="80" w:type="dxa"/>
            </w:tcMar>
          </w:tcPr>
          <w:p w14:paraId="29F85CDE" w14:textId="77777777" w:rsidR="000C787D" w:rsidRDefault="00000000">
            <w:r>
              <w:t>Personal and introspective experience</w:t>
            </w:r>
          </w:p>
        </w:tc>
        <w:tc>
          <w:tcPr>
            <w:tcW w:w="7344" w:type="dxa"/>
            <w:tcMar>
              <w:top w:w="80" w:type="dxa"/>
              <w:left w:w="80" w:type="dxa"/>
              <w:bottom w:w="80" w:type="dxa"/>
              <w:right w:w="80" w:type="dxa"/>
            </w:tcMar>
          </w:tcPr>
          <w:p w14:paraId="380F8099" w14:textId="77777777" w:rsidR="000C787D" w:rsidRDefault="00000000">
            <w:r>
              <w:t>reflection; emotion; personal meaning; self-reflection; trust; relationship knowledge; autonomy; individual attention</w:t>
            </w:r>
          </w:p>
        </w:tc>
      </w:tr>
      <w:tr w:rsidR="000C787D" w14:paraId="00ED9D0C" w14:textId="77777777">
        <w:trPr>
          <w:jc w:val="center"/>
        </w:trPr>
        <w:tc>
          <w:tcPr>
            <w:tcW w:w="3168" w:type="dxa"/>
            <w:tcMar>
              <w:top w:w="80" w:type="dxa"/>
              <w:left w:w="80" w:type="dxa"/>
              <w:bottom w:w="80" w:type="dxa"/>
              <w:right w:w="80" w:type="dxa"/>
            </w:tcMar>
          </w:tcPr>
          <w:p w14:paraId="3B3AF874" w14:textId="77777777" w:rsidR="000C787D" w:rsidRDefault="00000000">
            <w:r>
              <w:t>Play, participation and active engagement</w:t>
            </w:r>
          </w:p>
        </w:tc>
        <w:tc>
          <w:tcPr>
            <w:tcW w:w="7344" w:type="dxa"/>
            <w:tcMar>
              <w:top w:w="80" w:type="dxa"/>
              <w:left w:w="80" w:type="dxa"/>
              <w:bottom w:w="80" w:type="dxa"/>
              <w:right w:w="80" w:type="dxa"/>
            </w:tcMar>
          </w:tcPr>
          <w:p w14:paraId="605A3D46" w14:textId="77777777" w:rsidR="000C787D" w:rsidRDefault="00000000">
            <w:r>
              <w:t>social play; challenge; asymmetric collaboration; hands-on interaction; tangible interaction; embodied activity; creative appropriation; visitor-generated activity</w:t>
            </w:r>
          </w:p>
        </w:tc>
      </w:tr>
      <w:tr w:rsidR="000C787D" w14:paraId="4E5DFE46" w14:textId="77777777">
        <w:trPr>
          <w:jc w:val="center"/>
        </w:trPr>
        <w:tc>
          <w:tcPr>
            <w:tcW w:w="3168" w:type="dxa"/>
            <w:tcMar>
              <w:top w:w="80" w:type="dxa"/>
              <w:left w:w="80" w:type="dxa"/>
              <w:bottom w:w="80" w:type="dxa"/>
              <w:right w:w="80" w:type="dxa"/>
            </w:tcMar>
          </w:tcPr>
          <w:p w14:paraId="36AE7714" w14:textId="77777777" w:rsidR="000C787D" w:rsidRDefault="00000000">
            <w:r>
              <w:t>Visitor agency, control and personalisation</w:t>
            </w:r>
          </w:p>
        </w:tc>
        <w:tc>
          <w:tcPr>
            <w:tcW w:w="7344" w:type="dxa"/>
            <w:tcMar>
              <w:top w:w="80" w:type="dxa"/>
              <w:left w:w="80" w:type="dxa"/>
              <w:bottom w:w="80" w:type="dxa"/>
              <w:right w:w="80" w:type="dxa"/>
            </w:tcMar>
          </w:tcPr>
          <w:p w14:paraId="5E1B0A10" w14:textId="77777777" w:rsidR="000C787D" w:rsidRDefault="00000000">
            <w:r>
              <w:t>pace control; optional communication; user choice; visitor motivation; personas; exploration; non-linear navigation; control over content depth</w:t>
            </w:r>
          </w:p>
        </w:tc>
      </w:tr>
      <w:tr w:rsidR="000C787D" w14:paraId="72D1C951" w14:textId="77777777">
        <w:trPr>
          <w:jc w:val="center"/>
        </w:trPr>
        <w:tc>
          <w:tcPr>
            <w:tcW w:w="3168" w:type="dxa"/>
            <w:tcMar>
              <w:top w:w="80" w:type="dxa"/>
              <w:left w:w="80" w:type="dxa"/>
              <w:bottom w:w="80" w:type="dxa"/>
              <w:right w:w="80" w:type="dxa"/>
            </w:tcMar>
          </w:tcPr>
          <w:p w14:paraId="06F0A3F1" w14:textId="77777777" w:rsidR="000C787D" w:rsidRDefault="00000000">
            <w:r>
              <w:t>Information, guidance and interpretation</w:t>
            </w:r>
          </w:p>
        </w:tc>
        <w:tc>
          <w:tcPr>
            <w:tcW w:w="7344" w:type="dxa"/>
            <w:tcMar>
              <w:top w:w="80" w:type="dxa"/>
              <w:left w:w="80" w:type="dxa"/>
              <w:bottom w:w="80" w:type="dxa"/>
              <w:right w:w="80" w:type="dxa"/>
            </w:tcMar>
          </w:tcPr>
          <w:p w14:paraId="58CE063A" w14:textId="77777777" w:rsidR="000C787D" w:rsidRDefault="00000000">
            <w:r>
              <w:t>progressive disclosure; optional hints; concise content; interpretive support; information overload; discovery; narrative flow; system framing</w:t>
            </w:r>
          </w:p>
        </w:tc>
      </w:tr>
      <w:tr w:rsidR="000C787D" w14:paraId="13125C81" w14:textId="77777777">
        <w:trPr>
          <w:jc w:val="center"/>
        </w:trPr>
        <w:tc>
          <w:tcPr>
            <w:tcW w:w="3168" w:type="dxa"/>
            <w:tcMar>
              <w:top w:w="80" w:type="dxa"/>
              <w:left w:w="80" w:type="dxa"/>
              <w:bottom w:w="80" w:type="dxa"/>
              <w:right w:w="80" w:type="dxa"/>
            </w:tcMar>
          </w:tcPr>
          <w:p w14:paraId="752517FE" w14:textId="77777777" w:rsidR="000C787D" w:rsidRDefault="00000000">
            <w:r>
              <w:t xml:space="preserve">Technology mediation and </w:t>
            </w:r>
            <w:r>
              <w:lastRenderedPageBreak/>
              <w:t>attention</w:t>
            </w:r>
          </w:p>
        </w:tc>
        <w:tc>
          <w:tcPr>
            <w:tcW w:w="7344" w:type="dxa"/>
            <w:tcMar>
              <w:top w:w="80" w:type="dxa"/>
              <w:left w:w="80" w:type="dxa"/>
              <w:bottom w:w="80" w:type="dxa"/>
              <w:right w:w="80" w:type="dxa"/>
            </w:tcMar>
          </w:tcPr>
          <w:p w14:paraId="2B1656F2" w14:textId="77777777" w:rsidR="000C787D" w:rsidRDefault="00000000">
            <w:r>
              <w:lastRenderedPageBreak/>
              <w:t xml:space="preserve">screen/artwork balance; intrusion; distraction; familiar metaphors; system </w:t>
            </w:r>
            <w:r>
              <w:lastRenderedPageBreak/>
              <w:t>authority; communication burden; augmentation rather than replacement</w:t>
            </w:r>
          </w:p>
        </w:tc>
      </w:tr>
      <w:tr w:rsidR="000C787D" w14:paraId="5A45F065" w14:textId="77777777">
        <w:trPr>
          <w:jc w:val="center"/>
        </w:trPr>
        <w:tc>
          <w:tcPr>
            <w:tcW w:w="3168" w:type="dxa"/>
            <w:tcMar>
              <w:top w:w="80" w:type="dxa"/>
              <w:left w:w="80" w:type="dxa"/>
              <w:bottom w:w="80" w:type="dxa"/>
              <w:right w:w="80" w:type="dxa"/>
            </w:tcMar>
          </w:tcPr>
          <w:p w14:paraId="42738B7E" w14:textId="77777777" w:rsidR="000C787D" w:rsidRDefault="00000000">
            <w:r>
              <w:lastRenderedPageBreak/>
              <w:t>Physical, spatial and contextual conditions</w:t>
            </w:r>
          </w:p>
        </w:tc>
        <w:tc>
          <w:tcPr>
            <w:tcW w:w="7344" w:type="dxa"/>
            <w:tcMar>
              <w:top w:w="80" w:type="dxa"/>
              <w:left w:w="80" w:type="dxa"/>
              <w:bottom w:w="80" w:type="dxa"/>
              <w:right w:w="80" w:type="dxa"/>
            </w:tcMar>
          </w:tcPr>
          <w:p w14:paraId="65BB3750" w14:textId="77777777" w:rsidR="000C787D" w:rsidRDefault="00000000">
            <w:r>
              <w:t>wayfinding; crowding; noise; physical setup; visibility of interaction; proximity; group formation; digital/physical space</w:t>
            </w:r>
          </w:p>
        </w:tc>
      </w:tr>
      <w:tr w:rsidR="000C787D" w14:paraId="393F4FA3" w14:textId="77777777">
        <w:trPr>
          <w:jc w:val="center"/>
        </w:trPr>
        <w:tc>
          <w:tcPr>
            <w:tcW w:w="3168" w:type="dxa"/>
            <w:tcMar>
              <w:top w:w="80" w:type="dxa"/>
              <w:left w:w="80" w:type="dxa"/>
              <w:bottom w:w="80" w:type="dxa"/>
              <w:right w:w="80" w:type="dxa"/>
            </w:tcMar>
          </w:tcPr>
          <w:p w14:paraId="482447F4" w14:textId="77777777" w:rsidR="000C787D" w:rsidRDefault="00000000">
            <w:r>
              <w:t>Emotion, trust and system influence</w:t>
            </w:r>
          </w:p>
        </w:tc>
        <w:tc>
          <w:tcPr>
            <w:tcW w:w="7344" w:type="dxa"/>
            <w:tcMar>
              <w:top w:w="80" w:type="dxa"/>
              <w:left w:w="80" w:type="dxa"/>
              <w:bottom w:w="80" w:type="dxa"/>
              <w:right w:w="80" w:type="dxa"/>
            </w:tcMar>
          </w:tcPr>
          <w:p w14:paraId="32E93FBF" w14:textId="77777777" w:rsidR="000C787D" w:rsidRDefault="00000000">
            <w:r>
              <w:t>affective reflection; system authority; ambiguity; trust; emotional trajectories; risk of over-agreement with automated interpretation</w:t>
            </w:r>
          </w:p>
        </w:tc>
      </w:tr>
    </w:tbl>
    <w:p w14:paraId="4CDF0478" w14:textId="77777777" w:rsidR="000C787D" w:rsidRDefault="00000000">
      <w:pPr>
        <w:pStyle w:val="Heading1"/>
        <w:spacing w:after="100" w:line="259" w:lineRule="auto"/>
      </w:pPr>
      <w:r>
        <w:t>5. Literature Themes</w:t>
      </w:r>
    </w:p>
    <w:p w14:paraId="22BB4AC9" w14:textId="77777777" w:rsidR="000C787D" w:rsidRDefault="00000000">
      <w:pPr>
        <w:pStyle w:val="Heading2"/>
        <w:spacing w:after="100" w:line="259" w:lineRule="auto"/>
      </w:pPr>
      <w:r>
        <w:t>Theme 1 — Museum engagement is simultaneously social and personal</w:t>
      </w:r>
    </w:p>
    <w:p w14:paraId="0630B6AC" w14:textId="77777777" w:rsidR="000C787D" w:rsidRDefault="00000000">
      <w:pPr>
        <w:spacing w:after="100" w:line="259" w:lineRule="auto"/>
      </w:pPr>
      <w:r>
        <w:t>Across the literature, museum visiting is repeatedly framed as both an individual and a social experience. Visitors construct meaning through companions, co-viewing, conversation, play, and awareness of others, while also valuing introspection, emotion, reflection, and individual interpretation. The key design issue is therefore not choosing between social or individual experience, but supporting movement between them.</w:t>
      </w:r>
    </w:p>
    <w:p w14:paraId="15DC9A10" w14:textId="77777777" w:rsidR="000C787D" w:rsidRDefault="00000000">
      <w:pPr>
        <w:pStyle w:val="Heading2"/>
        <w:spacing w:after="100" w:line="259" w:lineRule="auto"/>
      </w:pPr>
      <w:r>
        <w:t>Theme 2 — Active participation can deepen engagement more effectively than passive information delivery</w:t>
      </w:r>
    </w:p>
    <w:p w14:paraId="4B0F066B" w14:textId="77777777" w:rsidR="000C787D" w:rsidRDefault="00000000">
      <w:pPr>
        <w:spacing w:after="100" w:line="259" w:lineRule="auto"/>
      </w:pPr>
      <w:r>
        <w:t>Hands-on interaction, creative appropriation, cooperative tasks, play, and embodied activity are repeatedly associated with prolonged engagement, curiosity, and sociality. In contrast, information-heavy kiosks and long or static content can reduce attention. The literature suggests that interaction should give visitors something meaningful to do with, around, or in relation to the exhibit.</w:t>
      </w:r>
    </w:p>
    <w:p w14:paraId="1A760FF7" w14:textId="77777777" w:rsidR="000C787D" w:rsidRDefault="00000000">
      <w:pPr>
        <w:pStyle w:val="Heading2"/>
        <w:spacing w:after="100" w:line="259" w:lineRule="auto"/>
      </w:pPr>
      <w:r>
        <w:t>Theme 3 — Visitor agency and control are central to a good situated experience</w:t>
      </w:r>
    </w:p>
    <w:p w14:paraId="3E4F2915" w14:textId="77777777" w:rsidR="000C787D" w:rsidRDefault="00000000">
      <w:pPr>
        <w:spacing w:after="100" w:line="259" w:lineRule="auto"/>
      </w:pPr>
      <w:r>
        <w:t>Multiple papers emphasise pace control, choice, optional communication, non-linear exploration, flexible information depth, and user control over when to proceed. Systems that over-direct visitors, restrict communication, or impose fixed paths can conflict with how people naturally visit museums.</w:t>
      </w:r>
    </w:p>
    <w:p w14:paraId="7DE7E6DD" w14:textId="77777777" w:rsidR="000C787D" w:rsidRDefault="00000000">
      <w:pPr>
        <w:pStyle w:val="Heading2"/>
        <w:spacing w:after="100" w:line="259" w:lineRule="auto"/>
      </w:pPr>
      <w:r>
        <w:t>Theme 4 — Personalisation is useful, but one-size-fits-all and over-personalisation both create problems</w:t>
      </w:r>
    </w:p>
    <w:p w14:paraId="44909D21" w14:textId="77777777" w:rsidR="000C787D" w:rsidRDefault="00000000">
      <w:pPr>
        <w:spacing w:after="100" w:line="259" w:lineRule="auto"/>
      </w:pPr>
      <w:r>
        <w:t>Visitor motivations and desired levels of activity differ substantially. Persona-based or adaptive approaches may help, but they should not rigidly stereotype users. Personalisation also creates tension with the inherently social nature of museum visits. Literature therefore supports adaptable options rather than a single prescribed mode.</w:t>
      </w:r>
    </w:p>
    <w:p w14:paraId="7AE8C397" w14:textId="77777777" w:rsidR="000C787D" w:rsidRDefault="00000000">
      <w:pPr>
        <w:pStyle w:val="Heading2"/>
        <w:spacing w:after="100" w:line="259" w:lineRule="auto"/>
      </w:pPr>
      <w:r>
        <w:t>Theme 5 — Digital technology should augment the exhibit, not become the primary focus</w:t>
      </w:r>
    </w:p>
    <w:p w14:paraId="4EA4786F" w14:textId="77777777" w:rsidR="000C787D" w:rsidRDefault="00000000">
      <w:pPr>
        <w:spacing w:after="100" w:line="259" w:lineRule="auto"/>
      </w:pPr>
      <w:r>
        <w:t>A recurring concern is the competition between digital attention and physical/artwork attention. Devices can isolate group members, cause information overload, or distract from exhibits. Stronger approaches keep digital interaction concise, contextual, and supportive, and redirect attention toward exhibits, companions, or the surrounding space.</w:t>
      </w:r>
    </w:p>
    <w:p w14:paraId="16AD087A" w14:textId="77777777" w:rsidR="000C787D" w:rsidRDefault="00000000">
      <w:pPr>
        <w:pStyle w:val="Heading2"/>
        <w:spacing w:after="100" w:line="259" w:lineRule="auto"/>
      </w:pPr>
      <w:r>
        <w:t>Theme 6 — Social technology should support awareness and meaningful connection rather than simply add messaging</w:t>
      </w:r>
    </w:p>
    <w:p w14:paraId="072AF51C" w14:textId="77777777" w:rsidR="000C787D" w:rsidRDefault="00000000">
      <w:pPr>
        <w:spacing w:after="100" w:line="259" w:lineRule="auto"/>
      </w:pPr>
      <w:r>
        <w:t xml:space="preserve">The literature distinguishes sociality from direct communication features. Visitors may value co-presence, shared tasks, awareness, mutual contribution, proximity, and shared viewing without wanting constant voice or </w:t>
      </w:r>
      <w:r>
        <w:lastRenderedPageBreak/>
        <w:t>text chat. Social systems should therefore support meaningful coordination and awareness, not assume that more communication channels automatically improve the experience.</w:t>
      </w:r>
    </w:p>
    <w:p w14:paraId="1609DCE9" w14:textId="77777777" w:rsidR="000C787D" w:rsidRDefault="00000000">
      <w:pPr>
        <w:pStyle w:val="Heading2"/>
        <w:spacing w:after="100" w:line="259" w:lineRule="auto"/>
      </w:pPr>
      <w:r>
        <w:t>Theme 7 — The physical and social setting is part of the interaction system</w:t>
      </w:r>
    </w:p>
    <w:p w14:paraId="136C90CB" w14:textId="77777777" w:rsidR="000C787D" w:rsidRDefault="00000000">
      <w:pPr>
        <w:spacing w:after="100" w:line="259" w:lineRule="auto"/>
      </w:pPr>
      <w:r>
        <w:t>Crowding, navigation, visibility, proximity, noise, physical configuration, and the relationship between device and exhibit affect visitor behaviour. Public interaction can itself become visible content for others. Social and mobile museum technology should therefore be designed as a situated system rather than a standalone interface.</w:t>
      </w:r>
    </w:p>
    <w:p w14:paraId="46FB6D6C" w14:textId="77777777" w:rsidR="000C787D" w:rsidRDefault="00000000">
      <w:pPr>
        <w:pStyle w:val="Heading2"/>
        <w:spacing w:after="100" w:line="259" w:lineRule="auto"/>
      </w:pPr>
      <w:r>
        <w:t>Theme 8 — Systems that interpret visitors must be careful not to overclaim authority</w:t>
      </w:r>
    </w:p>
    <w:p w14:paraId="36A1B27C" w14:textId="77777777" w:rsidR="000C787D" w:rsidRDefault="00000000">
      <w:pPr>
        <w:spacing w:after="100" w:line="259" w:lineRule="auto"/>
      </w:pPr>
      <w:r>
        <w:t>The affective-computing literature highlights a specific risk: visitors may align their own interpretations with system-generated outputs because the system appears authoritative or scientific. Technologies that present emotional, interpretive, or personalised inferences should frame them as prompts or perspectives rather than objective truths.</w:t>
      </w:r>
    </w:p>
    <w:p w14:paraId="74490840" w14:textId="77777777" w:rsidR="000C787D" w:rsidRDefault="00000000">
      <w:pPr>
        <w:pStyle w:val="Heading1"/>
        <w:spacing w:after="100" w:line="259" w:lineRule="auto"/>
      </w:pPr>
      <w:r>
        <w:t>6. Cross-Paper Tensions</w:t>
      </w:r>
    </w:p>
    <w:tbl>
      <w:tblPr>
        <w:tblStyle w:val="TableGrid"/>
        <w:tblW w:w="0" w:type="auto"/>
        <w:jc w:val="center"/>
        <w:tblLook w:val="04A0" w:firstRow="1" w:lastRow="0" w:firstColumn="1" w:lastColumn="0" w:noHBand="0" w:noVBand="1"/>
      </w:tblPr>
      <w:tblGrid>
        <w:gridCol w:w="3109"/>
        <w:gridCol w:w="7131"/>
      </w:tblGrid>
      <w:tr w:rsidR="000C787D" w14:paraId="01F78306" w14:textId="77777777">
        <w:trPr>
          <w:jc w:val="center"/>
        </w:trPr>
        <w:tc>
          <w:tcPr>
            <w:tcW w:w="3168" w:type="dxa"/>
            <w:shd w:val="clear" w:color="auto" w:fill="D9EAF7"/>
            <w:tcMar>
              <w:top w:w="80" w:type="dxa"/>
              <w:left w:w="80" w:type="dxa"/>
              <w:bottom w:w="80" w:type="dxa"/>
              <w:right w:w="80" w:type="dxa"/>
            </w:tcMar>
          </w:tcPr>
          <w:p w14:paraId="30CE6AD9" w14:textId="77777777" w:rsidR="000C787D" w:rsidRDefault="00000000">
            <w:r>
              <w:t>Tension</w:t>
            </w:r>
          </w:p>
        </w:tc>
        <w:tc>
          <w:tcPr>
            <w:tcW w:w="7344" w:type="dxa"/>
            <w:shd w:val="clear" w:color="auto" w:fill="D9EAF7"/>
            <w:tcMar>
              <w:top w:w="80" w:type="dxa"/>
              <w:left w:w="80" w:type="dxa"/>
              <w:bottom w:w="80" w:type="dxa"/>
              <w:right w:w="80" w:type="dxa"/>
            </w:tcMar>
          </w:tcPr>
          <w:p w14:paraId="79E5DA60" w14:textId="77777777" w:rsidR="000C787D" w:rsidRDefault="00000000">
            <w:r>
              <w:t>What the literature indicates</w:t>
            </w:r>
          </w:p>
        </w:tc>
      </w:tr>
      <w:tr w:rsidR="000C787D" w14:paraId="011F5B22" w14:textId="77777777">
        <w:trPr>
          <w:jc w:val="center"/>
        </w:trPr>
        <w:tc>
          <w:tcPr>
            <w:tcW w:w="3168" w:type="dxa"/>
            <w:tcMar>
              <w:top w:w="80" w:type="dxa"/>
              <w:left w:w="80" w:type="dxa"/>
              <w:bottom w:w="80" w:type="dxa"/>
              <w:right w:w="80" w:type="dxa"/>
            </w:tcMar>
          </w:tcPr>
          <w:p w14:paraId="0F6A311C" w14:textId="77777777" w:rsidR="000C787D" w:rsidRDefault="00000000">
            <w:r>
              <w:t>Social connection vs. individual reflection</w:t>
            </w:r>
          </w:p>
        </w:tc>
        <w:tc>
          <w:tcPr>
            <w:tcW w:w="7344" w:type="dxa"/>
            <w:tcMar>
              <w:top w:w="80" w:type="dxa"/>
              <w:left w:w="80" w:type="dxa"/>
              <w:bottom w:w="80" w:type="dxa"/>
              <w:right w:w="80" w:type="dxa"/>
            </w:tcMar>
          </w:tcPr>
          <w:p w14:paraId="77EAADED" w14:textId="77777777" w:rsidR="000C787D" w:rsidRDefault="00000000">
            <w:r>
              <w:t>Visitors benefit from sociality, but also need personal, introspective, and self-paced moments.</w:t>
            </w:r>
          </w:p>
        </w:tc>
      </w:tr>
      <w:tr w:rsidR="000C787D" w14:paraId="7F802BB9" w14:textId="77777777">
        <w:trPr>
          <w:jc w:val="center"/>
        </w:trPr>
        <w:tc>
          <w:tcPr>
            <w:tcW w:w="3168" w:type="dxa"/>
            <w:tcMar>
              <w:top w:w="80" w:type="dxa"/>
              <w:left w:w="80" w:type="dxa"/>
              <w:bottom w:w="80" w:type="dxa"/>
              <w:right w:w="80" w:type="dxa"/>
            </w:tcMar>
          </w:tcPr>
          <w:p w14:paraId="2AF7C866" w14:textId="77777777" w:rsidR="000C787D" w:rsidRDefault="00000000">
            <w:r>
              <w:t>Guidance vs. exploration</w:t>
            </w:r>
          </w:p>
        </w:tc>
        <w:tc>
          <w:tcPr>
            <w:tcW w:w="7344" w:type="dxa"/>
            <w:tcMar>
              <w:top w:w="80" w:type="dxa"/>
              <w:left w:w="80" w:type="dxa"/>
              <w:bottom w:w="80" w:type="dxa"/>
              <w:right w:w="80" w:type="dxa"/>
            </w:tcMar>
          </w:tcPr>
          <w:p w14:paraId="7ECFA880" w14:textId="77777777" w:rsidR="000C787D" w:rsidRDefault="00000000">
            <w:r>
              <w:t>Guidance can reduce uncertainty, but fixed or over-guided experiences can undermine discovery and visitor control.</w:t>
            </w:r>
          </w:p>
        </w:tc>
      </w:tr>
      <w:tr w:rsidR="000C787D" w14:paraId="2A7AB26A" w14:textId="77777777">
        <w:trPr>
          <w:jc w:val="center"/>
        </w:trPr>
        <w:tc>
          <w:tcPr>
            <w:tcW w:w="3168" w:type="dxa"/>
            <w:tcMar>
              <w:top w:w="80" w:type="dxa"/>
              <w:left w:w="80" w:type="dxa"/>
              <w:bottom w:w="80" w:type="dxa"/>
              <w:right w:w="80" w:type="dxa"/>
            </w:tcMar>
          </w:tcPr>
          <w:p w14:paraId="731A4BF8" w14:textId="77777777" w:rsidR="000C787D" w:rsidRDefault="00000000">
            <w:r>
              <w:t>Information vs. engagement</w:t>
            </w:r>
          </w:p>
        </w:tc>
        <w:tc>
          <w:tcPr>
            <w:tcW w:w="7344" w:type="dxa"/>
            <w:tcMar>
              <w:top w:w="80" w:type="dxa"/>
              <w:left w:w="80" w:type="dxa"/>
              <w:bottom w:w="80" w:type="dxa"/>
              <w:right w:w="80" w:type="dxa"/>
            </w:tcMar>
          </w:tcPr>
          <w:p w14:paraId="52E15B5C" w14:textId="77777777" w:rsidR="000C787D" w:rsidRDefault="00000000">
            <w:r>
              <w:t>Information supports learning, but too much information can create overload and move attention away from exhibits.</w:t>
            </w:r>
          </w:p>
        </w:tc>
      </w:tr>
      <w:tr w:rsidR="000C787D" w14:paraId="1DA8AF51" w14:textId="77777777">
        <w:trPr>
          <w:jc w:val="center"/>
        </w:trPr>
        <w:tc>
          <w:tcPr>
            <w:tcW w:w="3168" w:type="dxa"/>
            <w:tcMar>
              <w:top w:w="80" w:type="dxa"/>
              <w:left w:w="80" w:type="dxa"/>
              <w:bottom w:w="80" w:type="dxa"/>
              <w:right w:w="80" w:type="dxa"/>
            </w:tcMar>
          </w:tcPr>
          <w:p w14:paraId="401B45C1" w14:textId="77777777" w:rsidR="000C787D" w:rsidRDefault="00000000">
            <w:r>
              <w:t>Personalisation vs. shared experience</w:t>
            </w:r>
          </w:p>
        </w:tc>
        <w:tc>
          <w:tcPr>
            <w:tcW w:w="7344" w:type="dxa"/>
            <w:tcMar>
              <w:top w:w="80" w:type="dxa"/>
              <w:left w:w="80" w:type="dxa"/>
              <w:bottom w:w="80" w:type="dxa"/>
              <w:right w:w="80" w:type="dxa"/>
            </w:tcMar>
          </w:tcPr>
          <w:p w14:paraId="714FCE42" w14:textId="77777777" w:rsidR="000C787D" w:rsidRDefault="00000000">
            <w:r>
              <w:t>Personalisation can improve relevance, but individualised paths/devices can fragment groups and reduce co-experience.</w:t>
            </w:r>
          </w:p>
        </w:tc>
      </w:tr>
      <w:tr w:rsidR="000C787D" w14:paraId="799D6118" w14:textId="77777777">
        <w:trPr>
          <w:jc w:val="center"/>
        </w:trPr>
        <w:tc>
          <w:tcPr>
            <w:tcW w:w="3168" w:type="dxa"/>
            <w:tcMar>
              <w:top w:w="80" w:type="dxa"/>
              <w:left w:w="80" w:type="dxa"/>
              <w:bottom w:w="80" w:type="dxa"/>
              <w:right w:w="80" w:type="dxa"/>
            </w:tcMar>
          </w:tcPr>
          <w:p w14:paraId="6B5A7B22" w14:textId="77777777" w:rsidR="000C787D" w:rsidRDefault="00000000">
            <w:r>
              <w:t>Play vs. curatorial control</w:t>
            </w:r>
          </w:p>
        </w:tc>
        <w:tc>
          <w:tcPr>
            <w:tcW w:w="7344" w:type="dxa"/>
            <w:tcMar>
              <w:top w:w="80" w:type="dxa"/>
              <w:left w:w="80" w:type="dxa"/>
              <w:bottom w:w="80" w:type="dxa"/>
              <w:right w:w="80" w:type="dxa"/>
            </w:tcMar>
          </w:tcPr>
          <w:p w14:paraId="0932B6D9" w14:textId="77777777" w:rsidR="000C787D" w:rsidRDefault="00000000">
            <w:r>
              <w:t>Play can enable embodied, memorable engagement, but may shift focus away from curatorial interpretation or challenge museum norms.</w:t>
            </w:r>
          </w:p>
        </w:tc>
      </w:tr>
      <w:tr w:rsidR="000C787D" w14:paraId="53B7C057" w14:textId="77777777">
        <w:trPr>
          <w:jc w:val="center"/>
        </w:trPr>
        <w:tc>
          <w:tcPr>
            <w:tcW w:w="3168" w:type="dxa"/>
            <w:tcMar>
              <w:top w:w="80" w:type="dxa"/>
              <w:left w:w="80" w:type="dxa"/>
              <w:bottom w:w="80" w:type="dxa"/>
              <w:right w:w="80" w:type="dxa"/>
            </w:tcMar>
          </w:tcPr>
          <w:p w14:paraId="25A2D3C0" w14:textId="77777777" w:rsidR="000C787D" w:rsidRDefault="00000000">
            <w:r>
              <w:t>Technology support vs. technology distraction</w:t>
            </w:r>
          </w:p>
        </w:tc>
        <w:tc>
          <w:tcPr>
            <w:tcW w:w="7344" w:type="dxa"/>
            <w:tcMar>
              <w:top w:w="80" w:type="dxa"/>
              <w:left w:w="80" w:type="dxa"/>
              <w:bottom w:w="80" w:type="dxa"/>
              <w:right w:w="80" w:type="dxa"/>
            </w:tcMar>
          </w:tcPr>
          <w:p w14:paraId="72A23427" w14:textId="77777777" w:rsidR="000C787D" w:rsidRDefault="00000000">
            <w:r>
              <w:t>Digital systems can enrich visits but can also become intrusive, cognitively demanding, or socially isolating.</w:t>
            </w:r>
          </w:p>
        </w:tc>
      </w:tr>
      <w:tr w:rsidR="000C787D" w14:paraId="6907BC33" w14:textId="77777777">
        <w:trPr>
          <w:jc w:val="center"/>
        </w:trPr>
        <w:tc>
          <w:tcPr>
            <w:tcW w:w="3168" w:type="dxa"/>
            <w:tcMar>
              <w:top w:w="80" w:type="dxa"/>
              <w:left w:w="80" w:type="dxa"/>
              <w:bottom w:w="80" w:type="dxa"/>
              <w:right w:w="80" w:type="dxa"/>
            </w:tcMar>
          </w:tcPr>
          <w:p w14:paraId="4B5AB354" w14:textId="77777777" w:rsidR="000C787D" w:rsidRDefault="00000000">
            <w:r>
              <w:t>Automated interpretation vs. visitor meaning-making</w:t>
            </w:r>
          </w:p>
        </w:tc>
        <w:tc>
          <w:tcPr>
            <w:tcW w:w="7344" w:type="dxa"/>
            <w:tcMar>
              <w:top w:w="80" w:type="dxa"/>
              <w:left w:w="80" w:type="dxa"/>
              <w:bottom w:w="80" w:type="dxa"/>
              <w:right w:w="80" w:type="dxa"/>
            </w:tcMar>
          </w:tcPr>
          <w:p w14:paraId="719E82AB" w14:textId="77777777" w:rsidR="000C787D" w:rsidRDefault="00000000">
            <w:r>
              <w:t>System-generated interpretations can stimulate reflection but may also become overly authoritative and shape what visitors think they are supposed to feel or understand.</w:t>
            </w:r>
          </w:p>
        </w:tc>
      </w:tr>
    </w:tbl>
    <w:p w14:paraId="68CBE7E3" w14:textId="77777777" w:rsidR="000C787D" w:rsidRDefault="00000000">
      <w:pPr>
        <w:pStyle w:val="Heading1"/>
        <w:spacing w:after="100" w:line="259" w:lineRule="auto"/>
      </w:pPr>
      <w:r>
        <w:t>7. Literature-Informed Analytical Framework</w:t>
      </w:r>
    </w:p>
    <w:p w14:paraId="718BD6DD" w14:textId="77777777" w:rsidR="000C787D" w:rsidRDefault="00000000">
      <w:pPr>
        <w:spacing w:after="100" w:line="259" w:lineRule="auto"/>
      </w:pPr>
      <w:r>
        <w:t>The paper analysis produces the following framework for the next stage of the project. These are literature-derived dimensions only; they are not yet interview themes.</w:t>
      </w:r>
    </w:p>
    <w:p w14:paraId="1CBECF9A" w14:textId="77777777" w:rsidR="000C787D" w:rsidRDefault="00000000">
      <w:pPr>
        <w:spacing w:after="100" w:line="259" w:lineRule="auto"/>
      </w:pPr>
      <w:r>
        <w:rPr>
          <w:b/>
        </w:rPr>
        <w:t xml:space="preserve">A. Social experience: </w:t>
      </w:r>
      <w:r>
        <w:t>shared meaning-making; co-presence; awareness of others; conversation; reciprocity; small-group interaction; collaboration</w:t>
      </w:r>
    </w:p>
    <w:p w14:paraId="5F2F0F66" w14:textId="77777777" w:rsidR="000C787D" w:rsidRDefault="00000000">
      <w:pPr>
        <w:spacing w:after="100" w:line="259" w:lineRule="auto"/>
      </w:pPr>
      <w:r>
        <w:rPr>
          <w:b/>
        </w:rPr>
        <w:t xml:space="preserve">B. Personal experience: </w:t>
      </w:r>
      <w:r>
        <w:t>introspection; emotion; personal interpretation; autonomy; trust; individual pace; reflection</w:t>
      </w:r>
    </w:p>
    <w:p w14:paraId="2B6EAEB2" w14:textId="77777777" w:rsidR="000C787D" w:rsidRDefault="00000000">
      <w:pPr>
        <w:spacing w:after="100" w:line="259" w:lineRule="auto"/>
      </w:pPr>
      <w:r>
        <w:rPr>
          <w:b/>
        </w:rPr>
        <w:lastRenderedPageBreak/>
        <w:t xml:space="preserve">C. Participation and play: </w:t>
      </w:r>
      <w:r>
        <w:t>hands-on interaction; embodied engagement; challenge; creative activity; asymmetric roles; visitor-generated action</w:t>
      </w:r>
    </w:p>
    <w:p w14:paraId="5030B90E" w14:textId="77777777" w:rsidR="000C787D" w:rsidRDefault="00000000">
      <w:pPr>
        <w:spacing w:after="100" w:line="259" w:lineRule="auto"/>
      </w:pPr>
      <w:r>
        <w:rPr>
          <w:b/>
        </w:rPr>
        <w:t xml:space="preserve">D. Agency, guidance and personalisation: </w:t>
      </w:r>
      <w:r>
        <w:t>choice; pace; exploration; optional information; motivations; adaptive content; visitor profiles; non-linear routes</w:t>
      </w:r>
    </w:p>
    <w:p w14:paraId="7838387B" w14:textId="77777777" w:rsidR="000C787D" w:rsidRDefault="00000000">
      <w:pPr>
        <w:spacing w:after="100" w:line="259" w:lineRule="auto"/>
      </w:pPr>
      <w:r>
        <w:rPr>
          <w:b/>
        </w:rPr>
        <w:t xml:space="preserve">E. Technology mediation: </w:t>
      </w:r>
      <w:r>
        <w:t>distraction; cognitive load; interface familiarity; system authority; unobtrusiveness; augmentation versus replacement</w:t>
      </w:r>
    </w:p>
    <w:p w14:paraId="1FDBC431" w14:textId="77777777" w:rsidR="000C787D" w:rsidRDefault="00000000">
      <w:pPr>
        <w:spacing w:after="100" w:line="259" w:lineRule="auto"/>
      </w:pPr>
      <w:r>
        <w:rPr>
          <w:b/>
        </w:rPr>
        <w:t xml:space="preserve">F. Physical and social context: </w:t>
      </w:r>
      <w:r>
        <w:t>wayfinding; crowding; noise; proximity; spatial setup; visibility; group formation; digital/physical relationship</w:t>
      </w:r>
    </w:p>
    <w:p w14:paraId="4D0248DE" w14:textId="77777777" w:rsidR="000C787D" w:rsidRDefault="00000000">
      <w:pPr>
        <w:pStyle w:val="Heading1"/>
        <w:spacing w:after="100" w:line="259" w:lineRule="auto"/>
      </w:pPr>
      <w:r>
        <w:t>8. Paper-Derived Design Principles</w:t>
      </w:r>
    </w:p>
    <w:p w14:paraId="6BB247E9" w14:textId="77777777" w:rsidR="000C787D" w:rsidRDefault="00000000">
      <w:pPr>
        <w:pStyle w:val="ListBullet"/>
        <w:spacing w:after="100" w:line="259" w:lineRule="auto"/>
      </w:pPr>
      <w:r>
        <w:t>Preserve visitor agency: allow control over pace, sequence, communication, and depth of information.</w:t>
      </w:r>
    </w:p>
    <w:p w14:paraId="317D98A0" w14:textId="77777777" w:rsidR="000C787D" w:rsidRDefault="00000000">
      <w:pPr>
        <w:pStyle w:val="ListBullet"/>
        <w:spacing w:after="100" w:line="259" w:lineRule="auto"/>
      </w:pPr>
      <w:r>
        <w:t>Use progressive disclosure: start with concise content and make deeper information available on demand.</w:t>
      </w:r>
    </w:p>
    <w:p w14:paraId="3A550A04" w14:textId="77777777" w:rsidR="000C787D" w:rsidRDefault="00000000">
      <w:pPr>
        <w:pStyle w:val="ListBullet"/>
        <w:spacing w:after="100" w:line="259" w:lineRule="auto"/>
      </w:pPr>
      <w:r>
        <w:t>Support social awareness and co-experience without assuming visitors want direct messaging.</w:t>
      </w:r>
    </w:p>
    <w:p w14:paraId="6B6E17C3" w14:textId="77777777" w:rsidR="000C787D" w:rsidRDefault="00000000">
      <w:pPr>
        <w:pStyle w:val="ListBullet"/>
        <w:spacing w:after="100" w:line="259" w:lineRule="auto"/>
      </w:pPr>
      <w:r>
        <w:t>Design active participation that connects clearly to the exhibit rather than becoming a separate digital task.</w:t>
      </w:r>
    </w:p>
    <w:p w14:paraId="79928BA6" w14:textId="77777777" w:rsidR="000C787D" w:rsidRDefault="00000000">
      <w:pPr>
        <w:pStyle w:val="ListBullet"/>
        <w:spacing w:after="100" w:line="259" w:lineRule="auto"/>
      </w:pPr>
      <w:r>
        <w:t>Balance personalisation with the social nature of visits; provide adaptable options rather than one fixed mode.</w:t>
      </w:r>
    </w:p>
    <w:p w14:paraId="06044A3B" w14:textId="77777777" w:rsidR="000C787D" w:rsidRDefault="00000000">
      <w:pPr>
        <w:pStyle w:val="ListBullet"/>
        <w:spacing w:after="100" w:line="259" w:lineRule="auto"/>
      </w:pPr>
      <w:r>
        <w:t>Keep technology subordinate to the physical exhibit and surrounding environment.</w:t>
      </w:r>
    </w:p>
    <w:p w14:paraId="6DA074B3" w14:textId="77777777" w:rsidR="000C787D" w:rsidRDefault="00000000">
      <w:pPr>
        <w:pStyle w:val="ListBullet"/>
        <w:spacing w:after="100" w:line="259" w:lineRule="auto"/>
      </w:pPr>
      <w:r>
        <w:t>Design for the spatial context: movement, proximity, crowding, visibility, and wayfinding are part of the interaction.</w:t>
      </w:r>
    </w:p>
    <w:p w14:paraId="3FA9EADE" w14:textId="77777777" w:rsidR="000C787D" w:rsidRDefault="00000000">
      <w:pPr>
        <w:pStyle w:val="ListBullet"/>
        <w:spacing w:after="100" w:line="259" w:lineRule="auto"/>
      </w:pPr>
      <w:r>
        <w:t>Use play carefully: it can support engagement, embodiment, and connection, but should respect museum context and curatorial concerns.</w:t>
      </w:r>
    </w:p>
    <w:p w14:paraId="74A41971" w14:textId="77777777" w:rsidR="000C787D" w:rsidRDefault="00000000">
      <w:pPr>
        <w:pStyle w:val="ListBullet"/>
        <w:spacing w:after="100" w:line="259" w:lineRule="auto"/>
      </w:pPr>
      <w:r>
        <w:t>Frame system-generated emotional or interpretive outputs as prompts/perspectives rather than objective truths.</w:t>
      </w:r>
    </w:p>
    <w:p w14:paraId="5670F93D" w14:textId="77777777" w:rsidR="000C787D" w:rsidRDefault="00000000">
      <w:pPr>
        <w:pStyle w:val="ListBullet"/>
        <w:spacing w:after="100" w:line="259" w:lineRule="auto"/>
      </w:pPr>
      <w:r>
        <w:t>Prefer meaningful contribution, collaboration, or shared discovery over adding communication features for their own sake.</w:t>
      </w:r>
    </w:p>
    <w:p w14:paraId="4716764C" w14:textId="77777777" w:rsidR="000C787D" w:rsidRDefault="00000000">
      <w:pPr>
        <w:pStyle w:val="Heading1"/>
        <w:spacing w:after="100" w:line="259" w:lineRule="auto"/>
      </w:pPr>
      <w:r>
        <w:t>9. Literature Gaps and Questions to Carry Forward</w:t>
      </w:r>
    </w:p>
    <w:p w14:paraId="43C512FB" w14:textId="77777777" w:rsidR="000C787D" w:rsidRDefault="00000000">
      <w:pPr>
        <w:pStyle w:val="ListBullet"/>
        <w:spacing w:after="100" w:line="259" w:lineRule="auto"/>
      </w:pPr>
      <w:r>
        <w:t>The literature contains strong examples of designed social experiences, but less evidence about how visitors naturally use subtle social cues from unfamiliar visitors in ordinary gallery visits.</w:t>
      </w:r>
    </w:p>
    <w:p w14:paraId="7A760B0F" w14:textId="77777777" w:rsidR="000C787D" w:rsidRDefault="00000000">
      <w:pPr>
        <w:pStyle w:val="ListBullet"/>
        <w:spacing w:after="100" w:line="259" w:lineRule="auto"/>
      </w:pPr>
      <w:r>
        <w:t>Many systems focus on synchronous co-visiting or co-located groups; there is less emphasis on lightweight asynchronous social connection during a physical visit.</w:t>
      </w:r>
    </w:p>
    <w:p w14:paraId="1D934386" w14:textId="77777777" w:rsidR="000C787D" w:rsidRDefault="00000000">
      <w:pPr>
        <w:pStyle w:val="ListBullet"/>
        <w:spacing w:after="100" w:line="259" w:lineRule="auto"/>
      </w:pPr>
      <w:r>
        <w:t>Personalisation is well discussed, but there remains tension over how to personalise without isolating visitors from companions or over-directing their route.</w:t>
      </w:r>
    </w:p>
    <w:p w14:paraId="359235EF" w14:textId="77777777" w:rsidR="000C787D" w:rsidRDefault="00000000">
      <w:pPr>
        <w:pStyle w:val="ListBullet"/>
        <w:spacing w:after="100" w:line="259" w:lineRule="auto"/>
      </w:pPr>
      <w:r>
        <w:t>The role of physical context is acknowledged, but there is room to understand more precisely how crowding, visibility, seating, and spatial layout shape willingness to engage socially.</w:t>
      </w:r>
    </w:p>
    <w:p w14:paraId="452BEBE3" w14:textId="77777777" w:rsidR="000C787D" w:rsidRDefault="00000000">
      <w:pPr>
        <w:pStyle w:val="ListBullet"/>
        <w:spacing w:after="100" w:line="259" w:lineRule="auto"/>
      </w:pPr>
      <w:r>
        <w:t>Interactive systems often measure engagement or usability, but the boundary between technology-enhanced engagement and technology-driven distraction remains an ongoing design problem.</w:t>
      </w:r>
    </w:p>
    <w:p w14:paraId="41054A0B" w14:textId="77777777" w:rsidR="000C787D" w:rsidRDefault="00000000">
      <w:pPr>
        <w:pStyle w:val="ListBullet"/>
        <w:spacing w:after="100" w:line="259" w:lineRule="auto"/>
      </w:pPr>
      <w:r>
        <w:t>Automated affective/interpretive systems raise emerging questions about trust, authority, and whether system outputs constrain visitors’ own meaning-making.</w:t>
      </w:r>
    </w:p>
    <w:p w14:paraId="02F65507" w14:textId="77777777" w:rsidR="000C787D" w:rsidRDefault="00000000">
      <w:pPr>
        <w:pStyle w:val="Heading1"/>
        <w:spacing w:after="100" w:line="259" w:lineRule="auto"/>
      </w:pPr>
      <w:r>
        <w:t>10. Literature Synthesis</w:t>
      </w:r>
    </w:p>
    <w:p w14:paraId="3F289687" w14:textId="77777777" w:rsidR="000C787D" w:rsidRDefault="00000000">
      <w:pPr>
        <w:spacing w:after="100" w:line="259" w:lineRule="auto"/>
      </w:pPr>
      <w:r>
        <w:t xml:space="preserve">Taken together, the papers describe museum and gallery visiting as a situated experience shaped by the artwork, the visitor, companions and other people, the physical environment, and the mediating technology. </w:t>
      </w:r>
      <w:r>
        <w:lastRenderedPageBreak/>
        <w:t>The strongest recurring message is that technology should not simply deliver more information or more communication. Instead, it should support visitor agency, active engagement, reflection, social awareness, meaningful collaboration, and context-sensitive exploration while remaining secondary to the physical museum experience. This paper-only framework can now serve as the deductive starting point for a later interview-analysis stage, but no interview evidence has been used to construct the themes in this document.</w:t>
      </w:r>
    </w:p>
    <w:p w14:paraId="4521E59B" w14:textId="189F2CE2" w:rsidR="000C787D" w:rsidRDefault="000C787D">
      <w:pPr>
        <w:spacing w:after="100" w:line="259" w:lineRule="auto"/>
      </w:pPr>
    </w:p>
    <w:sectPr w:rsidR="000C787D"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71654" w14:textId="77777777" w:rsidR="002D7E2A" w:rsidRDefault="002D7E2A">
      <w:pPr>
        <w:spacing w:after="0" w:line="240" w:lineRule="auto"/>
      </w:pPr>
      <w:r>
        <w:separator/>
      </w:r>
    </w:p>
  </w:endnote>
  <w:endnote w:type="continuationSeparator" w:id="0">
    <w:p w14:paraId="6D8B3E04" w14:textId="77777777" w:rsidR="002D7E2A" w:rsidRDefault="002D7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EF79F" w14:textId="6BC68BD9" w:rsidR="000C787D" w:rsidRDefault="000C787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CAD87" w14:textId="77777777" w:rsidR="002D7E2A" w:rsidRDefault="002D7E2A">
      <w:pPr>
        <w:spacing w:after="0" w:line="240" w:lineRule="auto"/>
      </w:pPr>
      <w:r>
        <w:separator/>
      </w:r>
    </w:p>
  </w:footnote>
  <w:footnote w:type="continuationSeparator" w:id="0">
    <w:p w14:paraId="2438B0FB" w14:textId="77777777" w:rsidR="002D7E2A" w:rsidRDefault="002D7E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1815646">
    <w:abstractNumId w:val="8"/>
  </w:num>
  <w:num w:numId="2" w16cid:durableId="1742751254">
    <w:abstractNumId w:val="6"/>
  </w:num>
  <w:num w:numId="3" w16cid:durableId="558246217">
    <w:abstractNumId w:val="5"/>
  </w:num>
  <w:num w:numId="4" w16cid:durableId="711344559">
    <w:abstractNumId w:val="4"/>
  </w:num>
  <w:num w:numId="5" w16cid:durableId="2081321684">
    <w:abstractNumId w:val="7"/>
  </w:num>
  <w:num w:numId="6" w16cid:durableId="1051730420">
    <w:abstractNumId w:val="3"/>
  </w:num>
  <w:num w:numId="7" w16cid:durableId="1867018878">
    <w:abstractNumId w:val="2"/>
  </w:num>
  <w:num w:numId="8" w16cid:durableId="164639191">
    <w:abstractNumId w:val="1"/>
  </w:num>
  <w:num w:numId="9" w16cid:durableId="54546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87D"/>
    <w:rsid w:val="0015074B"/>
    <w:rsid w:val="0029639D"/>
    <w:rsid w:val="002B5947"/>
    <w:rsid w:val="002D7E2A"/>
    <w:rsid w:val="00326F90"/>
    <w:rsid w:val="006F4703"/>
    <w:rsid w:val="00705AA5"/>
    <w:rsid w:val="007F28BD"/>
    <w:rsid w:val="00954F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DD1B0"/>
  <w14:defaultImageDpi w14:val="300"/>
  <w15:docId w15:val="{2A404AA7-F88D-D04C-B724-994876A24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4265</Words>
  <Characters>24311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Paper-Only Literature Analysis – Museum and Art Gallery Interaction</dc:title>
  <dc:subject>DECO3500 literature analysis</dc:subject>
  <dc:creator>python-docx</dc:creator>
  <cp:keywords/>
  <dc:description>generated by python-docx</dc:description>
  <cp:lastModifiedBy>Yves Yang</cp:lastModifiedBy>
  <cp:revision>4</cp:revision>
  <dcterms:created xsi:type="dcterms:W3CDTF">2013-12-23T23:15:00Z</dcterms:created>
  <dcterms:modified xsi:type="dcterms:W3CDTF">2026-09-08T12:29:00Z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2026-09-08T12:26:04Z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a945ccb0-1f8a-4354-beb8-d4e2d8d9d79c</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