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50C7D2" w14:textId="77777777" w:rsidR="00712529" w:rsidRPr="00A058CD" w:rsidRDefault="00000000">
      <w:pPr>
        <w:rPr>
          <w:lang w:val="en-US"/>
        </w:rPr>
      </w:pPr>
      <w:r w:rsidRPr="00A058CD">
        <w:rPr>
          <w:b/>
          <w:color w:val="1F4E78"/>
          <w:sz w:val="34"/>
          <w:szCs w:val="34"/>
          <w:lang w:val="en-US"/>
        </w:rPr>
        <w:t>lnkmx 6-Week App Roadmap</w:t>
      </w:r>
    </w:p>
    <w:p w14:paraId="300EA632" w14:textId="77777777" w:rsidR="00712529" w:rsidRPr="00A058CD" w:rsidRDefault="00000000">
      <w:pPr>
        <w:spacing w:after="120"/>
        <w:rPr>
          <w:lang w:val="en-US"/>
        </w:rPr>
      </w:pPr>
      <w:r w:rsidRPr="00A058CD">
        <w:rPr>
          <w:b/>
          <w:color w:val="3E5F74"/>
          <w:lang w:val="en-US"/>
        </w:rPr>
        <w:t>Planning window: March 9, 2026 - April 19, 2026</w:t>
      </w:r>
    </w:p>
    <w:p w14:paraId="3D0A9D03" w14:textId="77777777" w:rsidR="00712529" w:rsidRPr="00A058CD" w:rsidRDefault="00000000">
      <w:pPr>
        <w:rPr>
          <w:lang w:val="en-US"/>
        </w:rPr>
      </w:pPr>
      <w:r w:rsidRPr="00A058CD">
        <w:rPr>
          <w:sz w:val="21"/>
          <w:szCs w:val="21"/>
          <w:lang w:val="en-US"/>
        </w:rPr>
        <w:t>Goal: launch the Q2 monetization pivot without breaking the strengths already present in the repo - the page builder, Dashboard V2, Business Zones CRM, invoicing/documents, analytics, SEO/SSR, PWA shell, and Capacitor mobile wrappers.</w:t>
      </w:r>
    </w:p>
    <w:p w14:paraId="5B36558E" w14:textId="77777777" w:rsidR="00712529" w:rsidRPr="00A058CD" w:rsidRDefault="00000000">
      <w:pPr>
        <w:spacing w:after="180"/>
        <w:rPr>
          <w:lang w:val="en-US"/>
        </w:rPr>
      </w:pPr>
      <w:r w:rsidRPr="00A058CD">
        <w:rPr>
          <w:color w:val="5D6B75"/>
          <w:sz w:val="18"/>
          <w:szCs w:val="18"/>
          <w:lang w:val="en-US"/>
        </w:rPr>
        <w:t>Repo basis used for this roadmap: README, PLATFORM_SNAPSHOT, product roadmap/tech debt docs, dependency-cruiser rules, tier hooks and monetization screens, fintech service, Zone screens, and manifest/service worker behavior.</w:t>
      </w:r>
    </w:p>
    <w:p w14:paraId="4E7CFDC7" w14:textId="77777777" w:rsidR="00712529" w:rsidRDefault="00000000">
      <w:pPr>
        <w:keepNext/>
        <w:spacing w:before="160"/>
      </w:pPr>
      <w:r>
        <w:rPr>
          <w:b/>
          <w:color w:val="1F4E78"/>
          <w:sz w:val="28"/>
          <w:szCs w:val="28"/>
        </w:rPr>
        <w:t xml:space="preserve">Current </w:t>
      </w:r>
      <w:proofErr w:type="spellStart"/>
      <w:r>
        <w:rPr>
          <w:b/>
          <w:color w:val="1F4E78"/>
          <w:sz w:val="28"/>
          <w:szCs w:val="28"/>
        </w:rPr>
        <w:t>Repo</w:t>
      </w:r>
      <w:proofErr w:type="spellEnd"/>
      <w:r>
        <w:rPr>
          <w:b/>
          <w:color w:val="1F4E78"/>
          <w:sz w:val="28"/>
          <w:szCs w:val="28"/>
        </w:rPr>
        <w:t xml:space="preserve"> </w:t>
      </w:r>
      <w:proofErr w:type="spellStart"/>
      <w:r>
        <w:rPr>
          <w:b/>
          <w:color w:val="1F4E78"/>
          <w:sz w:val="28"/>
          <w:szCs w:val="28"/>
        </w:rPr>
        <w:t>Baseline</w:t>
      </w:r>
      <w:proofErr w:type="spellEnd"/>
    </w:p>
    <w:p w14:paraId="2C20A94A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The repo already ships a broad surface area: 28+ block page builder, public pages, Dashboard V2, Business Zones (deals, contacts, tasks, invoices, documents, products, events, automations), SEO/SSR, i18n, PWA assets, and Capacitor shells.</w:t>
      </w:r>
    </w:p>
    <w:p w14:paraId="7C0B483B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Several CRM depth features are already present in code, including multi-pipeline support, custom contact/deal fields, Excel exports, invoice PDF export, and a Zone command palette/global search.</w:t>
      </w:r>
    </w:p>
    <w:p w14:paraId="57DF0328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The clearest near-term gap is monetization alignment: docs call for Identity/Starter/Pro with 7% and 1% fee handling, while current hooks and billing UI still model free/pro/business and the fintech service still carries a 5% default take-rate.</w:t>
      </w:r>
    </w:p>
    <w:p w14:paraId="2188FBF6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Billing/account UX is unfinished in places: Account Settings still contains TODO placeholders for billing history and password change, and the payment service is still described as a skeleton.</w:t>
      </w:r>
    </w:p>
    <w:p w14:paraId="1F36CB76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PWA/offline support is basic today: the service worker caches a small static set and images, but not the deeper read-only CRM workflow described in Q2 plans.</w:t>
      </w:r>
    </w:p>
    <w:p w14:paraId="14281F19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Zone analytics exists, but it is still a summary dashboard rather than a full operating/reporting surface for finance, funnel trends, and team throughput.</w:t>
      </w:r>
    </w:p>
    <w:p w14:paraId="623DC285" w14:textId="77777777" w:rsidR="00712529" w:rsidRPr="00A058CD" w:rsidRDefault="00000000">
      <w:pPr>
        <w:keepNext/>
        <w:spacing w:before="160"/>
        <w:rPr>
          <w:lang w:val="en-US"/>
        </w:rPr>
      </w:pPr>
      <w:r w:rsidRPr="00A058CD">
        <w:rPr>
          <w:b/>
          <w:color w:val="1F4E78"/>
          <w:sz w:val="28"/>
          <w:szCs w:val="28"/>
          <w:lang w:val="en-US"/>
        </w:rPr>
        <w:t>Architecture Constraints</w:t>
      </w:r>
    </w:p>
    <w:p w14:paraId="765C4A3F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Protect Supabase RLS and zone isolation on every billing, reporting, and CRM change.</w:t>
      </w:r>
    </w:p>
    <w:p w14:paraId="4D993C3C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Respect dependency-cruiser boundaries between core/shared code and UI/data layers.</w:t>
      </w:r>
    </w:p>
    <w:p w14:paraId="0AA8B2A0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Keep bundle growth under control; the app already lazy-loads shell pieces and zone screens for performance.</w:t>
      </w:r>
    </w:p>
    <w:p w14:paraId="04D95C07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Treat Edge Function changes as security-sensitive because several public endpoints rely on internal auth checks instead of JWT verification.</w:t>
      </w:r>
    </w:p>
    <w:p w14:paraId="21AC18FD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Keep quality gates green: typecheck, lint, unit tests, E2E flows, and dependency analysis.</w:t>
      </w:r>
    </w:p>
    <w:p w14:paraId="62476E56" w14:textId="77777777" w:rsidR="00712529" w:rsidRPr="00A058CD" w:rsidRDefault="00000000">
      <w:pPr>
        <w:keepNext/>
        <w:spacing w:before="160"/>
        <w:rPr>
          <w:lang w:val="en-US"/>
        </w:rPr>
      </w:pPr>
      <w:r w:rsidRPr="00A058CD">
        <w:rPr>
          <w:b/>
          <w:color w:val="1F4E78"/>
          <w:sz w:val="28"/>
          <w:szCs w:val="28"/>
          <w:lang w:val="en-US"/>
        </w:rPr>
        <w:t>Milestones</w:t>
      </w:r>
    </w:p>
    <w:p w14:paraId="6960BD92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Milestone 1 - End of Week 2: monetization foundation live across tier rules, payment flows, fee handling, and billing surfaces.</w:t>
      </w:r>
    </w:p>
    <w:p w14:paraId="3F556C32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Milestone 2 - End of Week 4: business-ready CRM polish with stronger reporting, accessible mobile UX, and fewer inconsistent workflows.</w:t>
      </w:r>
    </w:p>
    <w:p w14:paraId="4B24920E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Milestone 3 - End of Week 6: release-ready PWA/mobile reliability, launch checklist completion, and KPI tracking for Starter launch and Pro conversion.</w:t>
      </w:r>
    </w:p>
    <w:p w14:paraId="5503FF66" w14:textId="77777777" w:rsidR="00712529" w:rsidRDefault="00000000">
      <w:pPr>
        <w:keepNext/>
        <w:spacing w:before="200" w:after="100"/>
      </w:pPr>
      <w:r>
        <w:rPr>
          <w:b/>
          <w:color w:val="1F4E78"/>
          <w:sz w:val="28"/>
          <w:szCs w:val="28"/>
        </w:rPr>
        <w:t>Week-</w:t>
      </w:r>
      <w:proofErr w:type="spellStart"/>
      <w:r>
        <w:rPr>
          <w:b/>
          <w:color w:val="1F4E78"/>
          <w:sz w:val="28"/>
          <w:szCs w:val="28"/>
        </w:rPr>
        <w:t>by</w:t>
      </w:r>
      <w:proofErr w:type="spellEnd"/>
      <w:r>
        <w:rPr>
          <w:b/>
          <w:color w:val="1F4E78"/>
          <w:sz w:val="28"/>
          <w:szCs w:val="28"/>
        </w:rPr>
        <w:t>-Week Plan</w:t>
      </w:r>
    </w:p>
    <w:tbl>
      <w:tblPr>
        <w:tblStyle w:val="a3"/>
        <w:tblW w:w="9900" w:type="dxa"/>
        <w:tblInd w:w="80" w:type="dxa"/>
        <w:tblBorders>
          <w:top w:val="single" w:sz="8" w:space="0" w:color="B8C6D1"/>
          <w:left w:val="single" w:sz="8" w:space="0" w:color="B8C6D1"/>
          <w:bottom w:val="single" w:sz="8" w:space="0" w:color="B8C6D1"/>
          <w:right w:val="single" w:sz="8" w:space="0" w:color="B8C6D1"/>
          <w:insideH w:val="single" w:sz="6" w:space="0" w:color="D5DDE3"/>
          <w:insideV w:val="single" w:sz="6" w:space="0" w:color="D5DDE3"/>
        </w:tblBorders>
        <w:tblCellMar>
          <w:top w:w="80" w:type="dxa"/>
          <w:left w:w="80" w:type="dxa"/>
          <w:bottom w:w="80" w:type="dxa"/>
          <w:right w:w="80" w:type="dxa"/>
        </w:tblCellMar>
        <w:tblLook w:val="04A0" w:firstRow="1" w:lastRow="0" w:firstColumn="1" w:lastColumn="0" w:noHBand="0" w:noVBand="1"/>
      </w:tblPr>
      <w:tblGrid>
        <w:gridCol w:w="1400"/>
        <w:gridCol w:w="1900"/>
        <w:gridCol w:w="3500"/>
        <w:gridCol w:w="3100"/>
      </w:tblGrid>
      <w:tr w:rsidR="00712529" w14:paraId="6B0FC853" w14:textId="77777777">
        <w:tc>
          <w:tcPr>
            <w:tcW w:w="1400" w:type="dxa"/>
            <w:shd w:val="clear" w:color="auto" w:fill="1F4E78"/>
          </w:tcPr>
          <w:p w14:paraId="1569BD81" w14:textId="77777777" w:rsidR="00712529" w:rsidRDefault="00000000">
            <w:pPr>
              <w:spacing w:after="0"/>
            </w:pPr>
            <w:r>
              <w:rPr>
                <w:b/>
                <w:color w:val="FFFFFF"/>
                <w:sz w:val="18"/>
                <w:szCs w:val="18"/>
              </w:rPr>
              <w:t>Week</w:t>
            </w:r>
          </w:p>
        </w:tc>
        <w:tc>
          <w:tcPr>
            <w:tcW w:w="1900" w:type="dxa"/>
            <w:shd w:val="clear" w:color="auto" w:fill="1F4E78"/>
          </w:tcPr>
          <w:p w14:paraId="1497C25A" w14:textId="77777777" w:rsidR="00712529" w:rsidRDefault="00000000">
            <w:pPr>
              <w:spacing w:after="0"/>
            </w:pPr>
            <w:r>
              <w:rPr>
                <w:b/>
                <w:color w:val="FFFFFF"/>
                <w:sz w:val="18"/>
                <w:szCs w:val="18"/>
              </w:rPr>
              <w:t xml:space="preserve">Focus / Weekly </w:t>
            </w:r>
            <w:proofErr w:type="spellStart"/>
            <w:r>
              <w:rPr>
                <w:b/>
                <w:color w:val="FFFFFF"/>
                <w:sz w:val="18"/>
                <w:szCs w:val="18"/>
              </w:rPr>
              <w:t>goal</w:t>
            </w:r>
            <w:proofErr w:type="spellEnd"/>
          </w:p>
        </w:tc>
        <w:tc>
          <w:tcPr>
            <w:tcW w:w="3500" w:type="dxa"/>
            <w:shd w:val="clear" w:color="auto" w:fill="1F4E78"/>
          </w:tcPr>
          <w:p w14:paraId="1D07AAEC" w14:textId="77777777" w:rsidR="00712529" w:rsidRDefault="00000000">
            <w:pPr>
              <w:spacing w:after="0"/>
            </w:pPr>
            <w:proofErr w:type="spellStart"/>
            <w:r>
              <w:rPr>
                <w:b/>
                <w:color w:val="FFFFFF"/>
                <w:sz w:val="18"/>
                <w:szCs w:val="18"/>
              </w:rPr>
              <w:t>Deliverables</w:t>
            </w:r>
            <w:proofErr w:type="spellEnd"/>
          </w:p>
        </w:tc>
        <w:tc>
          <w:tcPr>
            <w:tcW w:w="3100" w:type="dxa"/>
            <w:shd w:val="clear" w:color="auto" w:fill="1F4E78"/>
          </w:tcPr>
          <w:p w14:paraId="4A34EA5D" w14:textId="77777777" w:rsidR="00712529" w:rsidRDefault="00000000">
            <w:pPr>
              <w:spacing w:after="0"/>
            </w:pPr>
            <w:proofErr w:type="spellStart"/>
            <w:r>
              <w:rPr>
                <w:b/>
                <w:color w:val="FFFFFF"/>
                <w:sz w:val="18"/>
                <w:szCs w:val="18"/>
              </w:rPr>
              <w:t>Dependencies</w:t>
            </w:r>
            <w:proofErr w:type="spellEnd"/>
            <w:r>
              <w:rPr>
                <w:b/>
                <w:color w:val="FFFFFF"/>
                <w:sz w:val="18"/>
                <w:szCs w:val="18"/>
              </w:rPr>
              <w:t xml:space="preserve"> </w:t>
            </w:r>
            <w:proofErr w:type="spellStart"/>
            <w:r>
              <w:rPr>
                <w:b/>
                <w:color w:val="FFFFFF"/>
                <w:sz w:val="18"/>
                <w:szCs w:val="18"/>
              </w:rPr>
              <w:t>and</w:t>
            </w:r>
            <w:proofErr w:type="spellEnd"/>
            <w:r>
              <w:rPr>
                <w:b/>
                <w:color w:val="FFFFFF"/>
                <w:sz w:val="18"/>
                <w:szCs w:val="18"/>
              </w:rPr>
              <w:t xml:space="preserve"> </w:t>
            </w:r>
            <w:proofErr w:type="spellStart"/>
            <w:r>
              <w:rPr>
                <w:b/>
                <w:color w:val="FFFFFF"/>
                <w:sz w:val="18"/>
                <w:szCs w:val="18"/>
              </w:rPr>
              <w:t>risks</w:t>
            </w:r>
            <w:proofErr w:type="spellEnd"/>
          </w:p>
        </w:tc>
      </w:tr>
      <w:tr w:rsidR="00712529" w:rsidRPr="00A058CD" w14:paraId="59F3F6BA" w14:textId="77777777">
        <w:tc>
          <w:tcPr>
            <w:tcW w:w="1400" w:type="dxa"/>
          </w:tcPr>
          <w:p w14:paraId="5785107C" w14:textId="77777777" w:rsidR="00712529" w:rsidRDefault="00000000">
            <w:pPr>
              <w:spacing w:after="20"/>
            </w:pPr>
            <w:r>
              <w:rPr>
                <w:sz w:val="18"/>
                <w:szCs w:val="18"/>
              </w:rPr>
              <w:lastRenderedPageBreak/>
              <w:t>Week 1</w:t>
            </w:r>
          </w:p>
          <w:p w14:paraId="26D65A76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Mar</w:t>
            </w:r>
            <w:proofErr w:type="spellEnd"/>
            <w:r>
              <w:rPr>
                <w:sz w:val="18"/>
                <w:szCs w:val="18"/>
              </w:rPr>
              <w:t xml:space="preserve"> 9 - </w:t>
            </w:r>
            <w:proofErr w:type="spellStart"/>
            <w:r>
              <w:rPr>
                <w:sz w:val="18"/>
                <w:szCs w:val="18"/>
              </w:rPr>
              <w:t>Mar</w:t>
            </w:r>
            <w:proofErr w:type="spellEnd"/>
            <w:r>
              <w:rPr>
                <w:sz w:val="18"/>
                <w:szCs w:val="18"/>
              </w:rPr>
              <w:t xml:space="preserve"> 15</w:t>
            </w:r>
          </w:p>
        </w:tc>
        <w:tc>
          <w:tcPr>
            <w:tcW w:w="1900" w:type="dxa"/>
          </w:tcPr>
          <w:p w14:paraId="08592C8C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Monetization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model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alignment</w:t>
            </w:r>
            <w:proofErr w:type="spellEnd"/>
          </w:p>
        </w:tc>
        <w:tc>
          <w:tcPr>
            <w:tcW w:w="3500" w:type="dxa"/>
          </w:tcPr>
          <w:p w14:paraId="600EBBDE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Replace free/pro/business assumptions with Identity/Starter/Pro/Business rules in tier hooks, limits, pricing copy, and the Monetize screen.</w:t>
            </w:r>
          </w:p>
          <w:p w14:paraId="304A18A7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Centralize fee constants and remove the legacy 5% take-rate fallback.</w:t>
            </w:r>
          </w:p>
          <w:p w14:paraId="25A092D0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Define the event/data model for fee calculation, settlement, and billing history.</w:t>
            </w:r>
          </w:p>
        </w:tc>
        <w:tc>
          <w:tcPr>
            <w:tcW w:w="3100" w:type="dxa"/>
          </w:tcPr>
          <w:p w14:paraId="1C2D0EBB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Dependency: product sign-off on the plan matrix and upgrade thresholds.</w:t>
            </w:r>
          </w:p>
          <w:p w14:paraId="079AD542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Risk: gating bugs or revenue leakage if tier mapping stays inconsistent.</w:t>
            </w:r>
          </w:p>
        </w:tc>
      </w:tr>
      <w:tr w:rsidR="00712529" w:rsidRPr="00A058CD" w14:paraId="57ECA91E" w14:textId="77777777">
        <w:tc>
          <w:tcPr>
            <w:tcW w:w="1400" w:type="dxa"/>
          </w:tcPr>
          <w:p w14:paraId="7F4D2EC9" w14:textId="77777777" w:rsidR="00712529" w:rsidRDefault="00000000">
            <w:pPr>
              <w:spacing w:after="20"/>
            </w:pPr>
            <w:r>
              <w:rPr>
                <w:sz w:val="18"/>
                <w:szCs w:val="18"/>
              </w:rPr>
              <w:t>Week 2</w:t>
            </w:r>
          </w:p>
          <w:p w14:paraId="4F08C077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Mar</w:t>
            </w:r>
            <w:proofErr w:type="spellEnd"/>
            <w:r>
              <w:rPr>
                <w:sz w:val="18"/>
                <w:szCs w:val="18"/>
              </w:rPr>
              <w:t xml:space="preserve"> 16 - </w:t>
            </w:r>
            <w:proofErr w:type="spellStart"/>
            <w:r>
              <w:rPr>
                <w:sz w:val="18"/>
                <w:szCs w:val="18"/>
              </w:rPr>
              <w:t>Mar</w:t>
            </w:r>
            <w:proofErr w:type="spellEnd"/>
            <w:r>
              <w:rPr>
                <w:sz w:val="18"/>
                <w:szCs w:val="18"/>
              </w:rPr>
              <w:t xml:space="preserve"> 22</w:t>
            </w:r>
          </w:p>
        </w:tc>
        <w:tc>
          <w:tcPr>
            <w:tcW w:w="1900" w:type="dxa"/>
          </w:tcPr>
          <w:p w14:paraId="1DCC815B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Payment execution and account billing</w:t>
            </w:r>
          </w:p>
        </w:tc>
        <w:tc>
          <w:tcPr>
            <w:tcW w:w="3500" w:type="dxa"/>
          </w:tcPr>
          <w:p w14:paraId="498B37A8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Implement the missing process-transaction-fee flow plus webhook/idempotency handling.</w:t>
            </w:r>
          </w:p>
          <w:p w14:paraId="7CE2F953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Finish the Robokassa order lifecycle and decide Kaspi scope (full automation vs staged rollout).</w:t>
            </w:r>
          </w:p>
          <w:p w14:paraId="2A83E86E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Replace the billing-history placeholder and wire password-change/support flow in account settings.</w:t>
            </w:r>
          </w:p>
          <w:p w14:paraId="2178806E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Expand fintech E2E coverage for purchase, webhook, and failed/retried payment cases.</w:t>
            </w:r>
          </w:p>
        </w:tc>
        <w:tc>
          <w:tcPr>
            <w:tcW w:w="3100" w:type="dxa"/>
          </w:tcPr>
          <w:p w14:paraId="26E3C5D8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Dependency: provider credentials, webhook sandbox access, and fee/refund rules.</w:t>
            </w:r>
          </w:p>
          <w:p w14:paraId="0B29A6B2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Risk: reconciliation drift and service-role/RLS mistakes in financial paths.</w:t>
            </w:r>
          </w:p>
        </w:tc>
      </w:tr>
      <w:tr w:rsidR="00712529" w:rsidRPr="00A058CD" w14:paraId="5C1A4F67" w14:textId="77777777">
        <w:tc>
          <w:tcPr>
            <w:tcW w:w="1400" w:type="dxa"/>
          </w:tcPr>
          <w:p w14:paraId="2D20D56B" w14:textId="77777777" w:rsidR="00712529" w:rsidRDefault="00000000">
            <w:pPr>
              <w:spacing w:after="20"/>
            </w:pPr>
            <w:r>
              <w:rPr>
                <w:sz w:val="18"/>
                <w:szCs w:val="18"/>
              </w:rPr>
              <w:t>Week 3</w:t>
            </w:r>
          </w:p>
          <w:p w14:paraId="5FA82477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Mar</w:t>
            </w:r>
            <w:proofErr w:type="spellEnd"/>
            <w:r>
              <w:rPr>
                <w:sz w:val="18"/>
                <w:szCs w:val="18"/>
              </w:rPr>
              <w:t xml:space="preserve"> 23 - </w:t>
            </w:r>
            <w:proofErr w:type="spellStart"/>
            <w:r>
              <w:rPr>
                <w:sz w:val="18"/>
                <w:szCs w:val="18"/>
              </w:rPr>
              <w:t>Mar</w:t>
            </w:r>
            <w:proofErr w:type="spellEnd"/>
            <w:r>
              <w:rPr>
                <w:sz w:val="18"/>
                <w:szCs w:val="18"/>
              </w:rPr>
              <w:t xml:space="preserve"> 29</w:t>
            </w:r>
          </w:p>
        </w:tc>
        <w:tc>
          <w:tcPr>
            <w:tcW w:w="1900" w:type="dxa"/>
          </w:tcPr>
          <w:p w14:paraId="508BC4B8" w14:textId="77777777" w:rsidR="00712529" w:rsidRDefault="00000000">
            <w:pPr>
              <w:spacing w:after="0"/>
            </w:pPr>
            <w:r>
              <w:rPr>
                <w:sz w:val="18"/>
                <w:szCs w:val="18"/>
              </w:rPr>
              <w:t xml:space="preserve">Reporting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business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visibility</w:t>
            </w:r>
            <w:proofErr w:type="spellEnd"/>
          </w:p>
        </w:tc>
        <w:tc>
          <w:tcPr>
            <w:tcW w:w="3500" w:type="dxa"/>
          </w:tcPr>
          <w:p w14:paraId="1D06985E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Expand ZoneAnalytics beyond summary cards into finance-ready reporting: funnel trends, invoice conversion, paid vs pending totals, and assignee/task throughput.</w:t>
            </w:r>
          </w:p>
          <w:p w14:paraId="2110199A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Validate and polish existing exports, search, pipelines, and custom fields in real operator workflows.</w:t>
            </w:r>
          </w:p>
          <w:p w14:paraId="01B2FF6B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Add billing/plan metrics for Starter adoption and upgrade triggers.</w:t>
            </w:r>
          </w:p>
        </w:tc>
        <w:tc>
          <w:tcPr>
            <w:tcW w:w="3100" w:type="dxa"/>
          </w:tcPr>
          <w:p w14:paraId="4AFD5083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Dependency: seeded zone data and complete analytics events.</w:t>
            </w:r>
          </w:p>
          <w:p w14:paraId="7306849C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Risk: slow client-side queries or noisy metrics on larger zones.</w:t>
            </w:r>
          </w:p>
        </w:tc>
      </w:tr>
      <w:tr w:rsidR="00712529" w:rsidRPr="00A058CD" w14:paraId="57390BCD" w14:textId="77777777">
        <w:tc>
          <w:tcPr>
            <w:tcW w:w="1400" w:type="dxa"/>
          </w:tcPr>
          <w:p w14:paraId="786510A2" w14:textId="77777777" w:rsidR="00712529" w:rsidRDefault="00000000">
            <w:pPr>
              <w:spacing w:after="20"/>
            </w:pPr>
            <w:r>
              <w:rPr>
                <w:sz w:val="18"/>
                <w:szCs w:val="18"/>
              </w:rPr>
              <w:t>Week 4</w:t>
            </w:r>
          </w:p>
          <w:p w14:paraId="583C1E78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Mar</w:t>
            </w:r>
            <w:proofErr w:type="spellEnd"/>
            <w:r>
              <w:rPr>
                <w:sz w:val="18"/>
                <w:szCs w:val="18"/>
              </w:rPr>
              <w:t xml:space="preserve"> 30 - </w:t>
            </w:r>
            <w:proofErr w:type="spellStart"/>
            <w:r>
              <w:rPr>
                <w:sz w:val="18"/>
                <w:szCs w:val="18"/>
              </w:rPr>
              <w:t>Apr</w:t>
            </w:r>
            <w:proofErr w:type="spellEnd"/>
            <w:r>
              <w:rPr>
                <w:sz w:val="18"/>
                <w:szCs w:val="18"/>
              </w:rPr>
              <w:t xml:space="preserve"> 5</w:t>
            </w:r>
          </w:p>
        </w:tc>
        <w:tc>
          <w:tcPr>
            <w:tcW w:w="1900" w:type="dxa"/>
          </w:tcPr>
          <w:p w14:paraId="1569D91B" w14:textId="77777777" w:rsidR="00712529" w:rsidRDefault="00000000">
            <w:pPr>
              <w:spacing w:after="0"/>
            </w:pPr>
            <w:r>
              <w:rPr>
                <w:sz w:val="18"/>
                <w:szCs w:val="18"/>
              </w:rPr>
              <w:t>Mobile-</w:t>
            </w:r>
            <w:proofErr w:type="spellStart"/>
            <w:r>
              <w:rPr>
                <w:sz w:val="18"/>
                <w:szCs w:val="18"/>
              </w:rPr>
              <w:t>first</w:t>
            </w:r>
            <w:proofErr w:type="spellEnd"/>
            <w:r>
              <w:rPr>
                <w:sz w:val="18"/>
                <w:szCs w:val="18"/>
              </w:rPr>
              <w:t xml:space="preserve"> UX </w:t>
            </w:r>
            <w:proofErr w:type="spellStart"/>
            <w:r>
              <w:rPr>
                <w:sz w:val="18"/>
                <w:szCs w:val="18"/>
              </w:rPr>
              <w:t>hardening</w:t>
            </w:r>
            <w:proofErr w:type="spellEnd"/>
          </w:p>
        </w:tc>
        <w:tc>
          <w:tcPr>
            <w:tcW w:w="3500" w:type="dxa"/>
          </w:tcPr>
          <w:p w14:paraId="18BAAFC9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Remove critical sub-12px text and undersized touch targets in dashboard/zone surfaces.</w:t>
            </w:r>
          </w:p>
          <w:p w14:paraId="4CF676BA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Standardize error handling and toast patterns across zone screens.</w:t>
            </w:r>
          </w:p>
          <w:p w14:paraId="2635AD11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Add screen-level error boundaries and stronger empty/loading states around zone workspaces.</w:t>
            </w:r>
          </w:p>
          <w:p w14:paraId="743D2370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Run responsive QA on Dashboard V2, zones, invoices, bookings, and account settings.</w:t>
            </w:r>
          </w:p>
        </w:tc>
        <w:tc>
          <w:tcPr>
            <w:tcW w:w="3100" w:type="dxa"/>
          </w:tcPr>
          <w:p w14:paraId="68857DB7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Dependency: design QA bandwidth and device coverage.</w:t>
            </w:r>
          </w:p>
          <w:p w14:paraId="6434C366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Risk: layout regressions across small-screen variants if changes are too broad at once.</w:t>
            </w:r>
          </w:p>
        </w:tc>
      </w:tr>
      <w:tr w:rsidR="00712529" w:rsidRPr="00A058CD" w14:paraId="641E413A" w14:textId="77777777">
        <w:tc>
          <w:tcPr>
            <w:tcW w:w="1400" w:type="dxa"/>
          </w:tcPr>
          <w:p w14:paraId="428698F4" w14:textId="77777777" w:rsidR="00712529" w:rsidRDefault="00000000">
            <w:pPr>
              <w:spacing w:after="20"/>
            </w:pPr>
            <w:r>
              <w:rPr>
                <w:sz w:val="18"/>
                <w:szCs w:val="18"/>
              </w:rPr>
              <w:t>Week 5</w:t>
            </w:r>
          </w:p>
          <w:p w14:paraId="40A6AE8B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Apr</w:t>
            </w:r>
            <w:proofErr w:type="spellEnd"/>
            <w:r>
              <w:rPr>
                <w:sz w:val="18"/>
                <w:szCs w:val="18"/>
              </w:rPr>
              <w:t xml:space="preserve"> 6 - </w:t>
            </w:r>
            <w:proofErr w:type="spellStart"/>
            <w:r>
              <w:rPr>
                <w:sz w:val="18"/>
                <w:szCs w:val="18"/>
              </w:rPr>
              <w:t>Apr</w:t>
            </w:r>
            <w:proofErr w:type="spellEnd"/>
            <w:r>
              <w:rPr>
                <w:sz w:val="18"/>
                <w:szCs w:val="18"/>
              </w:rPr>
              <w:t xml:space="preserve"> 12</w:t>
            </w:r>
          </w:p>
        </w:tc>
        <w:tc>
          <w:tcPr>
            <w:tcW w:w="1900" w:type="dxa"/>
          </w:tcPr>
          <w:p w14:paraId="5582E588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PWA V2 and offline read mode</w:t>
            </w:r>
          </w:p>
        </w:tc>
        <w:tc>
          <w:tcPr>
            <w:tcW w:w="3500" w:type="dxa"/>
          </w:tcPr>
          <w:p w14:paraId="19AC86D9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Extend the service worker beyond minimal asset/image caching.</w:t>
            </w:r>
          </w:p>
          <w:p w14:paraId="0ABDF0A7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Ship read-only offline access for high-value zone data: contacts, tasks, and invoices, with clear freshness indicators.</w:t>
            </w:r>
          </w:p>
          <w:p w14:paraId="33C5E486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Define a deferred-write strategy; if full offline mutations are too risky, explicitly queue or disable them.</w:t>
            </w:r>
          </w:p>
          <w:p w14:paraId="49DCC8D0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 xml:space="preserve">- Validate install/update behavior across </w:t>
            </w:r>
            <w:r w:rsidRPr="00A058CD">
              <w:rPr>
                <w:sz w:val="18"/>
                <w:szCs w:val="18"/>
                <w:lang w:val="en-US"/>
              </w:rPr>
              <w:lastRenderedPageBreak/>
              <w:t>web PWA and Capacitor shells.</w:t>
            </w:r>
          </w:p>
        </w:tc>
        <w:tc>
          <w:tcPr>
            <w:tcW w:w="3100" w:type="dxa"/>
          </w:tcPr>
          <w:p w14:paraId="3610AF20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lastRenderedPageBreak/>
              <w:t>- Dependency: cache invalidation policy, storage strategy, and a product decision on offline writes.</w:t>
            </w:r>
          </w:p>
          <w:p w14:paraId="391B371E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Risk: stale data, chunk mismatch, and sync conflicts if scope is too ambitious.</w:t>
            </w:r>
          </w:p>
        </w:tc>
      </w:tr>
      <w:tr w:rsidR="00712529" w:rsidRPr="00A058CD" w14:paraId="6B9E86B6" w14:textId="77777777">
        <w:tc>
          <w:tcPr>
            <w:tcW w:w="1400" w:type="dxa"/>
          </w:tcPr>
          <w:p w14:paraId="77B94B46" w14:textId="77777777" w:rsidR="00712529" w:rsidRDefault="00000000">
            <w:pPr>
              <w:spacing w:after="20"/>
            </w:pPr>
            <w:r>
              <w:rPr>
                <w:sz w:val="18"/>
                <w:szCs w:val="18"/>
              </w:rPr>
              <w:t>Week 6</w:t>
            </w:r>
          </w:p>
          <w:p w14:paraId="1A89AA47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Apr</w:t>
            </w:r>
            <w:proofErr w:type="spellEnd"/>
            <w:r>
              <w:rPr>
                <w:sz w:val="18"/>
                <w:szCs w:val="18"/>
              </w:rPr>
              <w:t xml:space="preserve"> 13 - </w:t>
            </w:r>
            <w:proofErr w:type="spellStart"/>
            <w:r>
              <w:rPr>
                <w:sz w:val="18"/>
                <w:szCs w:val="18"/>
              </w:rPr>
              <w:t>Apr</w:t>
            </w:r>
            <w:proofErr w:type="spellEnd"/>
            <w:r>
              <w:rPr>
                <w:sz w:val="18"/>
                <w:szCs w:val="18"/>
              </w:rPr>
              <w:t xml:space="preserve"> 19</w:t>
            </w:r>
          </w:p>
        </w:tc>
        <w:tc>
          <w:tcPr>
            <w:tcW w:w="1900" w:type="dxa"/>
          </w:tcPr>
          <w:p w14:paraId="2E56245C" w14:textId="77777777" w:rsidR="00712529" w:rsidRDefault="00000000">
            <w:pPr>
              <w:spacing w:after="0"/>
            </w:pPr>
            <w:proofErr w:type="spellStart"/>
            <w:r>
              <w:rPr>
                <w:sz w:val="18"/>
                <w:szCs w:val="18"/>
              </w:rPr>
              <w:t>Release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hardening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launch</w:t>
            </w:r>
            <w:proofErr w:type="spellEnd"/>
          </w:p>
        </w:tc>
        <w:tc>
          <w:tcPr>
            <w:tcW w:w="3500" w:type="dxa"/>
          </w:tcPr>
          <w:p w14:paraId="39BDAA99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Run regression passes on auth, page creation, CRM workflow, fintech flow, zone upgrade, and visual smoke paths.</w:t>
            </w:r>
          </w:p>
          <w:p w14:paraId="3C468CDE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Complete the launch checklist: pricing/legal copy, support runbooks, rollback plan, and monitoring alerts.</w:t>
            </w:r>
          </w:p>
          <w:p w14:paraId="7996FFF4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Hold a go/no-go review with open bug burn-down and KPI dashboards for Starter to Pro conversion.</w:t>
            </w:r>
          </w:p>
        </w:tc>
        <w:tc>
          <w:tcPr>
            <w:tcW w:w="3100" w:type="dxa"/>
          </w:tcPr>
          <w:p w14:paraId="30E635A4" w14:textId="77777777" w:rsidR="00712529" w:rsidRPr="00A058CD" w:rsidRDefault="00000000">
            <w:pPr>
              <w:spacing w:after="2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Dependency: stable staging environment and owner availability for sign-off.</w:t>
            </w:r>
          </w:p>
          <w:p w14:paraId="0AA4B41E" w14:textId="77777777" w:rsidR="00712529" w:rsidRPr="00A058CD" w:rsidRDefault="00000000">
            <w:pPr>
              <w:spacing w:after="0"/>
              <w:rPr>
                <w:lang w:val="en-US"/>
              </w:rPr>
            </w:pPr>
            <w:r w:rsidRPr="00A058CD">
              <w:rPr>
                <w:sz w:val="18"/>
                <w:szCs w:val="18"/>
                <w:lang w:val="en-US"/>
              </w:rPr>
              <w:t>- Risk: carryover from payment or offline work can delay launch if it is not contained earlier.</w:t>
            </w:r>
          </w:p>
        </w:tc>
      </w:tr>
    </w:tbl>
    <w:p w14:paraId="3BA2ED94" w14:textId="77777777" w:rsidR="00712529" w:rsidRPr="00A058CD" w:rsidRDefault="00000000">
      <w:pPr>
        <w:keepNext/>
        <w:spacing w:before="220"/>
        <w:rPr>
          <w:lang w:val="en-US"/>
        </w:rPr>
      </w:pPr>
      <w:r w:rsidRPr="00A058CD">
        <w:rPr>
          <w:b/>
          <w:color w:val="1F4E78"/>
          <w:sz w:val="28"/>
          <w:szCs w:val="28"/>
          <w:lang w:val="en-US"/>
        </w:rPr>
        <w:t>Explicit Dependencies</w:t>
      </w:r>
    </w:p>
    <w:p w14:paraId="74810B2C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Supabase migrations, RPCs, and Edge Function deployment for tiering, fees, reporting, and billing history.</w:t>
      </w:r>
    </w:p>
    <w:p w14:paraId="159690F8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Payment provider credentials and webhook sandbox coverage for Robokassa; Kaspi API readiness if included in scope.</w:t>
      </w:r>
    </w:p>
    <w:p w14:paraId="4C4448D8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Product/legal sign-off on plan naming, commission rules, billing copy, and refund handling.</w:t>
      </w:r>
    </w:p>
    <w:p w14:paraId="72AB5CA2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A QA data set that covers zones, invoices, bookings, multi-user workflows, and premium plan transitions.</w:t>
      </w:r>
    </w:p>
    <w:p w14:paraId="330DAEB6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Translation updates for pricing, billing, and account settings across core locales.</w:t>
      </w:r>
    </w:p>
    <w:p w14:paraId="2EF43956" w14:textId="77777777" w:rsidR="00712529" w:rsidRPr="00A058CD" w:rsidRDefault="00000000">
      <w:pPr>
        <w:keepNext/>
        <w:spacing w:before="220"/>
        <w:rPr>
          <w:lang w:val="en-US"/>
        </w:rPr>
      </w:pPr>
      <w:r w:rsidRPr="00A058CD">
        <w:rPr>
          <w:b/>
          <w:color w:val="1F4E78"/>
          <w:sz w:val="28"/>
          <w:szCs w:val="28"/>
          <w:lang w:val="en-US"/>
        </w:rPr>
        <w:t>Explicit Risks</w:t>
      </w:r>
    </w:p>
    <w:p w14:paraId="6A485B13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Monetization mismatch between docs and code can expose premium features incorrectly or lose fee revenue.</w:t>
      </w:r>
    </w:p>
    <w:p w14:paraId="74DAE900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Multi-tenant and RLS regressions are high impact because zones, invoices, and analytics all cross protected data boundaries.</w:t>
      </w:r>
    </w:p>
    <w:p w14:paraId="0D29A3EF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Webhook/payment flows are retry-heavy; idempotency and settlement visibility should be treated as launch blockers.</w:t>
      </w:r>
    </w:p>
    <w:p w14:paraId="1182AFEA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Mobile-first cleanup can sprawl if every screen is touched at once; prioritize zones, billing, and onboarding paths first.</w:t>
      </w:r>
    </w:p>
    <w:p w14:paraId="5DA35E4D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Offline scope expands quickly; keep Week 5 read-only unless conflict resolution is already designed.</w:t>
      </w:r>
    </w:p>
    <w:p w14:paraId="5F6595F3" w14:textId="77777777" w:rsidR="00712529" w:rsidRPr="00A058CD" w:rsidRDefault="00000000">
      <w:pPr>
        <w:keepNext/>
        <w:spacing w:before="220"/>
        <w:rPr>
          <w:lang w:val="en-US"/>
        </w:rPr>
      </w:pPr>
      <w:r w:rsidRPr="00A058CD">
        <w:rPr>
          <w:b/>
          <w:color w:val="1F4E78"/>
          <w:sz w:val="28"/>
          <w:szCs w:val="28"/>
          <w:lang w:val="en-US"/>
        </w:rPr>
        <w:t>Success Measures</w:t>
      </w:r>
    </w:p>
    <w:p w14:paraId="57366D48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Starter tier is visible and selectable end-to-end in UI and backend.</w:t>
      </w:r>
    </w:p>
    <w:p w14:paraId="5E0B5379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Fee events reconcile cleanly with orders, wallet/ledger entries, and billing history.</w:t>
      </w:r>
    </w:p>
    <w:p w14:paraId="738E2D82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Zone analytics works as an operator dashboard, not only as a summary card surface.</w:t>
      </w:r>
    </w:p>
    <w:p w14:paraId="3074CB4A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Core PWA install, update, and offline read flows are validated.</w:t>
      </w:r>
    </w:p>
    <w:p w14:paraId="0BA7A17D" w14:textId="77777777" w:rsidR="00712529" w:rsidRPr="00A058CD" w:rsidRDefault="00000000">
      <w:pPr>
        <w:spacing w:after="40"/>
        <w:ind w:left="360" w:hanging="180"/>
        <w:rPr>
          <w:lang w:val="en-US"/>
        </w:rPr>
      </w:pPr>
      <w:r w:rsidRPr="00A058CD">
        <w:rPr>
          <w:sz w:val="21"/>
          <w:szCs w:val="21"/>
          <w:lang w:val="en-US"/>
        </w:rPr>
        <w:t>- Quality gates stay green: typecheck, lint, tests, E2E critical paths, and dependency analysis.</w:t>
      </w:r>
    </w:p>
    <w:sectPr w:rsidR="00712529" w:rsidRPr="00A058CD">
      <w:pgSz w:w="12240" w:h="15840"/>
      <w:pgMar w:top="1080" w:right="900" w:bottom="1080" w:left="9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2529"/>
    <w:rsid w:val="00191DF3"/>
    <w:rsid w:val="00712529"/>
    <w:rsid w:val="00A058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2E5B9F"/>
  <w15:docId w15:val="{57DC122D-9768-49DC-B1DD-65009954C4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Times New Roman"/>
        <w:color w:val="222222"/>
        <w:sz w:val="22"/>
        <w:szCs w:val="22"/>
        <w:lang w:val="ru-RU" w:eastAsia="ru-RU" w:bidi="ar-SA"/>
      </w:rPr>
    </w:rPrDefault>
    <w:pPrDefault>
      <w:pPr>
        <w:spacing w:after="8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tblPr>
      <w:tblBorders>
        <w:top w:val="single" w:sz="4" w:space="0" w:color="C9D4DC"/>
        <w:left w:val="single" w:sz="4" w:space="0" w:color="C9D4DC"/>
        <w:bottom w:val="single" w:sz="4" w:space="0" w:color="C9D4DC"/>
        <w:right w:val="single" w:sz="4" w:space="0" w:color="C9D4DC"/>
        <w:insideH w:val="single" w:sz="4" w:space="0" w:color="DDE5EA"/>
        <w:insideV w:val="single" w:sz="4" w:space="0" w:color="DDE5EA"/>
      </w:tblBorders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1124</Words>
  <Characters>6545</Characters>
  <Application>Microsoft Office Word</Application>
  <DocSecurity>0</DocSecurity>
  <Lines>176</Lines>
  <Paragraphs>111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lnkmx 6-Week App Roadmap</vt:lpstr>
    </vt:vector>
  </TitlesOfParts>
  <Company>OpenAI</Company>
  <LinksUpToDate>false</LinksUpToDate>
  <CharactersWithSpaces>7558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lnkmx 6-Week App Roadmap</dc:title>
  <dc:subject>6-week product roadmap</dc:subject>
  <dc:creator>Codex</dc:creator>
  <cp:keywords>roadmap, product, lnkmx</cp:keywords>
  <dc:description>Planning window: March 9, 2026 - April 19, 2026</dc:description>
  <cp:lastModifiedBy>Ilyas Azelkhanov</cp:lastModifiedBy>
  <cp:revision>2</cp:revision>
  <dcterms:created xsi:type="dcterms:W3CDTF">2026-03-08T08:05:00Z</dcterms:created>
  <dcterms:modified xsi:type="dcterms:W3CDTF">2026-03-08T08:05:00Z</dcterms:modified>
</cp:coreProperties>
</file>