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 w:line="276" w:lineRule="auto"/>
      </w:pPr>
      <w:r>
        <w:rPr>
          <w:rFonts w:ascii="Aptos" w:hAnsi="Aptos" w:eastAsia="Aptos"/>
          <w:color w:val="1F4E78"/>
          <w:sz w:val="34"/>
          <w:szCs w:val="34"/>
          <w:b/>
        </w:rPr>
        <w:t xml:space="preserve">lnkmx 6-Week App Roadmap</w:t>
      </w:r>
    </w:p>
    <w:p>
      <w:pPr>
        <w:spacing w:before="0" w:after="120" w:line="276" w:lineRule="auto"/>
      </w:pPr>
      <w:r>
        <w:rPr>
          <w:rFonts w:ascii="Aptos" w:hAnsi="Aptos" w:eastAsia="Aptos"/>
          <w:color w:val="3E5F74"/>
          <w:sz w:val="22"/>
          <w:szCs w:val="22"/>
          <w:b/>
        </w:rPr>
        <w:t xml:space="preserve">Planning window: March 9, 2026 - April 19, 2026</w:t>
      </w:r>
    </w:p>
    <w:p>
      <w:pPr>
        <w:spacing w:before="0" w:after="80" w:line="276" w:lineRule="auto"/>
      </w:pPr>
      <w:r>
        <w:rPr>
          <w:rFonts w:ascii="Aptos" w:hAnsi="Aptos" w:eastAsia="Aptos"/>
          <w:color w:val="222222"/>
          <w:sz w:val="21"/>
          <w:szCs w:val="21"/>
        </w:rPr>
        <w:t xml:space="preserve">Goal: launch the Q2 monetization pivot without breaking the strengths already present in the repo - the page builder, Dashboard V2, Business Zones CRM, invoicing/documents, analytics, SEO/SSR, PWA shell, and Capacitor mobile wrappers.</w:t>
      </w:r>
    </w:p>
    <w:p>
      <w:pPr>
        <w:spacing w:before="0" w:after="180" w:line="276" w:lineRule="auto"/>
      </w:pPr>
      <w:r>
        <w:rPr>
          <w:rFonts w:ascii="Aptos" w:hAnsi="Aptos" w:eastAsia="Aptos"/>
          <w:color w:val="5D6B75"/>
          <w:sz w:val="18"/>
          <w:szCs w:val="18"/>
        </w:rPr>
        <w:t xml:space="preserve">Repo basis used for this roadmap: README, PLATFORM_SNAPSHOT, product roadmap/tech debt docs, dependency-cruiser rules, tier hooks and monetization screens, fintech service, Zone screens, and manifest/service worker behavior.</w:t>
      </w:r>
    </w:p>
    <w:p>
      <w:pPr>
        <w:spacing w:before="160" w:after="80" w:line="276" w:lineRule="auto"/>
        <w:keepNext/>
      </w:pPr>
      <w:r>
        <w:rPr>
          <w:rFonts w:ascii="Aptos" w:hAnsi="Aptos" w:eastAsia="Aptos"/>
          <w:color w:val="1F4E78"/>
          <w:sz w:val="28"/>
          <w:szCs w:val="28"/>
          <w:b/>
        </w:rPr>
        <w:t xml:space="preserve">Current Repo Baseline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The repo already ships a broad surface area: 28+ block page builder, public pages, Dashboard V2, Business Zones (deals, contacts, tasks, invoices, documents, products, events, automations), SEO/SSR, i18n, PWA assets, and Capacitor shells.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Several CRM depth features are already present in code, including multi-pipeline support, custom contact/deal fields, Excel exports, invoice PDF export, and a Zone command palette/global search.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The clearest near-term gap is monetization alignment: docs call for Identity/Starter/Pro with 7% and 1% fee handling, while current hooks and billing UI still model free/pro/business and the fintech service still carries a 5% default take-rate.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Billing/account UX is unfinished in places: Account Settings still contains TODO placeholders for billing history and password change, and the payment service is still described as a skeleton.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PWA/offline support is basic today: the service worker caches a small static set and images, but not the deeper read-only CRM workflow described in Q2 plans.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Zone analytics exists, but it is still a summary dashboard rather than a full operating/reporting surface for finance, funnel trends, and team throughput.</w:t>
      </w:r>
    </w:p>
    <w:p>
      <w:pPr>
        <w:spacing w:before="160" w:after="80" w:line="276" w:lineRule="auto"/>
        <w:keepNext/>
      </w:pPr>
      <w:r>
        <w:rPr>
          <w:rFonts w:ascii="Aptos" w:hAnsi="Aptos" w:eastAsia="Aptos"/>
          <w:color w:val="1F4E78"/>
          <w:sz w:val="28"/>
          <w:szCs w:val="28"/>
          <w:b/>
        </w:rPr>
        <w:t xml:space="preserve">Architecture Constraints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Protect Supabase RLS and zone isolation on every billing, reporting, and CRM change.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Respect dependency-cruiser boundaries between core/shared code and UI/data layers.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Keep bundle growth under control; the app already lazy-loads shell pieces and zone screens for performance.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Treat Edge Function changes as security-sensitive because several public endpoints rely on internal auth checks instead of JWT verification.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Keep quality gates green: typecheck, lint, unit tests, E2E flows, and dependency analysis.</w:t>
      </w:r>
    </w:p>
    <w:p>
      <w:pPr>
        <w:spacing w:before="160" w:after="80" w:line="276" w:lineRule="auto"/>
        <w:keepNext/>
      </w:pPr>
      <w:r>
        <w:rPr>
          <w:rFonts w:ascii="Aptos" w:hAnsi="Aptos" w:eastAsia="Aptos"/>
          <w:color w:val="1F4E78"/>
          <w:sz w:val="28"/>
          <w:szCs w:val="28"/>
          <w:b/>
        </w:rPr>
        <w:t xml:space="preserve">Milestones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Milestone 1 - End of Week 2: monetization foundation live across tier rules, payment flows, fee handling, and billing surfaces.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Milestone 2 - End of Week 4: business-ready CRM polish with stronger reporting, accessible mobile UX, and fewer inconsistent workflows.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Milestone 3 - End of Week 6: release-ready PWA/mobile reliability, launch checklist completion, and KPI tracking for Starter launch and Pro conversion.</w:t>
      </w:r>
    </w:p>
    <w:p>
      <w:pPr>
        <w:spacing w:before="200" w:after="100" w:line="276" w:lineRule="auto"/>
        <w:keepNext/>
      </w:pPr>
      <w:r>
        <w:rPr>
          <w:rFonts w:ascii="Aptos" w:hAnsi="Aptos" w:eastAsia="Aptos"/>
          <w:color w:val="1F4E78"/>
          <w:sz w:val="28"/>
          <w:szCs w:val="28"/>
          <w:b/>
        </w:rPr>
        <w:t xml:space="preserve">Week-by-Week Plan</w:t>
      </w:r>
    </w:p>
    <w:tbl>
      <w:tblPr>
        <w:tblStyle w:val="TableGrid"/>
        <w:tblW w:w="9900" w:type="dxa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6" w:space="0" w:color="D5DDE3"/>
          <w:insideV w:val="single" w:sz="6" w:space="0" w:color="D5DDE3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400"/>
        <w:gridCol w:w="1900"/>
        <w:gridCol w:w="3500"/>
        <w:gridCol w:w="3100"/>
      </w:tblGrid>
      <w:tr>
        <w:tc>
          <w:tcPr>
            <w:tcW w:w="1400" w:type="dxa"/>
            <w:shd w:val="clear" w:color="auto" w:fill="1F4E78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FFFFFF"/>
                <w:sz w:val="18"/>
                <w:szCs w:val="18"/>
                <w:b/>
              </w:rPr>
              <w:t xml:space="preserve">Week</w:t>
            </w:r>
          </w:p>
        </w:tc>
        <w:tc>
          <w:tcPr>
            <w:tcW w:w="1900" w:type="dxa"/>
            <w:shd w:val="clear" w:color="auto" w:fill="1F4E78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FFFFFF"/>
                <w:sz w:val="18"/>
                <w:szCs w:val="18"/>
                <w:b/>
              </w:rPr>
              <w:t xml:space="preserve">Focus / Weekly goal</w:t>
            </w:r>
          </w:p>
        </w:tc>
        <w:tc>
          <w:tcPr>
            <w:tcW w:w="3500" w:type="dxa"/>
            <w:shd w:val="clear" w:color="auto" w:fill="1F4E78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FFFFFF"/>
                <w:sz w:val="18"/>
                <w:szCs w:val="18"/>
                <w:b/>
              </w:rPr>
              <w:t xml:space="preserve">Deliverables</w:t>
            </w:r>
          </w:p>
        </w:tc>
        <w:tc>
          <w:tcPr>
            <w:tcW w:w="3100" w:type="dxa"/>
            <w:shd w:val="clear" w:color="auto" w:fill="1F4E78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FFFFFF"/>
                <w:sz w:val="18"/>
                <w:szCs w:val="18"/>
                <w:b/>
              </w:rPr>
              <w:t xml:space="preserve">Dependencies and risks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Week 1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Mar 9 - Mar 15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Monetization model alignment</w:t>
            </w:r>
          </w:p>
        </w:tc>
        <w:tc>
          <w:tcPr>
            <w:tcW w:w="35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Replace free/pro/business assumptions with Identity/Starter/Pro/Business rules in tier hooks, limits, pricing copy, and the Monetize screen.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Centralize fee constants and remove the legacy 5% take-rate fallback.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Define the event/data model for fee calculation, settlement, and billing history.</w:t>
            </w:r>
          </w:p>
        </w:tc>
        <w:tc>
          <w:tcPr>
            <w:tcW w:w="31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Dependency: product sign-off on the plan matrix and upgrade thresholds.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Risk: gating bugs or revenue leakage if tier mapping stays inconsistent.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Week 2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Mar 16 - Mar 22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Payment execution and account billing</w:t>
            </w:r>
          </w:p>
        </w:tc>
        <w:tc>
          <w:tcPr>
            <w:tcW w:w="35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Implement the missing process-transaction-fee flow plus webhook/idempotency handling.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Finish the Robokassa order lifecycle and decide Kaspi scope (full automation vs staged rollout).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Replace the billing-history placeholder and wire password-change/support flow in account settings.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Expand fintech E2E coverage for purchase, webhook, and failed/retried payment cases.</w:t>
            </w:r>
          </w:p>
        </w:tc>
        <w:tc>
          <w:tcPr>
            <w:tcW w:w="31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Dependency: provider credentials, webhook sandbox access, and fee/refund rules.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Risk: reconciliation drift and service-role/RLS mistakes in financial paths.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Week 3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Mar 23 - Mar 29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Reporting and business visibility</w:t>
            </w:r>
          </w:p>
        </w:tc>
        <w:tc>
          <w:tcPr>
            <w:tcW w:w="35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Expand ZoneAnalytics beyond summary cards into finance-ready reporting: funnel trends, invoice conversion, paid vs pending totals, and assignee/task throughput.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Validate and polish existing exports, search, pipelines, and custom fields in real operator workflows.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Add billing/plan metrics for Starter adoption and upgrade triggers.</w:t>
            </w:r>
          </w:p>
        </w:tc>
        <w:tc>
          <w:tcPr>
            <w:tcW w:w="31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Dependency: seeded zone data and complete analytics events.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Risk: slow client-side queries or noisy metrics on larger zones.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Week 4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Mar 30 - Apr 5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Mobile-first UX hardening</w:t>
            </w:r>
          </w:p>
        </w:tc>
        <w:tc>
          <w:tcPr>
            <w:tcW w:w="35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Remove critical sub-12px text and undersized touch targets in dashboard/zone surfaces.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Standardize error handling and toast patterns across zone screens.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Add screen-level error boundaries and stronger empty/loading states around zone workspaces.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Run responsive QA on Dashboard V2, zones, invoices, bookings, and account settings.</w:t>
            </w:r>
          </w:p>
        </w:tc>
        <w:tc>
          <w:tcPr>
            <w:tcW w:w="31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Dependency: design QA bandwidth and device coverage.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Risk: layout regressions across small-screen variants if changes are too broad at once.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Week 5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Apr 6 - Apr 12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PWA V2 and offline read mode</w:t>
            </w:r>
          </w:p>
        </w:tc>
        <w:tc>
          <w:tcPr>
            <w:tcW w:w="35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Extend the service worker beyond minimal asset/image caching.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Ship read-only offline access for high-value zone data: contacts, tasks, and invoices, with clear freshness indicators.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Define a deferred-write strategy; if full offline mutations are too risky, explicitly queue or disable them.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Validate install/update behavior across web PWA and Capacitor shells.</w:t>
            </w:r>
          </w:p>
        </w:tc>
        <w:tc>
          <w:tcPr>
            <w:tcW w:w="31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Dependency: cache invalidation policy, storage strategy, and a product decision on offline writes.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Risk: stale data, chunk mismatch, and sync conflicts if scope is too ambitious.</w:t>
            </w:r>
          </w:p>
        </w:tc>
      </w:tr>
      <w:tr>
        <w:tc>
          <w:tcPr>
            <w:tcW w:w="14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Week 6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Apr 13 - Apr 19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Release hardening and launch</w:t>
            </w:r>
          </w:p>
        </w:tc>
        <w:tc>
          <w:tcPr>
            <w:tcW w:w="35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Run regression passes on auth, page creation, CRM workflow, fintech flow, zone upgrade, and visual smoke paths.</w:t>
            </w:r>
          </w:p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Complete the launch checklist: pricing/legal copy, support runbooks, rollback plan, and monitoring alerts.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Hold a go/no-go review with open bug burn-down and KPI dashboards for Starter to Pro conversion.</w:t>
            </w:r>
          </w:p>
        </w:tc>
        <w:tc>
          <w:tcPr>
            <w:tcW w:w="3100" w:type="dxa"/>
            <w:vAlign w:val="top"/>
          </w:tcPr>
          <w:p>
            <w:pPr>
              <w:spacing w:before="0" w:after="2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Dependency: stable staging environment and owner availability for sign-off.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color w:val="222222"/>
                <w:sz w:val="18"/>
                <w:szCs w:val="18"/>
              </w:rPr>
              <w:t xml:space="preserve">- Risk: carryover from payment or offline work can delay launch if it is not contained earlier.</w:t>
            </w:r>
          </w:p>
        </w:tc>
      </w:tr>
    </w:tbl>
    <w:p>
      <w:pPr>
        <w:spacing w:before="220" w:after="80" w:line="276" w:lineRule="auto"/>
        <w:keepNext/>
      </w:pPr>
      <w:r>
        <w:rPr>
          <w:rFonts w:ascii="Aptos" w:hAnsi="Aptos" w:eastAsia="Aptos"/>
          <w:color w:val="1F4E78"/>
          <w:sz w:val="28"/>
          <w:szCs w:val="28"/>
          <w:b/>
        </w:rPr>
        <w:t xml:space="preserve">Explicit Dependencies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Supabase migrations, RPCs, and Edge Function deployment for tiering, fees, reporting, and billing history.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Payment provider credentials and webhook sandbox coverage for Robokassa; Kaspi API readiness if included in scope.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Product/legal sign-off on plan naming, commission rules, billing copy, and refund handling.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A QA data set that covers zones, invoices, bookings, multi-user workflows, and premium plan transitions.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Translation updates for pricing, billing, and account settings across core locales.</w:t>
      </w:r>
    </w:p>
    <w:p>
      <w:pPr>
        <w:spacing w:before="220" w:after="80" w:line="276" w:lineRule="auto"/>
        <w:keepNext/>
      </w:pPr>
      <w:r>
        <w:rPr>
          <w:rFonts w:ascii="Aptos" w:hAnsi="Aptos" w:eastAsia="Aptos"/>
          <w:color w:val="1F4E78"/>
          <w:sz w:val="28"/>
          <w:szCs w:val="28"/>
          <w:b/>
        </w:rPr>
        <w:t xml:space="preserve">Explicit Risks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Monetization mismatch between docs and code can expose premium features incorrectly or lose fee revenue.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Multi-tenant and RLS regressions are high impact because zones, invoices, and analytics all cross protected data boundaries.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Webhook/payment flows are retry-heavy; idempotency and settlement visibility should be treated as launch blockers.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Mobile-first cleanup can sprawl if every screen is touched at once; prioritize zones, billing, and onboarding paths first.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Offline scope expands quickly; keep Week 5 read-only unless conflict resolution is already designed.</w:t>
      </w:r>
    </w:p>
    <w:p>
      <w:pPr>
        <w:spacing w:before="220" w:after="80" w:line="276" w:lineRule="auto"/>
        <w:keepNext/>
      </w:pPr>
      <w:r>
        <w:rPr>
          <w:rFonts w:ascii="Aptos" w:hAnsi="Aptos" w:eastAsia="Aptos"/>
          <w:color w:val="1F4E78"/>
          <w:sz w:val="28"/>
          <w:szCs w:val="28"/>
          <w:b/>
        </w:rPr>
        <w:t xml:space="preserve">Success Measures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Starter tier is visible and selectable end-to-end in UI and backend.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Fee events reconcile cleanly with orders, wallet/ledger entries, and billing history.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Zone analytics works as an operator dashboard, not only as a summary card surface.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Core PWA install, update, and offline read flows are validated.</w:t>
      </w:r>
    </w:p>
    <w:p>
      <w:pPr>
        <w:spacing w:before="0" w:after="40" w:line="276" w:lineRule="auto"/>
        <w:ind w:left="360" w:hanging="180"/>
      </w:pPr>
      <w:r>
        <w:rPr>
          <w:rFonts w:ascii="Aptos" w:hAnsi="Aptos" w:eastAsia="Aptos"/>
          <w:color w:val="222222"/>
          <w:sz w:val="21"/>
          <w:szCs w:val="21"/>
        </w:rPr>
        <w:t xml:space="preserve">- Quality gates stay green: typecheck, lint, tests, E2E critical paths, and dependency analysis.</w:t>
      </w:r>
    </w:p>
    <w:sectPr>
      <w:pgSz w:w="12240" w:h="15840"/>
      <w:pgMar w:top="1080" w:right="900" w:bottom="1080" w:left="9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2"/>
        <w:szCs w:val="22"/>
        <w:color w:val="222222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  <w:style w:type="table" w:default="1" w:styleId="TableGrid">
    <w:name w:val="Table Grid"/>
    <w:tblPr>
      <w:tblBorders>
        <w:top w:val="single" w:sz="4" w:space="0" w:color="C9D4DC"/>
        <w:left w:val="single" w:sz="4" w:space="0" w:color="C9D4DC"/>
        <w:bottom w:val="single" w:sz="4" w:space="0" w:color="C9D4DC"/>
        <w:right w:val="single" w:sz="4" w:space="0" w:color="C9D4DC"/>
        <w:insideH w:val="single" w:sz="4" w:space="0" w:color="DDE5EA"/>
        <w:insideV w:val="single" w:sz="4" w:space="0" w:color="DDE5EA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lnkmx 6-Week App Roadmap</vt:lpstr>
    </vt:vector>
  </TitlesOfParts>
  <Company>OpenAI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lnkmx 6-Week App Roadmap</dc:title>
  <dc:subject>6-week product roadmap</dc:subject>
  <dc:creator>Codex</dc:creator>
  <cp:keywords>roadmap, product, lnkmx</cp:keywords>
  <dc:description>Planning window: March 9, 2026 - April 19, 2026</dc:description>
  <cp:lastModifiedBy>Codex</cp:lastModifiedBy>
  <dcterms:created xsi:type="dcterms:W3CDTF">2026-03-08T00:00:00Z</dcterms:created>
  <dcterms:modified xsi:type="dcterms:W3CDTF">2026-03-08T00:00:00Z</dcterms:modified>
</cp:coreProperties>
</file>