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BIDDLY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Biddly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 una aplicación web de subastas en línea y en tiempo real, donde los usuarios pueden subastar productos propios y participar en pujas de artículos publicados por otros usuarios. La plataforma permite a cada usuario establecer en cada puja creada el precio inicial, precio de compra inmediata y fecha de finalización de la subasta. Además, la plataforma permite buscar productos por categoría o por nombre.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plataforma está dirigida a cualquier persona mayor de edad interesada en comprar o vender productos. Los usuarios pueden encontrar tanto artículos comunes como productos más específicos, lo que hace que </w:t>
      </w:r>
      <w:r w:rsidDel="00000000" w:rsidR="00000000" w:rsidRPr="00000000">
        <w:rPr>
          <w:i w:val="1"/>
          <w:sz w:val="24"/>
          <w:szCs w:val="24"/>
          <w:rtl w:val="0"/>
        </w:rPr>
        <w:t xml:space="preserve">Biddly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sea útil y </w:t>
      </w:r>
      <w:r w:rsidDel="00000000" w:rsidR="00000000" w:rsidRPr="00000000">
        <w:rPr>
          <w:sz w:val="24"/>
          <w:szCs w:val="24"/>
          <w:rtl w:val="0"/>
        </w:rPr>
        <w:t xml:space="preserve">atractiva</w:t>
      </w:r>
      <w:r w:rsidDel="00000000" w:rsidR="00000000" w:rsidRPr="00000000">
        <w:rPr>
          <w:sz w:val="24"/>
          <w:szCs w:val="24"/>
          <w:rtl w:val="0"/>
        </w:rPr>
        <w:t xml:space="preserve"> para una amplia variedad de público.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2447925</wp:posOffset>
            </wp:positionH>
            <wp:positionV relativeFrom="paragraph">
              <wp:posOffset>123825</wp:posOffset>
            </wp:positionV>
            <wp:extent cx="361950" cy="364666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46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125332</wp:posOffset>
            </wp:positionV>
            <wp:extent cx="359234" cy="359234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34" cy="3592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0" w:before="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Funcionalidades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Subastar un producto</w:t>
      </w:r>
      <w:r w:rsidDel="00000000" w:rsidR="00000000" w:rsidRPr="00000000">
        <w:rPr>
          <w:sz w:val="24"/>
          <w:szCs w:val="24"/>
          <w:rtl w:val="0"/>
        </w:rPr>
        <w:t xml:space="preserve">: Los usuarios pueden publicar productos para su subasta, definiendo el precio de inicio, compra inmediata, y fecha de finalización.</w:t>
      </w:r>
    </w:p>
    <w:p w:rsidR="00000000" w:rsidDel="00000000" w:rsidP="00000000" w:rsidRDefault="00000000" w:rsidRPr="00000000" w14:paraId="0000000B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Pujar por un producto</w:t>
      </w:r>
      <w:r w:rsidDel="00000000" w:rsidR="00000000" w:rsidRPr="00000000">
        <w:rPr>
          <w:sz w:val="24"/>
          <w:szCs w:val="24"/>
          <w:rtl w:val="0"/>
        </w:rPr>
        <w:t xml:space="preserve">: Los usuarios pueden participar en subastas de otros productos y hacer sus pujas en tiempo real hasta que la subasta finalice.</w:t>
      </w:r>
    </w:p>
    <w:p w:rsidR="00000000" w:rsidDel="00000000" w:rsidP="00000000" w:rsidRDefault="00000000" w:rsidRPr="00000000" w14:paraId="0000000D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Añadir a favoritos</w:t>
      </w:r>
      <w:r w:rsidDel="00000000" w:rsidR="00000000" w:rsidRPr="00000000">
        <w:rPr>
          <w:sz w:val="24"/>
          <w:szCs w:val="24"/>
          <w:rtl w:val="0"/>
        </w:rPr>
        <w:t xml:space="preserve">: Permite a los usuarios guardar productos.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2400300</wp:posOffset>
            </wp:positionH>
            <wp:positionV relativeFrom="paragraph">
              <wp:posOffset>152400</wp:posOffset>
            </wp:positionV>
            <wp:extent cx="247650" cy="247650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45720" hidden="0" layoutInCell="1" locked="0" relativeHeight="0" simplePos="0">
            <wp:simplePos x="0" y="0"/>
            <wp:positionH relativeFrom="column">
              <wp:posOffset>57150</wp:posOffset>
            </wp:positionH>
            <wp:positionV relativeFrom="paragraph">
              <wp:posOffset>152400</wp:posOffset>
            </wp:positionV>
            <wp:extent cx="242888" cy="242888"/>
            <wp:effectExtent b="0" l="0" r="0" t="0"/>
            <wp:wrapSquare wrapText="bothSides" distB="0" distT="0" distL="0" distR="4572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8" cy="242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          Tablas de las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Productos: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Imagen URL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 categoría (Foreign key)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usuario que lo sube (Foreign key)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 venta inmediata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finalización de la subasta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Contador de likes</w:t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Favoritos: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producto (Foreign key)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usuario (Foreign key)</w:t>
      </w:r>
    </w:p>
    <w:p w:rsidR="00000000" w:rsidDel="00000000" w:rsidP="00000000" w:rsidRDefault="00000000" w:rsidRPr="00000000" w14:paraId="0000002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Pedidos: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producto (Foreign key)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usuario (Foreign key)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Fecha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Usuarios: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 usuario (Primary Key)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Contraseña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Correo electrónico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Teléfono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DNI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Cuenta Bancaria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Dirección</w:t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Ofertas: (Cuando el usuario puja)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producto  (Foreign key)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comprador (Foreign key)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</w:t>
      </w:r>
    </w:p>
    <w:p w:rsidR="00000000" w:rsidDel="00000000" w:rsidP="00000000" w:rsidRDefault="00000000" w:rsidRPr="00000000" w14:paraId="0000003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Categorías: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5973428" cy="3711067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7857" l="4485" r="1495" t="8333"/>
                    <a:stretch>
                      <a:fillRect/>
                    </a:stretch>
                  </pic:blipFill>
                  <pic:spPr>
                    <a:xfrm>
                      <a:off x="0" y="0"/>
                      <a:ext cx="5973428" cy="3711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