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BIDDLY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una aplicación web de subastas en línea y en tiempo real, donde los usuarios pueden subastar productos propios y participar en pujas de artículos publicados por otros usuarios. La plataforma permite a cada usuario establecer en cada puja creada el precio inicial, precio de compra inmediata y fecha de finalización de la subasta. Además, la plataforma permite buscar productos por categoría o por nombre.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está dirigida a cualquier persona mayor de edad interesada en comprar o vender productos. Los usuarios pueden encontrar tanto artículos comunes como productos más específicos, lo que hace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 útil y </w:t>
      </w:r>
      <w:r w:rsidDel="00000000" w:rsidR="00000000" w:rsidRPr="00000000">
        <w:rPr>
          <w:sz w:val="24"/>
          <w:szCs w:val="24"/>
          <w:rtl w:val="0"/>
        </w:rPr>
        <w:t xml:space="preserve">atractiva</w:t>
      </w:r>
      <w:r w:rsidDel="00000000" w:rsidR="00000000" w:rsidRPr="00000000">
        <w:rPr>
          <w:sz w:val="24"/>
          <w:szCs w:val="24"/>
          <w:rtl w:val="0"/>
        </w:rPr>
        <w:t xml:space="preserve"> para una amplia variedad de público.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123825</wp:posOffset>
            </wp:positionV>
            <wp:extent cx="361950" cy="364666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125332</wp:posOffset>
            </wp:positionV>
            <wp:extent cx="359234" cy="359234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4" cy="359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Funcionalidades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Subastar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publicar productos para su subasta, definiendo el precio de inicio, compra inmediata, y fecha de finalización.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Pujar por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participar en subastas de otros productos y hacer sus pujas en tiempo real hasta que la subasta finalice.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Añadir a favoritos</w:t>
      </w:r>
      <w:r w:rsidDel="00000000" w:rsidR="00000000" w:rsidRPr="00000000">
        <w:rPr>
          <w:sz w:val="24"/>
          <w:szCs w:val="24"/>
          <w:rtl w:val="0"/>
        </w:rPr>
        <w:t xml:space="preserve">: Permite a los usuarios guardar productos.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152400</wp:posOffset>
            </wp:positionV>
            <wp:extent cx="247650" cy="24765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4572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152400</wp:posOffset>
            </wp:positionV>
            <wp:extent cx="242888" cy="242888"/>
            <wp:effectExtent b="0" l="0" r="0" t="0"/>
            <wp:wrapSquare wrapText="bothSides" distB="0" distT="0" distL="0" distR="4572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Tablas de las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 URL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 categoría (Foreign key)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usuario que lo sube (Foreign key)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finalización de la subasta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Contador de likes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Favoritos: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Pedidos: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 (Primary Key)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electrónico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Cuenta Bancaria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Ofertas: (Cuando el usuario puja)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 (Foreign key)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comprador (Foreign key)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428625</wp:posOffset>
            </wp:positionV>
            <wp:extent cx="6319838" cy="4455871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48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4455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