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BIDDLY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una aplicación web de subastas en línea y en tiempo real, donde los usuarios pueden subastar productos propios y participar en pujas de artículos publicados por otros usuarios. La plataforma permite a cada usuario establecer en cada puja creada el precio inicial, precio de compra inmediata y fecha de finalización de la subasta. Además, la plataforma permite buscar productos por categoría o por nombre.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está dirigida a cualquier persona mayor de edad interesada en comprar o vender productos. Los usuarios pueden encontrar tanto artículos comunes como productos más específicos, lo que hace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 útil y </w:t>
      </w:r>
      <w:r w:rsidDel="00000000" w:rsidR="00000000" w:rsidRPr="00000000">
        <w:rPr>
          <w:sz w:val="24"/>
          <w:szCs w:val="24"/>
          <w:rtl w:val="0"/>
        </w:rPr>
        <w:t xml:space="preserve">atractiva</w:t>
      </w:r>
      <w:r w:rsidDel="00000000" w:rsidR="00000000" w:rsidRPr="00000000">
        <w:rPr>
          <w:sz w:val="24"/>
          <w:szCs w:val="24"/>
          <w:rtl w:val="0"/>
        </w:rPr>
        <w:t xml:space="preserve"> para una amplia variedad de público.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2476500</wp:posOffset>
            </wp:positionH>
            <wp:positionV relativeFrom="paragraph">
              <wp:posOffset>123825</wp:posOffset>
            </wp:positionV>
            <wp:extent cx="361950" cy="364666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125332</wp:posOffset>
            </wp:positionV>
            <wp:extent cx="359234" cy="359234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4" cy="359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Funcionalidades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Subastar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publicar productos para su subasta, definiendo el precio de inicio, compra inmediata, y fecha de finalización.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Pujar por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participar en subastas de otros productos y hacer sus pujas en tiempo real hasta que la subasta finalice.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Añadir a favoritos</w:t>
      </w:r>
      <w:r w:rsidDel="00000000" w:rsidR="00000000" w:rsidRPr="00000000">
        <w:rPr>
          <w:sz w:val="24"/>
          <w:szCs w:val="24"/>
          <w:rtl w:val="0"/>
        </w:rPr>
        <w:t xml:space="preserve">: Permite a los usuarios guardar productos.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156163</wp:posOffset>
            </wp:positionV>
            <wp:extent cx="250507" cy="250507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" cy="250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152400</wp:posOffset>
            </wp:positionV>
            <wp:extent cx="242888" cy="242888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Tablas de las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 categoría (Foreign key)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venta inmediata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finalización de la subasta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Favoritos: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 (Primary Key)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electrónico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Cuenta Bancaria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 (Foreign key)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comprador (Foreign key)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