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line="276"/>
      </w:pPr>
      <w:r>
        <w:rPr>
          <w:rFonts w:ascii="Arial" w:cs="Arial" w:eastAsia="Arial" w:hAnsi="Arial"/>
          <w:sz w:val="22"/>
          <w:szCs w:val="22"/>
        </w:rPr>
        <w:t xml:space="preserve"/>
      </w:r>
    </w:p>
    <w:p>
      <w:pPr>
        <w:spacing w:after="80" w:line="276"/>
        <w:jc w:val="center"/>
      </w:pPr>
      <w:r>
        <w:rPr>
          <w:rFonts w:ascii="Arial" w:cs="Arial" w:eastAsia="Arial" w:hAnsi="Arial"/>
          <w:b/>
          <w:bCs/>
          <w:color w:val="1B2A4A"/>
          <w:sz w:val="56"/>
          <w:szCs w:val="56"/>
        </w:rPr>
        <w:t xml:space="preserve">STOCK RADAR</w:t>
      </w:r>
    </w:p>
    <w:p>
      <w:pPr>
        <w:spacing w:after="40" w:line="276"/>
        <w:jc w:val="center"/>
      </w:pPr>
      <w:r>
        <w:rPr>
          <w:rFonts w:ascii="Arial" w:cs="Arial" w:eastAsia="Arial" w:hAnsi="Arial"/>
          <w:color w:val="2E5090"/>
          <w:sz w:val="36"/>
          <w:szCs w:val="36"/>
        </w:rPr>
        <w:t xml:space="preserve">Architecture Resilience Report</w:t>
      </w:r>
    </w:p>
    <w:p>
      <w:pPr>
        <w:spacing w:after="600" w:line="276"/>
        <w:jc w:val="center"/>
      </w:pPr>
      <w:r>
        <w:rPr>
          <w:rFonts w:ascii="Arial" w:cs="Arial" w:eastAsia="Arial" w:hAnsi="Arial"/>
          <w:color w:val="666666"/>
          <w:sz w:val="24"/>
          <w:szCs w:val="24"/>
        </w:rPr>
        <w:t xml:space="preserve">Rigid Foundations vs. Self-Evolving Intelligence</w:t>
      </w:r>
    </w:p>
    <w:p>
      <w:pPr>
        <w:pBdr>
          <w:bottom w:val="single" w:color="2E5090" w:sz="6" w:space="1"/>
        </w:pBdr>
      </w:pPr>
    </w:p>
    <w:p>
      <w:pPr>
        <w:spacing w:after="200" w:line="276"/>
      </w:pPr>
      <w:r>
        <w:rPr>
          <w:rFonts w:ascii="Arial" w:cs="Arial" w:eastAsia="Arial" w:hAnsi="Arial"/>
          <w:sz w:val="22"/>
          <w:szCs w:val="22"/>
        </w:rPr>
        <w:t xml:space="preserve"/>
      </w:r>
    </w:p>
    <w:p>
      <w:pPr>
        <w:spacing w:after="40" w:line="276"/>
        <w:jc w:val="center"/>
      </w:pPr>
      <w:r>
        <w:rPr>
          <w:rFonts w:ascii="Arial" w:cs="Arial" w:eastAsia="Arial" w:hAnsi="Arial"/>
          <w:color w:val="666666"/>
          <w:sz w:val="22"/>
          <w:szCs w:val="22"/>
        </w:rPr>
        <w:t xml:space="preserve">Prepared for Hume</w:t>
      </w:r>
    </w:p>
    <w:p>
      <w:pPr>
        <w:spacing w:after="40" w:line="276"/>
        <w:jc w:val="center"/>
      </w:pPr>
      <w:r>
        <w:rPr>
          <w:rFonts w:ascii="Arial" w:cs="Arial" w:eastAsia="Arial" w:hAnsi="Arial"/>
          <w:color w:val="666666"/>
          <w:sz w:val="22"/>
          <w:szCs w:val="22"/>
        </w:rPr>
        <w:t xml:space="preserve">April 24, 2026</w:t>
      </w:r>
    </w:p>
    <w:p>
      <w:pPr>
        <w:spacing w:after="120" w:line="276"/>
        <w:jc w:val="center"/>
      </w:pPr>
      <w:r>
        <w:rPr>
          <w:rFonts w:ascii="Arial" w:cs="Arial" w:eastAsia="Arial" w:hAnsi="Arial"/>
          <w:color w:val="999999"/>
          <w:sz w:val="20"/>
          <w:szCs w:val="20"/>
        </w:rPr>
        <w:t xml:space="preserve">Confidential</w:t>
      </w:r>
    </w:p>
    <w:p>
      <w:pPr>
        <w:sectPr>
          <w:pgSz w:w="12240" w:h="15840" w:orient="portrait"/>
          <w:pgMar w:top="4000" w:right="1440" w:bottom="1440" w:left="1440" w:header="708" w:footer="708" w:gutter="0"/>
          <w:pgNumType/>
          <w:docGrid w:linePitch="360"/>
        </w:sectPr>
      </w:pPr>
    </w:p>
    <w:p>
      <w:pPr>
        <w:pStyle w:val="Heading1"/>
        <w:spacing w:after="200" w:line="276"/>
      </w:pPr>
      <w:r>
        <w:rPr>
          <w:rFonts w:ascii="Arial" w:cs="Arial" w:eastAsia="Arial" w:hAnsi="Arial"/>
          <w:b/>
          <w:bCs/>
          <w:color w:val="1B2A4A"/>
          <w:sz w:val="32"/>
          <w:szCs w:val="32"/>
        </w:rPr>
        <w:t xml:space="preserve">Executive Summary</w:t>
      </w:r>
    </w:p>
    <w:p>
      <w:pPr>
        <w:spacing w:after="120" w:line="276"/>
      </w:pPr>
      <w:r>
        <w:rPr>
          <w:rFonts w:ascii="Arial" w:cs="Arial" w:eastAsia="Arial" w:hAnsi="Arial"/>
          <w:sz w:val="22"/>
          <w:szCs w:val="22"/>
        </w:rPr>
        <w:t xml:space="preserve">Stock Radar is a 50-stock, 9-scout, multi-AI investment research platform. After three intensive build sessions, the system produces institutional-grade DCF targets, event-adjusted blends, and archetype-aware analysis. But a pattern has emerged: nearly every bug that reached the dashboard was not a logic error </w:t>
      </w:r>
      <w:r>
        <w:rPr>
          <w:rFonts w:ascii="Arial" w:cs="Arial" w:eastAsia="Arial" w:hAnsi="Arial"/>
          <w:sz w:val="22"/>
          <w:szCs w:val="22"/>
        </w:rPr>
        <w:t xml:space="preserve">— it was an interface boundary violation</w:t>
      </w:r>
      <w:r>
        <w:rPr>
          <w:rFonts w:ascii="Arial" w:cs="Arial" w:eastAsia="Arial" w:hAnsi="Arial"/>
          <w:sz w:val="22"/>
          <w:szCs w:val="22"/>
        </w:rPr>
        <w:t xml:space="preserve"> where two components made incompatible assumptions about each other.</w:t>
      </w:r>
    </w:p>
    <w:p>
      <w:pPr>
        <w:spacing w:after="120" w:line="276"/>
      </w:pPr>
      <w:r>
        <w:rPr>
          <w:rFonts w:ascii="Arial" w:cs="Arial" w:eastAsia="Arial" w:hAnsi="Arial"/>
          <w:sz w:val="22"/>
          <w:szCs w:val="22"/>
        </w:rPr>
        <w:t xml:space="preserve">This report catalogs every class of failure we have encountered, traces each to its architectural root cause, and proposes a two-layer design: a rigid contract layer that makes certain bug categories structurally impossible, and a self-evolving intelligence layer that uses the system’s own prediction outcomes to get smarter over time. The goal is not to prevent all bugs — it is to make the system’s failure modes visible, bounded, and self-correcting.</w:t>
      </w:r>
    </w:p>
    <w:p>
      <w:pPr>
        <w:spacing w:after="120" w:line="276"/>
      </w:pPr>
      <w:r>
        <w:rPr>
          <w:rFonts w:ascii="Arial" w:cs="Arial" w:eastAsia="Arial" w:hAnsi="Arial"/>
          <w:b/>
          <w:bCs/>
          <w:sz w:val="22"/>
          <w:szCs w:val="22"/>
        </w:rPr>
        <w:t xml:space="preserve">Key finding: </w:t>
      </w:r>
      <w:r>
        <w:rPr>
          <w:rFonts w:ascii="Arial" w:cs="Arial" w:eastAsia="Arial" w:hAnsi="Arial"/>
          <w:sz w:val="22"/>
          <w:szCs w:val="22"/>
        </w:rPr>
        <w:t xml:space="preserve">The system logs predictions and outcomes extensively (prediction_log, signal_outcomes, scout_accuracy) but has zero automated learning loops that regress those outcomes back into model parameters. It tracks whether it was right, but never uses that knowledge to improve.</w:t>
      </w:r>
    </w:p>
    <w:p>
      <w:pPr>
        <w:pStyle w:val="Heading1"/>
        <w:spacing w:after="200" w:line="276"/>
      </w:pPr>
      <w:r>
        <w:rPr>
          <w:rFonts w:ascii="Arial" w:cs="Arial" w:eastAsia="Arial" w:hAnsi="Arial"/>
          <w:b/>
          <w:bCs/>
          <w:color w:val="1B2A4A"/>
          <w:sz w:val="32"/>
          <w:szCs w:val="32"/>
        </w:rPr>
        <w:t xml:space="preserve">Part I: The Bug Taxonomy</w:t>
      </w:r>
    </w:p>
    <w:p>
      <w:pPr>
        <w:spacing w:after="120" w:line="276"/>
      </w:pPr>
      <w:r>
        <w:rPr>
          <w:rFonts w:ascii="Arial" w:cs="Arial" w:eastAsia="Arial" w:hAnsi="Arial"/>
          <w:sz w:val="22"/>
          <w:szCs w:val="22"/>
        </w:rPr>
        <w:t xml:space="preserve">Every bug we have fixed in three sessions falls into one of five categories. Understanding the taxonomy reveals that the fixes are not random — each category has a single structural remedy.</w:t>
      </w:r>
    </w:p>
    <w:p>
      <w:pPr>
        <w:pStyle w:val="Heading2"/>
        <w:spacing w:after="160" w:line="276"/>
      </w:pPr>
      <w:r>
        <w:rPr>
          <w:rFonts w:ascii="Arial" w:cs="Arial" w:eastAsia="Arial" w:hAnsi="Arial"/>
          <w:b/>
          <w:bCs/>
          <w:color w:val="2E5090"/>
          <w:sz w:val="26"/>
          <w:szCs w:val="26"/>
        </w:rPr>
        <w:t xml:space="preserve">1. Registry Fragmentation</w:t>
      </w:r>
    </w:p>
    <w:p>
      <w:pPr>
        <w:spacing w:after="120" w:line="276"/>
      </w:pPr>
      <w:r>
        <w:rPr>
          <w:rFonts w:ascii="Arial" w:cs="Arial" w:eastAsia="Arial" w:hAnsi="Arial"/>
          <w:sz w:val="22"/>
          <w:szCs w:val="22"/>
        </w:rPr>
        <w:t xml:space="preserve">The most persistent class of bugs. A “registry” is any list that defines the universe of valid values for a concept: which scouts exist, which valuation methods are supported, which event types are recognized. Stock Radar has registries defined independently in 4–6 files, with no synchronization mechanism.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Registry</w:t>
            </w:r>
          </w:p>
        </w:tc>
        <w:tc>
          <w:tcPr>
            <w:tcW w:type="dxa" w:w="24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Definitions Found</w:t>
            </w:r>
          </w:p>
        </w:tc>
        <w:tc>
          <w:tcPr>
            <w:tcW w:type="dxa" w:w="24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Files</w:t>
            </w:r>
          </w:p>
        </w:tc>
        <w:tc>
          <w:tcPr>
            <w:tcW w:type="dxa" w:w="216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Consequence of Desync</w:t>
            </w:r>
          </w:p>
        </w:tc>
      </w:tr>
      <w:tr>
        <w:tc>
          <w:tcPr>
            <w:tcW w:type="dxa" w:w="240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Scout list</w:t>
            </w:r>
          </w:p>
        </w:tc>
        <w:tc>
          <w:tcPr>
            <w:tcW w:type="dxa" w:w="240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6 independent</w:t>
            </w:r>
          </w:p>
        </w:tc>
        <w:tc>
          <w:tcPr>
            <w:tcW w:type="dxa" w:w="240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data.ts, analyst.py, run_pipeline.py, research_manager.py, migration.sql, types.ts</w:t>
            </w:r>
          </w:p>
        </w:tc>
        <w:tc>
          <w:tcPr>
            <w:tcW w:type="dxa" w:w="216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Dashboard showed 4/6 scouts when 8 ran successfully</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Valuation methods</w:t>
            </w:r>
          </w:p>
        </w:tc>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2 conflicting</w:t>
            </w:r>
          </w:p>
        </w:tc>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types.ts (pe|ps|cyclical), generate_model.py (pe|ps only)</w:t>
            </w:r>
          </w:p>
        </w:tc>
        <w:tc>
          <w:tcPr>
            <w:tcW w:type="dxa" w:w="21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Claude could not generate cyclical models; frontend accepted them</w:t>
            </w:r>
          </w:p>
        </w:tc>
      </w:tr>
      <w:tr>
        <w:tc>
          <w:tcPr>
            <w:tcW w:type="dxa" w:w="240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Event types</w:t>
            </w:r>
          </w:p>
        </w:tc>
        <w:tc>
          <w:tcPr>
            <w:tcW w:type="dxa" w:w="240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2 versions</w:t>
            </w:r>
          </w:p>
        </w:tc>
        <w:tc>
          <w:tcPr>
            <w:tcW w:type="dxa" w:w="240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event_templates.py (21 types), types.ts (any string)</w:t>
            </w:r>
          </w:p>
        </w:tc>
        <w:tc>
          <w:tcPr>
            <w:tcW w:type="dxa" w:w="216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Frontend renders hallucinated event types without validation</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Archetype enums</w:t>
            </w:r>
          </w:p>
        </w:tc>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2 schemas</w:t>
            </w:r>
          </w:p>
        </w:tc>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generate_model.py (5 values), target_engine.py (5 params)</w:t>
            </w:r>
          </w:p>
        </w:tc>
        <w:tc>
          <w:tcPr>
            <w:tcW w:type="dxa" w:w="21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lifecycle_stage and moat_width generated but never consumed downstream</w:t>
            </w:r>
          </w:p>
        </w:tc>
      </w:tr>
    </w:tbl>
    <w:p>
      <w:pPr>
        <w:spacing w:after="80" w:line="276"/>
      </w:pPr>
      <w:r>
        <w:rPr>
          <w:rFonts w:ascii="Arial" w:cs="Arial" w:eastAsia="Arial" w:hAnsi="Arial"/>
          <w:sz w:val="22"/>
          <w:szCs w:val="22"/>
        </w:rPr>
        <w:t xml:space="preserve"/>
      </w:r>
    </w:p>
    <w:p>
      <w:pPr>
        <w:spacing w:after="120" w:line="276"/>
      </w:pPr>
      <w:r>
        <w:rPr>
          <w:rFonts w:ascii="Arial" w:cs="Arial" w:eastAsia="Arial" w:hAnsi="Arial"/>
          <w:b/>
          <w:bCs/>
          <w:sz w:val="22"/>
          <w:szCs w:val="22"/>
        </w:rPr>
        <w:t xml:space="preserve">Root cause: </w:t>
      </w:r>
      <w:r>
        <w:rPr>
          <w:rFonts w:ascii="Arial" w:cs="Arial" w:eastAsia="Arial" w:hAnsi="Arial"/>
          <w:sz w:val="22"/>
          <w:szCs w:val="22"/>
        </w:rPr>
        <w:t xml:space="preserve">No single source of truth. Each file author independently listed the valid values, and the lists drifted.</w:t>
      </w:r>
    </w:p>
    <w:p>
      <w:pPr>
        <w:pStyle w:val="Heading2"/>
        <w:spacing w:after="160" w:line="276"/>
      </w:pPr>
      <w:r>
        <w:rPr>
          <w:rFonts w:ascii="Arial" w:cs="Arial" w:eastAsia="Arial" w:hAnsi="Arial"/>
          <w:b/>
          <w:bCs/>
          <w:color w:val="2E5090"/>
          <w:sz w:val="26"/>
          <w:szCs w:val="26"/>
        </w:rPr>
        <w:t xml:space="preserve">2. Data Contract Violations</w:t>
      </w:r>
    </w:p>
    <w:p>
      <w:pPr>
        <w:spacing w:after="120" w:line="276"/>
      </w:pPr>
      <w:r>
        <w:rPr>
          <w:rFonts w:ascii="Arial" w:cs="Arial" w:eastAsia="Arial" w:hAnsi="Arial"/>
          <w:sz w:val="22"/>
          <w:szCs w:val="22"/>
        </w:rPr>
        <w:t xml:space="preserve">Two components agree on a field name but disagree on its units, base, or interpretation. The event impact bug (–08 on LITE) was the most severe example: the backend stored blend.final_target as an absolute dollar amount anchored to the pipeline engine’s DCF base (00), while the frontend compared it against the live slider target (76). The delta was 8 – 76 = –08 — pure interface mismatch.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Contract</w:t>
            </w:r>
          </w:p>
        </w:tc>
        <w:tc>
          <w:tcPr>
            <w:tcW w:type="dxa" w:w="312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Producer</w:t>
            </w:r>
          </w:p>
        </w:tc>
        <w:tc>
          <w:tcPr>
            <w:tcW w:type="dxa" w:w="312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Consumer Assumption</w:t>
            </w:r>
          </w:p>
        </w:tc>
      </w:tr>
      <w:tr>
        <w:tc>
          <w:tcPr>
            <w:tcW w:type="dxa" w:w="312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Revenue growth: fraction vs percentage</w:t>
            </w:r>
          </w:p>
        </w:tc>
        <w:tc>
          <w:tcPr>
            <w:tcW w:type="dxa" w:w="312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Fundamentals scout: 0.34 (fraction); Quant scout: 34.1 (pct-points)</w:t>
            </w:r>
          </w:p>
        </w:tc>
        <w:tc>
          <w:tcPr>
            <w:tcW w:type="dxa" w:w="312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target_blend.py guesses via threshold (≥1.5 → divide by 100). Breaks for 150%+ growth stocks.</w:t>
            </w:r>
          </w:p>
        </w:tc>
      </w:tr>
      <w:tr>
        <w:tc>
          <w:tcPr>
            <w:tcW w:type="dxa" w:w="312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Margin format: decimal vs percent</w:t>
            </w:r>
          </w:p>
        </w:tc>
        <w:tc>
          <w:tcPr>
            <w:tcW w:type="dxa" w:w="312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yfinance: 0.425 (decimal); AlphaVantage: 42.5 (percent)</w:t>
            </w:r>
          </w:p>
        </w:tc>
        <w:tc>
          <w:tcPr>
            <w:tcW w:type="dxa" w:w="312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scout_quant.py multiplies by 10 — works for yfinance, produces 425 for AlphaVantage</w:t>
            </w:r>
          </w:p>
        </w:tc>
      </w:tr>
      <w:tr>
        <w:tc>
          <w:tcPr>
            <w:tcW w:type="dxa" w:w="312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Target price: absolute vs relative</w:t>
            </w:r>
          </w:p>
        </w:tc>
        <w:tc>
          <w:tcPr>
            <w:tcW w:type="dxa" w:w="312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target_blend.py: final_target = 8 (absolute, anchored to engine base)</w:t>
            </w:r>
          </w:p>
        </w:tc>
        <w:tc>
          <w:tcPr>
            <w:tcW w:type="dxa" w:w="312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Frontend: eventDelta = 8 – 76 = –08 (mixed bases)</w:t>
            </w:r>
          </w:p>
        </w:tc>
      </w:tr>
      <w:tr>
        <w:tc>
          <w:tcPr>
            <w:tcW w:type="dxa" w:w="312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Event impact: signed % vs unsigned</w:t>
            </w:r>
          </w:p>
        </w:tc>
        <w:tc>
          <w:tcPr>
            <w:tcW w:type="dxa" w:w="312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event_reasoner: magnitude_pct can be negative</w:t>
            </w:r>
          </w:p>
        </w:tc>
        <w:tc>
          <w:tcPr>
            <w:tcW w:type="dxa" w:w="312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Some consumers take abs() and re-sign; others use raw value</w:t>
            </w:r>
          </w:p>
        </w:tc>
      </w:tr>
    </w:tbl>
    <w:p>
      <w:pPr>
        <w:spacing w:after="80" w:line="276"/>
      </w:pPr>
      <w:r>
        <w:rPr>
          <w:rFonts w:ascii="Arial" w:cs="Arial" w:eastAsia="Arial" w:hAnsi="Arial"/>
          <w:sz w:val="22"/>
          <w:szCs w:val="22"/>
        </w:rPr>
        <w:t xml:space="preserve"/>
      </w:r>
    </w:p>
    <w:p>
      <w:pPr>
        <w:spacing w:after="120" w:line="276"/>
      </w:pPr>
      <w:r>
        <w:rPr>
          <w:rFonts w:ascii="Arial" w:cs="Arial" w:eastAsia="Arial" w:hAnsi="Arial"/>
          <w:b/>
          <w:bCs/>
          <w:sz w:val="22"/>
          <w:szCs w:val="22"/>
        </w:rPr>
        <w:t xml:space="preserve">Root cause: </w:t>
      </w:r>
      <w:r>
        <w:rPr>
          <w:rFonts w:ascii="Arial" w:cs="Arial" w:eastAsia="Arial" w:hAnsi="Arial"/>
          <w:sz w:val="22"/>
          <w:szCs w:val="22"/>
        </w:rPr>
        <w:t xml:space="preserve">Implicit contracts. No schema enforces “revenue_growth is always a fraction in [0, 3]” or “event_pct is always percentage-points, signed.”</w:t>
      </w:r>
    </w:p>
    <w:p>
      <w:pPr>
        <w:pStyle w:val="Heading2"/>
        <w:spacing w:after="160" w:line="276"/>
      </w:pPr>
      <w:r>
        <w:rPr>
          <w:rFonts w:ascii="Arial" w:cs="Arial" w:eastAsia="Arial" w:hAnsi="Arial"/>
          <w:b/>
          <w:bCs/>
          <w:color w:val="2E5090"/>
          <w:sz w:val="26"/>
          <w:szCs w:val="26"/>
        </w:rPr>
        <w:t xml:space="preserve">3. Validation Gaps</w:t>
      </w:r>
    </w:p>
    <w:p>
      <w:pPr>
        <w:spacing w:after="120" w:line="276"/>
      </w:pPr>
      <w:r>
        <w:rPr>
          <w:rFonts w:ascii="Arial" w:cs="Arial" w:eastAsia="Arial" w:hAnsi="Arial"/>
          <w:sz w:val="22"/>
          <w:szCs w:val="22"/>
        </w:rPr>
        <w:t xml:space="preserve">External data (LLM outputs, API responses, financial data feeds) enters the system without bounds checking. The system trusts yfinance, Perplexity, and Claude to return reasonable values, but all three have returned garbage that flowed unchecked into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Source</w:t>
            </w:r>
          </w:p>
        </w:tc>
        <w:tc>
          <w:tcPr>
            <w:tcW w:type="dxa" w:w="351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Failure Mode</w:t>
            </w:r>
          </w:p>
        </w:tc>
        <w:tc>
          <w:tcPr>
            <w:tcW w:type="dxa" w:w="351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Impact</w:t>
            </w:r>
          </w:p>
        </w:tc>
      </w:tr>
      <w:tr>
        <w:tc>
          <w:tcPr>
            <w:tcW w:type="dxa" w:w="234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yfinance</w:t>
            </w:r>
          </w:p>
        </w:tc>
        <w:tc>
          <w:tcPr>
            <w:tcW w:type="dxa" w:w="351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MU Q1 FY26 revenue: 3.86B (actual: .7B)</w:t>
            </w:r>
          </w:p>
        </w:tc>
        <w:tc>
          <w:tcPr>
            <w:tcW w:type="dxa" w:w="351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Target price inflated 2.7x; composite score misleading</w:t>
            </w:r>
          </w:p>
        </w:tc>
      </w:tr>
      <w:tr>
        <w:tc>
          <w:tcPr>
            <w:tcW w:type="dxa" w:w="234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yfinance</w:t>
            </w:r>
          </w:p>
        </w:tc>
        <w:tc>
          <w:tcPr>
            <w:tcW w:type="dxa" w:w="351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totalRevenue returns None → becomes 0</w:t>
            </w:r>
          </w:p>
        </w:tc>
        <w:tc>
          <w:tcPr>
            <w:tcW w:type="dxa" w:w="351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Model built on /bin/bashB revenue; target = /bin/bash; no error surfaced</w:t>
            </w:r>
          </w:p>
        </w:tc>
      </w:tr>
      <w:tr>
        <w:tc>
          <w:tcPr>
            <w:tcW w:type="dxa" w:w="234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Claude (model gen)</w:t>
            </w:r>
          </w:p>
        </w:tc>
        <w:tc>
          <w:tcPr>
            <w:tcW w:type="dxa" w:w="351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max_tokens hit twice → truncated criteria list</w:t>
            </w:r>
          </w:p>
        </w:tc>
        <w:tc>
          <w:tcPr>
            <w:tcW w:type="dxa" w:w="351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Incomplete criteria; confidence meter shows 100% with 3/12 criteria</w:t>
            </w:r>
          </w:p>
        </w:tc>
      </w:tr>
      <w:tr>
        <w:tc>
          <w:tcPr>
            <w:tcW w:type="dxa" w:w="234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Claude (event reasoner)</w:t>
            </w:r>
          </w:p>
        </w:tc>
        <w:tc>
          <w:tcPr>
            <w:tcW w:type="dxa" w:w="351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Magnitude picked outside template range</w:t>
            </w:r>
          </w:p>
        </w:tc>
        <w:tc>
          <w:tcPr>
            <w:tcW w:type="dxa" w:w="351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Clamped silently; no audit trail of the original hallucination</w:t>
            </w:r>
          </w:p>
        </w:tc>
      </w:tr>
      <w:tr>
        <w:tc>
          <w:tcPr>
            <w:tcW w:type="dxa" w:w="234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Perplexity</w:t>
            </w:r>
          </w:p>
        </w:tc>
        <w:tc>
          <w:tcPr>
            <w:tcW w:type="dxa" w:w="351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Server error → return None → neutral signal</w:t>
            </w:r>
          </w:p>
        </w:tc>
        <w:tc>
          <w:tcPr>
            <w:tcW w:type="dxa" w:w="351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Stock loses news signal; dashboard shows stale previous-run data as current</w:t>
            </w:r>
          </w:p>
        </w:tc>
      </w:tr>
    </w:tbl>
    <w:p>
      <w:pPr>
        <w:spacing w:after="80" w:line="276"/>
      </w:pPr>
      <w:r>
        <w:rPr>
          <w:rFonts w:ascii="Arial" w:cs="Arial" w:eastAsia="Arial" w:hAnsi="Arial"/>
          <w:sz w:val="22"/>
          <w:szCs w:val="22"/>
        </w:rPr>
        <w:t xml:space="preserve"/>
      </w:r>
    </w:p>
    <w:p>
      <w:pPr>
        <w:spacing w:after="120" w:line="276"/>
      </w:pPr>
      <w:r>
        <w:rPr>
          <w:rFonts w:ascii="Arial" w:cs="Arial" w:eastAsia="Arial" w:hAnsi="Arial"/>
          <w:b/>
          <w:bCs/>
          <w:sz w:val="22"/>
          <w:szCs w:val="22"/>
        </w:rPr>
        <w:t xml:space="preserve">Root cause: </w:t>
      </w:r>
      <w:r>
        <w:rPr>
          <w:rFonts w:ascii="Arial" w:cs="Arial" w:eastAsia="Arial" w:hAnsi="Arial"/>
          <w:sz w:val="22"/>
          <w:szCs w:val="22"/>
        </w:rPr>
        <w:t xml:space="preserve">Missing validation gates at every data ingestion point. The system should reject, not repair, bad data — and surface the rejection visibly.</w:t>
      </w:r>
    </w:p>
    <w:p>
      <w:pPr>
        <w:pStyle w:val="Heading2"/>
        <w:spacing w:after="160" w:line="276"/>
      </w:pPr>
      <w:r>
        <w:rPr>
          <w:rFonts w:ascii="Arial" w:cs="Arial" w:eastAsia="Arial" w:hAnsi="Arial"/>
          <w:b/>
          <w:bCs/>
          <w:color w:val="2E5090"/>
          <w:sz w:val="26"/>
          <w:szCs w:val="26"/>
        </w:rPr>
        <w:t xml:space="preserve">4. State Synchronization Failures</w:t>
      </w:r>
    </w:p>
    <w:p>
      <w:pPr>
        <w:spacing w:after="120" w:line="276"/>
      </w:pPr>
      <w:r>
        <w:rPr>
          <w:rFonts w:ascii="Arial" w:cs="Arial" w:eastAsia="Arial" w:hAnsi="Arial"/>
          <w:sz w:val="22"/>
          <w:szCs w:val="22"/>
        </w:rPr>
        <w:t xml:space="preserve">The same data lives in multiple places with no reconciliation. Supabase is the intended primary store, but JSON files serve as fallback, and the migration SQL file doesn’t always match the live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Data</w:t>
            </w:r>
          </w:p>
        </w:tc>
        <w:tc>
          <w:tcPr>
            <w:tcW w:type="dxa" w:w="312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Location 1</w:t>
            </w:r>
          </w:p>
        </w:tc>
        <w:tc>
          <w:tcPr>
            <w:tcW w:type="dxa" w:w="312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Location 2</w:t>
            </w:r>
          </w:p>
        </w:tc>
      </w:tr>
      <w:tr>
        <w:tc>
          <w:tcPr>
            <w:tcW w:type="dxa" w:w="312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Watchlist (stocks, theses, criteria)</w:t>
            </w:r>
          </w:p>
        </w:tc>
        <w:tc>
          <w:tcPr>
            <w:tcW w:type="dxa" w:w="312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config/watchlist.json</w:t>
            </w:r>
          </w:p>
        </w:tc>
        <w:tc>
          <w:tcPr>
            <w:tcW w:type="dxa" w:w="312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Supabase stocks table</w:t>
            </w:r>
          </w:p>
        </w:tc>
      </w:tr>
      <w:tr>
        <w:tc>
          <w:tcPr>
            <w:tcW w:type="dxa" w:w="312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Scout signals</w:t>
            </w:r>
          </w:p>
        </w:tc>
        <w:tc>
          <w:tcPr>
            <w:tcW w:type="dxa" w:w="312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Supabase signals table</w:t>
            </w:r>
          </w:p>
        </w:tc>
        <w:tc>
          <w:tcPr>
            <w:tcW w:type="dxa" w:w="312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data/*_signals.json (fallback)</w:t>
            </w:r>
          </w:p>
        </w:tc>
      </w:tr>
      <w:tr>
        <w:tc>
          <w:tcPr>
            <w:tcW w:type="dxa" w:w="312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Analysis results</w:t>
            </w:r>
          </w:p>
        </w:tc>
        <w:tc>
          <w:tcPr>
            <w:tcW w:type="dxa" w:w="312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Supabase analysis table</w:t>
            </w:r>
          </w:p>
        </w:tc>
        <w:tc>
          <w:tcPr>
            <w:tcW w:type="dxa" w:w="312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data/analysis.json (legacy)</w:t>
            </w:r>
          </w:p>
        </w:tc>
      </w:tr>
      <w:tr>
        <w:tc>
          <w:tcPr>
            <w:tcW w:type="dxa" w:w="312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Database schema</w:t>
            </w:r>
          </w:p>
        </w:tc>
        <w:tc>
          <w:tcPr>
            <w:tcW w:type="dxa" w:w="312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supabase/migration.sql</w:t>
            </w:r>
          </w:p>
        </w:tc>
        <w:tc>
          <w:tcPr>
            <w:tcW w:type="dxa" w:w="312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Live Supabase (may have extra columns)</w:t>
            </w:r>
          </w:p>
        </w:tc>
      </w:tr>
    </w:tbl>
    <w:p>
      <w:pPr>
        <w:spacing w:after="80" w:line="276"/>
      </w:pPr>
      <w:r>
        <w:rPr>
          <w:rFonts w:ascii="Arial" w:cs="Arial" w:eastAsia="Arial" w:hAnsi="Arial"/>
          <w:sz w:val="22"/>
          <w:szCs w:val="22"/>
        </w:rPr>
        <w:t xml:space="preserve"/>
      </w:r>
    </w:p>
    <w:p>
      <w:pPr>
        <w:spacing w:after="120" w:line="276"/>
      </w:pPr>
      <w:r>
        <w:rPr>
          <w:rFonts w:ascii="Arial" w:cs="Arial" w:eastAsia="Arial" w:hAnsi="Arial"/>
          <w:b/>
          <w:bCs/>
          <w:sz w:val="22"/>
          <w:szCs w:val="22"/>
        </w:rPr>
        <w:t xml:space="preserve">Root cause: </w:t>
      </w:r>
      <w:r>
        <w:rPr>
          <w:rFonts w:ascii="Arial" w:cs="Arial" w:eastAsia="Arial" w:hAnsi="Arial"/>
          <w:sz w:val="22"/>
          <w:szCs w:val="22"/>
        </w:rPr>
        <w:t xml:space="preserve">Historical migration from flat files to Supabase left fallback paths that create split-brain scenarios when the primary is temporarily unreachable.</w:t>
      </w:r>
    </w:p>
    <w:p>
      <w:pPr>
        <w:pStyle w:val="Heading2"/>
        <w:spacing w:after="160" w:line="276"/>
      </w:pPr>
      <w:r>
        <w:rPr>
          <w:rFonts w:ascii="Arial" w:cs="Arial" w:eastAsia="Arial" w:hAnsi="Arial"/>
          <w:b/>
          <w:bCs/>
          <w:color w:val="2E5090"/>
          <w:sz w:val="26"/>
          <w:szCs w:val="26"/>
        </w:rPr>
        <w:t xml:space="preserve">5. Silent Degradation</w:t>
      </w:r>
    </w:p>
    <w:p>
      <w:pPr>
        <w:spacing w:after="120" w:line="276"/>
      </w:pPr>
      <w:r>
        <w:rPr>
          <w:rFonts w:ascii="Arial" w:cs="Arial" w:eastAsia="Arial" w:hAnsi="Arial"/>
          <w:sz w:val="22"/>
          <w:szCs w:val="22"/>
        </w:rPr>
        <w:t xml:space="preserve">The most insidious category. When an external dependency fails, the system doesn’t crash — it silently degrades. A scout returns None, which becomes a neutral signal, which dilutes the composite score toward 5/10, which makes the stock look mediocre instead of unanalyzed. The user sees a number and trusts it; they have no way to know half the scouts failed.</w:t>
      </w:r>
    </w:p>
    <w:p>
      <w:pPr>
        <w:spacing w:after="120" w:line="276"/>
      </w:pPr>
      <w:r>
        <w:rPr>
          <w:rFonts w:ascii="Arial" w:cs="Arial" w:eastAsia="Arial" w:hAnsi="Arial"/>
          <w:b/>
          <w:bCs/>
          <w:sz w:val="22"/>
          <w:szCs w:val="22"/>
        </w:rPr>
        <w:t xml:space="preserve">Estimated impact: </w:t>
      </w:r>
      <w:r>
        <w:rPr>
          <w:rFonts w:ascii="Arial" w:cs="Arial" w:eastAsia="Arial" w:hAnsi="Arial"/>
          <w:sz w:val="22"/>
          <w:szCs w:val="22"/>
        </w:rPr>
        <w:t xml:space="preserve">On any given pipeline run, 15–25% of stocks may be analyzed with incomplete or corrupted input data, with no visible indication on the dashboard.</w:t>
      </w:r>
    </w:p>
    <w:p>
      <w:r>
        <w:br w:type="page"/>
      </w:r>
    </w:p>
    <w:p>
      <w:pPr>
        <w:pStyle w:val="Heading1"/>
        <w:spacing w:after="200" w:line="276"/>
      </w:pPr>
      <w:r>
        <w:rPr>
          <w:rFonts w:ascii="Arial" w:cs="Arial" w:eastAsia="Arial" w:hAnsi="Arial"/>
          <w:b/>
          <w:bCs/>
          <w:color w:val="1B2A4A"/>
          <w:sz w:val="32"/>
          <w:szCs w:val="32"/>
        </w:rPr>
        <w:t xml:space="preserve">Part II: The Rigid Layer — What Must Never Break</w:t>
      </w:r>
    </w:p>
    <w:p>
      <w:pPr>
        <w:spacing w:after="120" w:line="276"/>
      </w:pPr>
      <w:r>
        <w:rPr>
          <w:rFonts w:ascii="Arial" w:cs="Arial" w:eastAsia="Arial" w:hAnsi="Arial"/>
          <w:sz w:val="22"/>
          <w:szCs w:val="22"/>
        </w:rPr>
        <w:t xml:space="preserve">The rigid layer is the skeleton of the system. It defines the contracts that all components must obey. If the rigid layer is correct, the system can produce wrong answers (from bad models or stale data) but it cannot produce structurally incoherent answers (negative prices, inverted scenarios, mixed-unit calculations).</w:t>
      </w:r>
    </w:p>
    <w:p>
      <w:pPr>
        <w:pStyle w:val="Heading2"/>
        <w:spacing w:after="160" w:line="276"/>
      </w:pPr>
      <w:r>
        <w:rPr>
          <w:rFonts w:ascii="Arial" w:cs="Arial" w:eastAsia="Arial" w:hAnsi="Arial"/>
          <w:b/>
          <w:bCs/>
          <w:color w:val="2E5090"/>
          <w:sz w:val="26"/>
          <w:szCs w:val="26"/>
        </w:rPr>
        <w:t xml:space="preserve">1. Single-Source Registries</w:t>
      </w:r>
    </w:p>
    <w:p>
      <w:pPr>
        <w:spacing w:after="120" w:line="276"/>
      </w:pPr>
      <w:r>
        <w:rPr>
          <w:rFonts w:ascii="Arial" w:cs="Arial" w:eastAsia="Arial" w:hAnsi="Arial"/>
          <w:sz w:val="22"/>
          <w:szCs w:val="22"/>
        </w:rPr>
        <w:t xml:space="preserve">Every enumerable concept must be defined in exactly one file and imported everywhere else. Adding a new scout, valuation method, event type, or archetype should require editing exactly one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Registry</w:t>
            </w:r>
          </w:p>
        </w:tc>
        <w:tc>
          <w:tcPr>
            <w:tcW w:type="dxa" w:w="234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Single Source</w:t>
            </w:r>
          </w:p>
        </w:tc>
        <w:tc>
          <w:tcPr>
            <w:tcW w:type="dxa" w:w="234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Consumers</w:t>
            </w:r>
          </w:p>
        </w:tc>
        <w:tc>
          <w:tcPr>
            <w:tcW w:type="dxa" w:w="234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Enforcement</w:t>
            </w:r>
          </w:p>
        </w:tc>
      </w:tr>
      <w:tr>
        <w:tc>
          <w:tcPr>
            <w:tcW w:type="dxa" w:w="234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Scouts</w:t>
            </w:r>
          </w:p>
        </w:tc>
        <w:tc>
          <w:tcPr>
            <w:tcW w:type="dxa" w:w="234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shared/scouts.py + shared/scouts.ts (auto-generated)</w:t>
            </w:r>
          </w:p>
        </w:tc>
        <w:tc>
          <w:tcPr>
            <w:tcW w:type="dxa" w:w="234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analyst.py, run_pipeline.py, data.ts, research_manager.py</w:t>
            </w:r>
          </w:p>
        </w:tc>
        <w:tc>
          <w:tcPr>
            <w:tcW w:type="dxa" w:w="234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CI test: all consumers import from shared/</w:t>
            </w:r>
          </w:p>
        </w:tc>
      </w:tr>
      <w:tr>
        <w:tc>
          <w:tcPr>
            <w:tcW w:type="dxa" w:w="234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Valuation methods</w:t>
            </w:r>
          </w:p>
        </w:tc>
        <w:tc>
          <w:tcPr>
            <w:tcW w:type="dxa" w:w="234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shared/enums.py: ValuationMethod</w:t>
            </w:r>
          </w:p>
        </w:tc>
        <w:tc>
          <w:tcPr>
            <w:tcW w:type="dxa" w:w="234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generate_model.py schema, types.ts, helpers.ts, target_engine.py</w:t>
            </w:r>
          </w:p>
        </w:tc>
        <w:tc>
          <w:tcPr>
            <w:tcW w:type="dxa" w:w="234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TypeScript strict enum; Python Literal type</w:t>
            </w:r>
          </w:p>
        </w:tc>
      </w:tr>
      <w:tr>
        <w:tc>
          <w:tcPr>
            <w:tcW w:type="dxa" w:w="234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Event types</w:t>
            </w:r>
          </w:p>
        </w:tc>
        <w:tc>
          <w:tcPr>
            <w:tcW w:type="dxa" w:w="234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event_templates.py: ALL_TYPE_IDS (already exists)</w:t>
            </w:r>
          </w:p>
        </w:tc>
        <w:tc>
          <w:tcPr>
            <w:tcW w:type="dxa" w:w="234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event_reasoner.py, types.ts EventType</w:t>
            </w:r>
          </w:p>
        </w:tc>
        <w:tc>
          <w:tcPr>
            <w:tcW w:type="dxa" w:w="234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Validate at ingestion: reject unknown types</w:t>
            </w:r>
          </w:p>
        </w:tc>
      </w:tr>
      <w:tr>
        <w:tc>
          <w:tcPr>
            <w:tcW w:type="dxa" w:w="234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Archetypes</w:t>
            </w:r>
          </w:p>
        </w:tc>
        <w:tc>
          <w:tcPr>
            <w:tcW w:type="dxa" w:w="234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shared/enums.py: Archetype</w:t>
            </w:r>
          </w:p>
        </w:tc>
        <w:tc>
          <w:tcPr>
            <w:tcW w:type="dxa" w:w="234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generate_model.py, target_engine.py, adaptive_scoring.py</w:t>
            </w:r>
          </w:p>
        </w:tc>
        <w:tc>
          <w:tcPr>
            <w:tcW w:type="dxa" w:w="234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Schema enum auto-derived from Python source</w:t>
            </w:r>
          </w:p>
        </w:tc>
      </w:tr>
    </w:tbl>
    <w:p>
      <w:pPr>
        <w:pStyle w:val="Heading2"/>
        <w:spacing w:after="160" w:line="276"/>
      </w:pPr>
      <w:r>
        <w:rPr>
          <w:rFonts w:ascii="Arial" w:cs="Arial" w:eastAsia="Arial" w:hAnsi="Arial"/>
          <w:b/>
          <w:bCs/>
          <w:color w:val="2E5090"/>
          <w:sz w:val="26"/>
          <w:szCs w:val="26"/>
        </w:rPr>
        <w:t xml:space="preserve">2. Data Contract Schemas</w:t>
      </w:r>
    </w:p>
    <w:p>
      <w:pPr>
        <w:spacing w:after="120" w:line="276"/>
      </w:pPr>
      <w:r>
        <w:rPr>
          <w:rFonts w:ascii="Arial" w:cs="Arial" w:eastAsia="Arial" w:hAnsi="Arial"/>
          <w:sz w:val="22"/>
          <w:szCs w:val="22"/>
        </w:rPr>
        <w:t xml:space="preserve">Every inter-component data exchange should have a formal schema that specifies units, ranges, and nullability. The schema is checked at the boundary, not inside the computation.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Contract</w:t>
            </w:r>
          </w:p>
        </w:tc>
        <w:tc>
          <w:tcPr>
            <w:tcW w:type="dxa" w:w="234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Unit Standard</w:t>
            </w:r>
          </w:p>
        </w:tc>
        <w:tc>
          <w:tcPr>
            <w:tcW w:type="dxa" w:w="234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Valid Range</w:t>
            </w:r>
          </w:p>
        </w:tc>
        <w:tc>
          <w:tcPr>
            <w:tcW w:type="dxa" w:w="234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Null Handling</w:t>
            </w:r>
          </w:p>
        </w:tc>
      </w:tr>
      <w:tr>
        <w:tc>
          <w:tcPr>
            <w:tcW w:type="dxa" w:w="234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Revenue growth</w:t>
            </w:r>
          </w:p>
        </w:tc>
        <w:tc>
          <w:tcPr>
            <w:tcW w:type="dxa" w:w="234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Fraction (0.34 = 34%)</w:t>
            </w:r>
          </w:p>
        </w:tc>
        <w:tc>
          <w:tcPr>
            <w:tcW w:type="dxa" w:w="234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[−1.0, 5.0]</w:t>
            </w:r>
          </w:p>
        </w:tc>
        <w:tc>
          <w:tcPr>
            <w:tcW w:type="dxa" w:w="234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None → excluded from scoring (not 0)</w:t>
            </w:r>
          </w:p>
        </w:tc>
      </w:tr>
      <w:tr>
        <w:tc>
          <w:tcPr>
            <w:tcW w:type="dxa" w:w="234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Margins</w:t>
            </w:r>
          </w:p>
        </w:tc>
        <w:tc>
          <w:tcPr>
            <w:tcW w:type="dxa" w:w="234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Fraction (0.425 = 42.5%)</w:t>
            </w:r>
          </w:p>
        </w:tc>
        <w:tc>
          <w:tcPr>
            <w:tcW w:type="dxa" w:w="234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[0.0, 1.0]</w:t>
            </w:r>
          </w:p>
        </w:tc>
        <w:tc>
          <w:tcPr>
            <w:tcW w:type="dxa" w:w="234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None → excluded; never default to 0</w:t>
            </w:r>
          </w:p>
        </w:tc>
      </w:tr>
      <w:tr>
        <w:tc>
          <w:tcPr>
            <w:tcW w:type="dxa" w:w="234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Target price</w:t>
            </w:r>
          </w:p>
        </w:tc>
        <w:tc>
          <w:tcPr>
            <w:tcW w:type="dxa" w:w="234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Absolute USD</w:t>
            </w:r>
          </w:p>
        </w:tc>
        <w:tc>
          <w:tcPr>
            <w:tcW w:type="dxa" w:w="234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&gt; /bin/bash.01</w:t>
            </w:r>
          </w:p>
        </w:tc>
        <w:tc>
          <w:tcPr>
            <w:tcW w:type="dxa" w:w="234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None → skip model (hard fail)</w:t>
            </w:r>
          </w:p>
        </w:tc>
      </w:tr>
      <w:tr>
        <w:tc>
          <w:tcPr>
            <w:tcW w:type="dxa" w:w="234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Event impact</w:t>
            </w:r>
          </w:p>
        </w:tc>
        <w:tc>
          <w:tcPr>
            <w:tcW w:type="dxa" w:w="234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Signed percentage-points</w:t>
            </w:r>
          </w:p>
        </w:tc>
        <w:tc>
          <w:tcPr>
            <w:tcW w:type="dxa" w:w="234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Clamped to [–total_cap, +total_cap]</w:t>
            </w:r>
          </w:p>
        </w:tc>
        <w:tc>
          <w:tcPr>
            <w:tcW w:type="dxa" w:w="234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0.0 if no events (not None)</w:t>
            </w:r>
          </w:p>
        </w:tc>
      </w:tr>
      <w:tr>
        <w:tc>
          <w:tcPr>
            <w:tcW w:type="dxa" w:w="234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Composite score</w:t>
            </w:r>
          </w:p>
        </w:tc>
        <w:tc>
          <w:tcPr>
            <w:tcW w:type="dxa" w:w="234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Float 0–10</w:t>
            </w:r>
          </w:p>
        </w:tc>
        <w:tc>
          <w:tcPr>
            <w:tcW w:type="dxa" w:w="234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[0.0, 10.0]</w:t>
            </w:r>
          </w:p>
        </w:tc>
        <w:tc>
          <w:tcPr>
            <w:tcW w:type="dxa" w:w="234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Excluded scouts get no score (not 5.0)</w:t>
            </w:r>
          </w:p>
        </w:tc>
      </w:tr>
      <w:tr>
        <w:tc>
          <w:tcPr>
            <w:tcW w:type="dxa" w:w="234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Scenario prices</w:t>
            </w:r>
          </w:p>
        </w:tc>
        <w:tc>
          <w:tcPr>
            <w:tcW w:type="dxa" w:w="234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Absolute USD, monotonic</w:t>
            </w:r>
          </w:p>
        </w:tc>
        <w:tc>
          <w:tcPr>
            <w:tcW w:type="dxa" w:w="234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bear &lt; base &lt; bull</w:t>
            </w:r>
          </w:p>
        </w:tc>
        <w:tc>
          <w:tcPr>
            <w:tcW w:type="dxa" w:w="234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Enforced post-computation; reject if inversion persists after sort</w:t>
            </w:r>
          </w:p>
        </w:tc>
      </w:tr>
    </w:tbl>
    <w:p>
      <w:pPr>
        <w:pStyle w:val="Heading2"/>
        <w:spacing w:after="160" w:line="276"/>
      </w:pPr>
      <w:r>
        <w:rPr>
          <w:rFonts w:ascii="Arial" w:cs="Arial" w:eastAsia="Arial" w:hAnsi="Arial"/>
          <w:b/>
          <w:bCs/>
          <w:color w:val="2E5090"/>
          <w:sz w:val="26"/>
          <w:szCs w:val="26"/>
        </w:rPr>
        <w:t xml:space="preserve">3. Validation Gates</w:t>
      </w:r>
    </w:p>
    <w:p>
      <w:pPr>
        <w:spacing w:after="120" w:line="276"/>
      </w:pPr>
      <w:r>
        <w:rPr>
          <w:rFonts w:ascii="Arial" w:cs="Arial" w:eastAsia="Arial" w:hAnsi="Arial"/>
          <w:sz w:val="22"/>
          <w:szCs w:val="22"/>
        </w:rPr>
        <w:t xml:space="preserve">Every point where external data enters the system should have a validation gate that rejects bad data and logs the rejection. The gate operates on a simple principle: it is better to have no data than wrong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Gate Location</w:t>
            </w:r>
          </w:p>
        </w:tc>
        <w:tc>
          <w:tcPr>
            <w:tcW w:type="dxa" w:w="312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What It Checks</w:t>
            </w:r>
          </w:p>
        </w:tc>
        <w:tc>
          <w:tcPr>
            <w:tcW w:type="dxa" w:w="312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On Failure</w:t>
            </w:r>
          </w:p>
        </w:tc>
      </w:tr>
      <w:tr>
        <w:tc>
          <w:tcPr>
            <w:tcW w:type="dxa" w:w="312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Post-yfinance fetch</w:t>
            </w:r>
          </w:p>
        </w:tc>
        <w:tc>
          <w:tcPr>
            <w:tcW w:type="dxa" w:w="312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Revenue &gt; /bin/bash, price &gt; /bin/bash, margins in [0,1], market cap &gt; M</w:t>
            </w:r>
          </w:p>
        </w:tc>
        <w:tc>
          <w:tcPr>
            <w:tcW w:type="dxa" w:w="312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Reject ticker for this run; log “yfinance returned invalid data for {ticker}”; surface on dashboard</w:t>
            </w:r>
          </w:p>
        </w:tc>
      </w:tr>
      <w:tr>
        <w:tc>
          <w:tcPr>
            <w:tcW w:type="dxa" w:w="312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Post-LLM model generation</w:t>
            </w:r>
          </w:p>
        </w:tc>
        <w:tc>
          <w:tcPr>
            <w:tcW w:type="dxa" w:w="312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All required fields present, scenarios monotonic, margins within archetype bounds</w:t>
            </w:r>
          </w:p>
        </w:tc>
        <w:tc>
          <w:tcPr>
            <w:tcW w:type="dxa" w:w="312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Retry once with compact prompt; if still invalid, mark model as “failed” (not “neutral”)</w:t>
            </w:r>
          </w:p>
        </w:tc>
      </w:tr>
      <w:tr>
        <w:tc>
          <w:tcPr>
            <w:tcW w:type="dxa" w:w="312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Post-event reasoner</w:t>
            </w:r>
          </w:p>
        </w:tc>
        <w:tc>
          <w:tcPr>
            <w:tcW w:type="dxa" w:w="312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Magnitude within template range, probability in [0,1], chain has 1–3 levels</w:t>
            </w:r>
          </w:p>
        </w:tc>
        <w:tc>
          <w:tcPr>
            <w:tcW w:type="dxa" w:w="312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Clamp magnitude; log original value for audit; surface “clamped” flag</w:t>
            </w:r>
          </w:p>
        </w:tc>
      </w:tr>
      <w:tr>
        <w:tc>
          <w:tcPr>
            <w:tcW w:type="dxa" w:w="312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Post-scout signal</w:t>
            </w:r>
          </w:p>
        </w:tc>
        <w:tc>
          <w:tcPr>
            <w:tcW w:type="dxa" w:w="312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Signal is bullish|bearish|neutral, data dict is non-empty, required keys present</w:t>
            </w:r>
          </w:p>
        </w:tc>
        <w:tc>
          <w:tcPr>
            <w:tcW w:type="dxa" w:w="312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Reject signal; scout counts as “failed” (not “neutral”)</w:t>
            </w:r>
          </w:p>
        </w:tc>
      </w:tr>
      <w:tr>
        <w:tc>
          <w:tcPr>
            <w:tcW w:type="dxa" w:w="312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Pre-Supabase write</w:t>
            </w:r>
          </w:p>
        </w:tc>
        <w:tc>
          <w:tcPr>
            <w:tcW w:type="dxa" w:w="312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All JSONB fields are valid JSON, no NaN/Infinity in numeric fields</w:t>
            </w:r>
          </w:p>
        </w:tc>
        <w:tc>
          <w:tcPr>
            <w:tcW w:type="dxa" w:w="312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Sanitize NaN → None; log warning; never write Infinity to DB</w:t>
            </w:r>
          </w:p>
        </w:tc>
      </w:tr>
    </w:tbl>
    <w:p>
      <w:pPr>
        <w:pStyle w:val="Heading2"/>
        <w:spacing w:after="160" w:line="276"/>
      </w:pPr>
      <w:r>
        <w:rPr>
          <w:rFonts w:ascii="Arial" w:cs="Arial" w:eastAsia="Arial" w:hAnsi="Arial"/>
          <w:b/>
          <w:bCs/>
          <w:color w:val="2E5090"/>
          <w:sz w:val="26"/>
          <w:szCs w:val="26"/>
        </w:rPr>
        <w:t xml:space="preserve">4. Invariant Assertions</w:t>
      </w:r>
    </w:p>
    <w:p>
      <w:pPr>
        <w:spacing w:after="120" w:line="276"/>
      </w:pPr>
      <w:r>
        <w:rPr>
          <w:rFonts w:ascii="Arial" w:cs="Arial" w:eastAsia="Arial" w:hAnsi="Arial"/>
          <w:sz w:val="22"/>
          <w:szCs w:val="22"/>
        </w:rPr>
        <w:t xml:space="preserve">Mathematical and logical invariants that must hold true at all times, enforced by runtime assertions at computation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Invariant</w:t>
            </w:r>
          </w:p>
        </w:tc>
        <w:tc>
          <w:tcPr>
            <w:tcW w:type="dxa" w:w="468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Enforcement Point</w:t>
            </w:r>
          </w:p>
        </w:tc>
      </w:tr>
      <w:tr>
        <w:tc>
          <w:tcPr>
            <w:tcW w:type="dxa" w:w="468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Bear price &lt; Base price &lt; Bull price</w:t>
            </w:r>
          </w:p>
        </w:tc>
        <w:tc>
          <w:tcPr>
            <w:tcW w:type="dxa" w:w="468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After scenario computation in target_engine.py; after model generation; after API save</w:t>
            </w:r>
          </w:p>
        </w:tc>
      </w:tr>
      <w:tr>
        <w:tc>
          <w:tcPr>
            <w:tcW w:type="dxa" w:w="468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Probabilities sum to 1.0 (±0.01)</w:t>
            </w:r>
          </w:p>
        </w:tc>
        <w:tc>
          <w:tcPr>
            <w:tcW w:type="dxa" w:w="468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After model generation; after event probability assignment</w:t>
            </w:r>
          </w:p>
        </w:tc>
      </w:tr>
      <w:tr>
        <w:tc>
          <w:tcPr>
            <w:tcW w:type="dxa" w:w="468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Composite score in [0, 10]</w:t>
            </w:r>
          </w:p>
        </w:tc>
        <w:tc>
          <w:tcPr>
            <w:tcW w:type="dxa" w:w="468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After analyst.analyze_stock(); before Supabase write</w:t>
            </w:r>
          </w:p>
        </w:tc>
      </w:tr>
      <w:tr>
        <w:tc>
          <w:tcPr>
            <w:tcW w:type="dxa" w:w="468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Revenue, shares, multiple &gt; 0 for active model</w:t>
            </w:r>
          </w:p>
        </w:tc>
        <w:tc>
          <w:tcPr>
            <w:tcW w:type="dxa" w:w="468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Before target price computation in helpers.ts</w:t>
            </w:r>
          </w:p>
        </w:tc>
      </w:tr>
      <w:tr>
        <w:tc>
          <w:tcPr>
            <w:tcW w:type="dxa" w:w="468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Event adjustment ≤ total_cap (vol-scaled)</w:t>
            </w:r>
          </w:p>
        </w:tc>
        <w:tc>
          <w:tcPr>
            <w:tcW w:type="dxa" w:w="468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After sum_adjustments() in event_reasoner.py</w:t>
            </w:r>
          </w:p>
        </w:tc>
      </w:tr>
      <w:tr>
        <w:tc>
          <w:tcPr>
            <w:tcW w:type="dxa" w:w="468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WACC &gt; terminal growth rate</w:t>
            </w:r>
          </w:p>
        </w:tc>
        <w:tc>
          <w:tcPr>
            <w:tcW w:type="dxa" w:w="468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In Gordon Growth computation; hard-fail with diagnostic if violated</w:t>
            </w:r>
          </w:p>
        </w:tc>
      </w:tr>
    </w:tbl>
    <w:p>
      <w:pPr>
        <w:pStyle w:val="Heading2"/>
        <w:spacing w:after="160" w:line="276"/>
      </w:pPr>
      <w:r>
        <w:rPr>
          <w:rFonts w:ascii="Arial" w:cs="Arial" w:eastAsia="Arial" w:hAnsi="Arial"/>
          <w:b/>
          <w:bCs/>
          <w:color w:val="2E5090"/>
          <w:sz w:val="26"/>
          <w:szCs w:val="26"/>
        </w:rPr>
        <w:t xml:space="preserve">5. Observability Contracts</w:t>
      </w:r>
    </w:p>
    <w:p>
      <w:pPr>
        <w:spacing w:after="120" w:line="276"/>
      </w:pPr>
      <w:r>
        <w:rPr>
          <w:rFonts w:ascii="Arial" w:cs="Arial" w:eastAsia="Arial" w:hAnsi="Arial"/>
          <w:sz w:val="22"/>
          <w:szCs w:val="22"/>
        </w:rPr>
        <w:t xml:space="preserve">Every scout must emit a standardized health signal after running. The pipeline aggregates these into a per-run health report visible on the dashboard. A scout that fails silently is worse than a scout that crashes loudly.</w:t>
      </w:r>
    </w:p>
    <w:p>
      <w:pPr>
        <w:spacing w:after="120" w:line="276"/>
      </w:pPr>
      <w:r>
        <w:rPr>
          <w:rFonts w:ascii="Arial" w:cs="Arial" w:eastAsia="Arial" w:hAnsi="Arial"/>
          <w:b/>
          <w:bCs/>
          <w:sz w:val="22"/>
          <w:szCs w:val="22"/>
        </w:rPr>
        <w:t xml:space="preserve">Required fields: </w:t>
      </w:r>
      <w:r>
        <w:rPr>
          <w:rFonts w:ascii="Arial" w:cs="Arial" w:eastAsia="Arial" w:hAnsi="Arial"/>
          <w:sz w:val="22"/>
          <w:szCs w:val="22"/>
        </w:rPr>
        <w:t xml:space="preserve">scout_name, success (bool), signal_count (int), tickers_covered (int), errors (string[]), duration_s (float), data_source (string), api_calls_made (int). The pipeline records this in pipeline_runs.scout_details and the dashboard renders it in the Health panel.</w:t>
      </w:r>
    </w:p>
    <w:p>
      <w:r>
        <w:br w:type="page"/>
      </w:r>
    </w:p>
    <w:p>
      <w:pPr>
        <w:pStyle w:val="Heading1"/>
        <w:spacing w:after="200" w:line="276"/>
      </w:pPr>
      <w:r>
        <w:rPr>
          <w:rFonts w:ascii="Arial" w:cs="Arial" w:eastAsia="Arial" w:hAnsi="Arial"/>
          <w:b/>
          <w:bCs/>
          <w:color w:val="1B2A4A"/>
          <w:sz w:val="32"/>
          <w:szCs w:val="32"/>
        </w:rPr>
        <w:t xml:space="preserve">Part III: The Self-Evolving Layer — What Should Get Smarter</w:t>
      </w:r>
    </w:p>
    <w:p>
      <w:pPr>
        <w:spacing w:after="120" w:line="276"/>
      </w:pPr>
      <w:r>
        <w:rPr>
          <w:rFonts w:ascii="Arial" w:cs="Arial" w:eastAsia="Arial" w:hAnsi="Arial"/>
          <w:sz w:val="22"/>
          <w:szCs w:val="22"/>
        </w:rPr>
        <w:t xml:space="preserve">The self-evolving layer sits on top of the rigid contracts. It uses the system’s own historical predictions and outcomes to continuously recalibrate parameters, weights, and prompts. The rigid layer guarantees structural correctness; the evolving layer optimizes accuracy within those guardrails.</w:t>
      </w:r>
    </w:p>
    <w:p>
      <w:pPr>
        <w:pStyle w:val="Heading2"/>
        <w:spacing w:after="160" w:line="276"/>
      </w:pPr>
      <w:r>
        <w:rPr>
          <w:rFonts w:ascii="Arial" w:cs="Arial" w:eastAsia="Arial" w:hAnsi="Arial"/>
          <w:b/>
          <w:bCs/>
          <w:color w:val="2E5090"/>
          <w:sz w:val="26"/>
          <w:szCs w:val="26"/>
        </w:rPr>
        <w:t xml:space="preserve">1. Current State: Logs Everything, Learns Nothing</w:t>
      </w:r>
    </w:p>
    <w:p>
      <w:pPr>
        <w:spacing w:after="120" w:line="276"/>
      </w:pPr>
      <w:r>
        <w:rPr>
          <w:rFonts w:ascii="Arial" w:cs="Arial" w:eastAsia="Arial" w:hAnsi="Arial"/>
          <w:sz w:val="22"/>
          <w:szCs w:val="22"/>
        </w:rPr>
        <w:t xml:space="preserve">Stock Radar has excellent outcome-tracking infrastructure. The prediction_log table stores every target price, scenario probability, and context input. The prediction_outcomes table stores actual prices at 7, 30, 60, and 90-day checkpoints. The signal_outcomes table tracks scout directional accuracy. The scout_accuracy table computes per-scout hit rates.</w:t>
      </w:r>
    </w:p>
    <w:p>
      <w:pPr>
        <w:spacing w:after="120" w:line="276"/>
      </w:pPr>
      <w:r>
        <w:rPr>
          <w:rFonts w:ascii="Arial" w:cs="Arial" w:eastAsia="Arial" w:hAnsi="Arial"/>
          <w:b/>
          <w:bCs/>
          <w:sz w:val="22"/>
          <w:szCs w:val="22"/>
        </w:rPr>
        <w:t xml:space="preserve">The critical gap: </w:t>
      </w:r>
      <w:r>
        <w:rPr>
          <w:rFonts w:ascii="Arial" w:cs="Arial" w:eastAsia="Arial" w:hAnsi="Arial"/>
          <w:sz w:val="22"/>
          <w:szCs w:val="22"/>
        </w:rPr>
        <w:t xml:space="preserve">None of this data feeds back into model parameters. The system tracks whether it was right but never uses that knowledge to recalibrate. It is a system with perfect memory and zero learning.</w:t>
      </w:r>
    </w:p>
    <w:p>
      <w:pPr>
        <w:pStyle w:val="Heading2"/>
        <w:spacing w:after="160" w:line="276"/>
      </w:pPr>
      <w:r>
        <w:rPr>
          <w:rFonts w:ascii="Arial" w:cs="Arial" w:eastAsia="Arial" w:hAnsi="Arial"/>
          <w:b/>
          <w:bCs/>
          <w:color w:val="2E5090"/>
          <w:sz w:val="26"/>
          <w:szCs w:val="26"/>
        </w:rPr>
        <w:t xml:space="preserve">2. Learning Loop Architecture</w:t>
      </w:r>
    </w:p>
    <w:p>
      <w:pPr>
        <w:spacing w:after="120" w:line="276"/>
      </w:pPr>
      <w:r>
        <w:rPr>
          <w:rFonts w:ascii="Arial" w:cs="Arial" w:eastAsia="Arial" w:hAnsi="Arial"/>
          <w:sz w:val="22"/>
          <w:szCs w:val="22"/>
        </w:rPr>
        <w:t xml:space="preserve">Each learning loop follows the same pattern: (1) predict, (2) log the prediction with context, (3) observe the outcome at defined checkpoints, (4) compute the error, (5) update the parameter that produced the prediction. The rigid layer ensures each loop has bounds — no parameter can be adjusted beyond its valid range.</w:t>
      </w:r>
    </w:p>
    <w:p>
      <w:pPr>
        <w:pStyle w:val="Heading3"/>
        <w:spacing w:after="120" w:line="276"/>
      </w:pPr>
      <w:r>
        <w:rPr>
          <w:rFonts w:ascii="Arial" w:cs="Arial" w:eastAsia="Arial" w:hAnsi="Arial"/>
          <w:b/>
          <w:bCs/>
          <w:color w:val="444444"/>
          <w:sz w:val="23"/>
          <w:szCs w:val="23"/>
        </w:rPr>
        <w:t xml:space="preserve">Loop 1: Scout Weight Calibration (Partially Exists)</w:t>
      </w:r>
    </w:p>
    <w:p>
      <w:pPr>
        <w:spacing w:after="120" w:line="276"/>
      </w:pPr>
      <w:r>
        <w:rPr>
          <w:rFonts w:ascii="Arial" w:cs="Arial" w:eastAsia="Arial" w:hAnsi="Arial"/>
          <w:b/>
          <w:bCs/>
          <w:sz w:val="22"/>
          <w:szCs w:val="22"/>
        </w:rPr>
        <w:t xml:space="preserve">Current state: </w:t>
      </w:r>
      <w:r>
        <w:rPr>
          <w:rFonts w:ascii="Arial" w:cs="Arial" w:eastAsia="Arial" w:hAnsi="Arial"/>
          <w:sz w:val="22"/>
          <w:szCs w:val="22"/>
        </w:rPr>
        <w:t xml:space="preserve">feedback_loop.py tracks per-scout accuracy and adjusts FACTOR_WEIGHTS via Bayesian beta-binomial shrinkage. This is the system’s only active learning loop. But it only covers 6 of 9 scouts (catalyst, moat, filings excluded), and the convergence scouts are excluded from weight adjustment entirely.</w:t>
      </w:r>
    </w:p>
    <w:p>
      <w:pPr>
        <w:spacing w:after="120" w:line="276"/>
      </w:pPr>
      <w:r>
        <w:rPr>
          <w:rFonts w:ascii="Arial" w:cs="Arial" w:eastAsia="Arial" w:hAnsi="Arial"/>
          <w:b/>
          <w:bCs/>
          <w:sz w:val="22"/>
          <w:szCs w:val="22"/>
        </w:rPr>
        <w:t xml:space="preserve">Enhancement: </w:t>
      </w:r>
      <w:r>
        <w:rPr>
          <w:rFonts w:ascii="Arial" w:cs="Arial" w:eastAsia="Arial" w:hAnsi="Arial"/>
          <w:sz w:val="22"/>
          <w:szCs w:val="22"/>
        </w:rPr>
        <w:t xml:space="preserve">Extend to all scouts. Add Information Coefficient (IC) as a secondary accuracy metric (already computed but not consumed). Adjust weights monthly based on trailing 90-day IC, with a floor of 0.05 per scout (no scout goes to zero weight — the rigid layer enforces the floor).</w:t>
      </w:r>
    </w:p>
    <w:p>
      <w:pPr>
        <w:pStyle w:val="Heading3"/>
        <w:spacing w:after="120" w:line="276"/>
      </w:pPr>
      <w:r>
        <w:rPr>
          <w:rFonts w:ascii="Arial" w:cs="Arial" w:eastAsia="Arial" w:hAnsi="Arial"/>
          <w:b/>
          <w:bCs/>
          <w:color w:val="444444"/>
          <w:sz w:val="23"/>
          <w:szCs w:val="23"/>
        </w:rPr>
        <w:t xml:space="preserve">Loop 2: Event Magnitude Calibration (Missing — Critical)</w:t>
      </w:r>
    </w:p>
    <w:p>
      <w:pPr>
        <w:spacing w:after="120" w:line="276"/>
      </w:pPr>
      <w:r>
        <w:rPr>
          <w:rFonts w:ascii="Arial" w:cs="Arial" w:eastAsia="Arial" w:hAnsi="Arial"/>
          <w:b/>
          <w:bCs/>
          <w:sz w:val="22"/>
          <w:szCs w:val="22"/>
        </w:rPr>
        <w:t xml:space="preserve">Current state: </w:t>
      </w:r>
      <w:r>
        <w:rPr>
          <w:rFonts w:ascii="Arial" w:cs="Arial" w:eastAsia="Arial" w:hAnsi="Arial"/>
          <w:sz w:val="22"/>
          <w:szCs w:val="22"/>
        </w:rPr>
        <w:t xml:space="preserve">event_templates.py defines magnitude ranges (e.g., customer_win_major: +3% to +12%). event_reasoner.py asks Claude to pick a magnitude within the range. Neither the template ranges nor Claude’s picks are ever validated against realized price moves.</w:t>
      </w:r>
    </w:p>
    <w:p>
      <w:pPr>
        <w:spacing w:after="120" w:line="276"/>
      </w:pPr>
      <w:r>
        <w:rPr>
          <w:rFonts w:ascii="Arial" w:cs="Arial" w:eastAsia="Arial" w:hAnsi="Arial"/>
          <w:b/>
          <w:bCs/>
          <w:sz w:val="22"/>
          <w:szCs w:val="22"/>
        </w:rPr>
        <w:t xml:space="preserve">Proposed loop: </w:t>
      </w:r>
      <w:r>
        <w:rPr>
          <w:rFonts w:ascii="Arial" w:cs="Arial" w:eastAsia="Arial" w:hAnsi="Arial"/>
          <w:sz w:val="22"/>
          <w:szCs w:val="22"/>
        </w:rPr>
        <w:t xml:space="preserve">New module event_calibration.py. After each event’s time_horizon_months elapses, compare predicted magnitude to realized price move. Compute per-event-type calibration error (mean and variance). Adjust template ranges quarterly: if customer_win_major events consistently move prices +5–7% but the template says +3–12%, tighten to +4–8%. Feed accurate historical examples into the reasoner prompt as few-shot calibration anchors.</w:t>
      </w:r>
    </w:p>
    <w:p>
      <w:pPr>
        <w:pStyle w:val="Heading3"/>
        <w:spacing w:after="120" w:line="276"/>
      </w:pPr>
      <w:r>
        <w:rPr>
          <w:rFonts w:ascii="Arial" w:cs="Arial" w:eastAsia="Arial" w:hAnsi="Arial"/>
          <w:b/>
          <w:bCs/>
          <w:color w:val="444444"/>
          <w:sz w:val="23"/>
          <w:szCs w:val="23"/>
        </w:rPr>
        <w:t xml:space="preserve">Loop 3: Target Price Convergence (Missing — Critical)</w:t>
      </w:r>
    </w:p>
    <w:p>
      <w:pPr>
        <w:spacing w:after="120" w:line="276"/>
      </w:pPr>
      <w:r>
        <w:rPr>
          <w:rFonts w:ascii="Arial" w:cs="Arial" w:eastAsia="Arial" w:hAnsi="Arial"/>
          <w:b/>
          <w:bCs/>
          <w:sz w:val="22"/>
          <w:szCs w:val="22"/>
        </w:rPr>
        <w:t xml:space="preserve">Current state: </w:t>
      </w:r>
      <w:r>
        <w:rPr>
          <w:rFonts w:ascii="Arial" w:cs="Arial" w:eastAsia="Arial" w:hAnsi="Arial"/>
          <w:sz w:val="22"/>
          <w:szCs w:val="22"/>
        </w:rPr>
        <w:t xml:space="preserve">prediction_log stores target_base, target_low, target_high every run. prediction_outcomes stores actual prices. No computation connects them.</w:t>
      </w:r>
    </w:p>
    <w:p>
      <w:pPr>
        <w:spacing w:after="120" w:line="276"/>
      </w:pPr>
      <w:r>
        <w:rPr>
          <w:rFonts w:ascii="Arial" w:cs="Arial" w:eastAsia="Arial" w:hAnsi="Arial"/>
          <w:b/>
          <w:bCs/>
          <w:sz w:val="22"/>
          <w:szCs w:val="22"/>
        </w:rPr>
        <w:t xml:space="preserve">Proposed loop: </w:t>
      </w:r>
      <w:r>
        <w:rPr>
          <w:rFonts w:ascii="Arial" w:cs="Arial" w:eastAsia="Arial" w:hAnsi="Arial"/>
          <w:sz w:val="22"/>
          <w:szCs w:val="22"/>
        </w:rPr>
        <w:t xml:space="preserve">Extend prediction_logger.py. For each stock, compute a convergence metric: is the distance between the target and actual price narrowing over successive runs? Track calibration error (predicted – actual) / predicted by archetype, sector, and valuation method. Identify systematic biases: if cyclical stocks are consistently over-targeted by 20%, adjust the archetype’s terminal growth assumption downward.</w:t>
      </w:r>
    </w:p>
    <w:p>
      <w:pPr>
        <w:pStyle w:val="Heading3"/>
        <w:spacing w:after="120" w:line="276"/>
      </w:pPr>
      <w:r>
        <w:rPr>
          <w:rFonts w:ascii="Arial" w:cs="Arial" w:eastAsia="Arial" w:hAnsi="Arial"/>
          <w:b/>
          <w:bCs/>
          <w:color w:val="444444"/>
          <w:sz w:val="23"/>
          <w:szCs w:val="23"/>
        </w:rPr>
        <w:t xml:space="preserve">Loop 4: Scenario Probability Calibration (Missing)</w:t>
      </w:r>
    </w:p>
    <w:p>
      <w:pPr>
        <w:spacing w:after="120" w:line="276"/>
      </w:pPr>
      <w:r>
        <w:rPr>
          <w:rFonts w:ascii="Arial" w:cs="Arial" w:eastAsia="Arial" w:hAnsi="Arial"/>
          <w:b/>
          <w:bCs/>
          <w:sz w:val="22"/>
          <w:szCs w:val="22"/>
        </w:rPr>
        <w:t xml:space="preserve">Current state: </w:t>
      </w:r>
      <w:r>
        <w:rPr>
          <w:rFonts w:ascii="Arial" w:cs="Arial" w:eastAsia="Arial" w:hAnsi="Arial"/>
          <w:sz w:val="22"/>
          <w:szCs w:val="22"/>
        </w:rPr>
        <w:t xml:space="preserve">Models assign p_bull, p_base, p_bear. These probabilities are never checked against realized frequencies.</w:t>
      </w:r>
    </w:p>
    <w:p>
      <w:pPr>
        <w:spacing w:after="120" w:line="276"/>
      </w:pPr>
      <w:r>
        <w:rPr>
          <w:rFonts w:ascii="Arial" w:cs="Arial" w:eastAsia="Arial" w:hAnsi="Arial"/>
          <w:b/>
          <w:bCs/>
          <w:sz w:val="22"/>
          <w:szCs w:val="22"/>
        </w:rPr>
        <w:t xml:space="preserve">Proposed loop: </w:t>
      </w:r>
      <w:r>
        <w:rPr>
          <w:rFonts w:ascii="Arial" w:cs="Arial" w:eastAsia="Arial" w:hAnsi="Arial"/>
          <w:sz w:val="22"/>
          <w:szCs w:val="22"/>
        </w:rPr>
        <w:t xml:space="preserve">New module probability_calibration.py. Bin all historical scenario probability assignments. For the bucket “stocks where p_bull was 0.20–0.30,” what fraction actually ended up in bull territory? If 40% did, the model is under-confident on bull scenarios in this range. Compute a calibration curve and adjust the generate_model prompt with the correction factor. This is standard forecasting calibration.</w:t>
      </w:r>
    </w:p>
    <w:p>
      <w:pPr>
        <w:pStyle w:val="Heading3"/>
        <w:spacing w:after="120" w:line="276"/>
      </w:pPr>
      <w:r>
        <w:rPr>
          <w:rFonts w:ascii="Arial" w:cs="Arial" w:eastAsia="Arial" w:hAnsi="Arial"/>
          <w:b/>
          <w:bCs/>
          <w:color w:val="444444"/>
          <w:sz w:val="23"/>
          <w:szCs w:val="23"/>
        </w:rPr>
        <w:t xml:space="preserve">Loop 5: Kill Condition Validation (Missing)</w:t>
      </w:r>
    </w:p>
    <w:p>
      <w:pPr>
        <w:spacing w:after="120" w:line="276"/>
      </w:pPr>
      <w:r>
        <w:rPr>
          <w:rFonts w:ascii="Arial" w:cs="Arial" w:eastAsia="Arial" w:hAnsi="Arial"/>
          <w:b/>
          <w:bCs/>
          <w:sz w:val="22"/>
          <w:szCs w:val="22"/>
        </w:rPr>
        <w:t xml:space="preserve">Current state: </w:t>
      </w:r>
      <w:r>
        <w:rPr>
          <w:rFonts w:ascii="Arial" w:cs="Arial" w:eastAsia="Arial" w:hAnsi="Arial"/>
          <w:sz w:val="22"/>
          <w:szCs w:val="22"/>
        </w:rPr>
        <w:t xml:space="preserve">kill_condition_eval.py evaluates kill conditions every run, outputting safe/warning/triggered status. Outcome never validated.</w:t>
      </w:r>
    </w:p>
    <w:p>
      <w:pPr>
        <w:spacing w:after="120" w:line="276"/>
      </w:pPr>
      <w:r>
        <w:rPr>
          <w:rFonts w:ascii="Arial" w:cs="Arial" w:eastAsia="Arial" w:hAnsi="Arial"/>
          <w:b/>
          <w:bCs/>
          <w:sz w:val="22"/>
          <w:szCs w:val="22"/>
        </w:rPr>
        <w:t xml:space="preserve">Proposed loop: </w:t>
      </w:r>
      <w:r>
        <w:rPr>
          <w:rFonts w:ascii="Arial" w:cs="Arial" w:eastAsia="Arial" w:hAnsi="Arial"/>
          <w:sz w:val="22"/>
          <w:szCs w:val="22"/>
        </w:rPr>
        <w:t xml:space="preserve">Track precision and recall. Did “triggered” statuses actually precede thesis breaks (&gt;30% drawdown within 6 months)? Did “safe” statuses hold? Use these to calibrate the eval prompt: if the evaluator triggers too eagerly (high false positive rate), add few-shot examples of false positives with explanations.</w:t>
      </w:r>
    </w:p>
    <w:p>
      <w:pPr>
        <w:pStyle w:val="Heading3"/>
        <w:spacing w:after="120" w:line="276"/>
      </w:pPr>
      <w:r>
        <w:rPr>
          <w:rFonts w:ascii="Arial" w:cs="Arial" w:eastAsia="Arial" w:hAnsi="Arial"/>
          <w:b/>
          <w:bCs/>
          <w:color w:val="444444"/>
          <w:sz w:val="23"/>
          <w:szCs w:val="23"/>
        </w:rPr>
        <w:t xml:space="preserve">Loop 6: Prompt Evolution via A/B Testing (Missing)</w:t>
      </w:r>
    </w:p>
    <w:p>
      <w:pPr>
        <w:spacing w:after="120" w:line="276"/>
      </w:pPr>
      <w:r>
        <w:rPr>
          <w:rFonts w:ascii="Arial" w:cs="Arial" w:eastAsia="Arial" w:hAnsi="Arial"/>
          <w:b/>
          <w:bCs/>
          <w:sz w:val="22"/>
          <w:szCs w:val="22"/>
        </w:rPr>
        <w:t xml:space="preserve">Current state: </w:t>
      </w:r>
      <w:r>
        <w:rPr>
          <w:rFonts w:ascii="Arial" w:cs="Arial" w:eastAsia="Arial" w:hAnsi="Arial"/>
          <w:sz w:val="22"/>
          <w:szCs w:val="22"/>
        </w:rPr>
        <w:t xml:space="preserve">LLM prompts in generate_model.py, event_reasoner.py, kill_condition_eval.py are static. They were hand-tuned once and never updated.</w:t>
      </w:r>
    </w:p>
    <w:p>
      <w:pPr>
        <w:spacing w:after="120" w:line="276"/>
      </w:pPr>
      <w:r>
        <w:rPr>
          <w:rFonts w:ascii="Arial" w:cs="Arial" w:eastAsia="Arial" w:hAnsi="Arial"/>
          <w:b/>
          <w:bCs/>
          <w:sz w:val="22"/>
          <w:szCs w:val="22"/>
        </w:rPr>
        <w:t xml:space="preserve">Proposed loop: </w:t>
      </w:r>
      <w:r>
        <w:rPr>
          <w:rFonts w:ascii="Arial" w:cs="Arial" w:eastAsia="Arial" w:hAnsi="Arial"/>
          <w:sz w:val="22"/>
          <w:szCs w:val="22"/>
        </w:rPr>
        <w:t xml:space="preserve">New module prompt_ab_test.py. Maintain a prompt registry with versioned variants. On each pipeline run, randomly assign 20% of stocks to a variant prompt. After outcomes are observed, compute per-variant accuracy. Promote the better-performing variant. This turns prompt engineering from a one-time effort into continuous improvement.</w:t>
      </w:r>
    </w:p>
    <w:p>
      <w:r>
        <w:br w:type="page"/>
      </w:r>
    </w:p>
    <w:p>
      <w:pPr>
        <w:pStyle w:val="Heading1"/>
        <w:spacing w:after="200" w:line="276"/>
      </w:pPr>
      <w:r>
        <w:rPr>
          <w:rFonts w:ascii="Arial" w:cs="Arial" w:eastAsia="Arial" w:hAnsi="Arial"/>
          <w:b/>
          <w:bCs/>
          <w:color w:val="1B2A4A"/>
          <w:sz w:val="32"/>
          <w:szCs w:val="32"/>
        </w:rPr>
        <w:t xml:space="preserve">Part IV: Hardcoded Parameters That Should Evolve</w:t>
      </w:r>
    </w:p>
    <w:p>
      <w:pPr>
        <w:spacing w:after="120" w:line="276"/>
      </w:pPr>
      <w:r>
        <w:rPr>
          <w:rFonts w:ascii="Arial" w:cs="Arial" w:eastAsia="Arial" w:hAnsi="Arial"/>
          <w:sz w:val="22"/>
          <w:szCs w:val="22"/>
        </w:rPr>
        <w:t xml:space="preserve">The following parameters are currently static constants. Each should be connected to a learning loop that adjusts it within rigid bounds based on outcome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3160"/>
      </w:tblGrid>
      <w:tr>
        <w:tc>
          <w:tcPr>
            <w:tcW w:type="dxa" w:w="26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Parameter</w:t>
            </w:r>
          </w:p>
        </w:tc>
        <w:tc>
          <w:tcPr>
            <w:tcW w:type="dxa" w:w="18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Current Value</w:t>
            </w:r>
          </w:p>
        </w:tc>
        <w:tc>
          <w:tcPr>
            <w:tcW w:type="dxa" w:w="18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Rigid Bounds</w:t>
            </w:r>
          </w:p>
        </w:tc>
        <w:tc>
          <w:tcPr>
            <w:tcW w:type="dxa" w:w="316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Learning Signal</w:t>
            </w:r>
          </w:p>
        </w:tc>
      </w:tr>
      <w:tr>
        <w:tc>
          <w:tcPr>
            <w:tcW w:type="dxa" w:w="260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Scout factor weights (analyst.py)</w:t>
            </w:r>
          </w:p>
        </w:tc>
        <w:tc>
          <w:tcPr>
            <w:tcW w:type="dxa" w:w="180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quant=0.28, fundamentals=0.24, ...</w:t>
            </w:r>
          </w:p>
        </w:tc>
        <w:tc>
          <w:tcPr>
            <w:tcW w:type="dxa" w:w="180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[0.05, 0.50] per scout</w:t>
            </w:r>
          </w:p>
        </w:tc>
        <w:tc>
          <w:tcPr>
            <w:tcW w:type="dxa" w:w="316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Trailing 90-day IC per scout</w:t>
            </w:r>
          </w:p>
        </w:tc>
      </w:tr>
      <w:tr>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Event weight range (target_blend.py)</w:t>
            </w:r>
          </w:p>
        </w:tc>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min=0.30, max=1.00</w:t>
            </w:r>
          </w:p>
        </w:tc>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[0.10, 1.00]</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Event magnitude calibration error</w:t>
            </w:r>
          </w:p>
        </w:tc>
      </w:tr>
      <w:tr>
        <w:tc>
          <w:tcPr>
            <w:tcW w:type="dxa" w:w="260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Projection score baseline</w:t>
            </w:r>
          </w:p>
        </w:tc>
        <w:tc>
          <w:tcPr>
            <w:tcW w:type="dxa" w:w="180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0.50</w:t>
            </w:r>
          </w:p>
        </w:tc>
        <w:tc>
          <w:tcPr>
            <w:tcW w:type="dxa" w:w="180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[0.30, 0.70]</w:t>
            </w:r>
          </w:p>
        </w:tc>
        <w:tc>
          <w:tcPr>
            <w:tcW w:type="dxa" w:w="316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Projection-score-vs-event-accuracy regression</w:t>
            </w:r>
          </w:p>
        </w:tc>
      </w:tr>
      <w:tr>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Event template magnitudes</w:t>
            </w:r>
          </w:p>
        </w:tc>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Per-type ranges (e.g., 3–12%)</w:t>
            </w:r>
          </w:p>
        </w:tc>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Cannot exceed 2x historical max realized</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Realized event price moves</w:t>
            </w:r>
          </w:p>
        </w:tc>
      </w:tr>
      <w:tr>
        <w:tc>
          <w:tcPr>
            <w:tcW w:type="dxa" w:w="260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Recency half-life (event_reasoner.py)</w:t>
            </w:r>
          </w:p>
        </w:tc>
        <w:tc>
          <w:tcPr>
            <w:tcW w:type="dxa" w:w="180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62 days</w:t>
            </w:r>
          </w:p>
        </w:tc>
        <w:tc>
          <w:tcPr>
            <w:tcW w:type="dxa" w:w="180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[30, 120] days</w:t>
            </w:r>
          </w:p>
        </w:tc>
        <w:tc>
          <w:tcPr>
            <w:tcW w:type="dxa" w:w="316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Event decay vs realized impact timing</w:t>
            </w:r>
          </w:p>
        </w:tc>
      </w:tr>
      <w:tr>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Type stack weights</w:t>
            </w:r>
          </w:p>
        </w:tc>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[1.0, 0.45, 0.20, 0.10, 0.05]</w:t>
            </w:r>
          </w:p>
        </w:tc>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Monotonically decreasing, first=1.0</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Per-type correlation of stacked events</w:t>
            </w:r>
          </w:p>
        </w:tc>
      </w:tr>
      <w:tr>
        <w:tc>
          <w:tcPr>
            <w:tcW w:type="dxa" w:w="260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Kelly fraction (position_sizing.py)</w:t>
            </w:r>
          </w:p>
        </w:tc>
        <w:tc>
          <w:tcPr>
            <w:tcW w:type="dxa" w:w="180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0.50</w:t>
            </w:r>
          </w:p>
        </w:tc>
        <w:tc>
          <w:tcPr>
            <w:tcW w:type="dxa" w:w="180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[0.25, 0.75]</w:t>
            </w:r>
          </w:p>
        </w:tc>
        <w:tc>
          <w:tcPr>
            <w:tcW w:type="dxa" w:w="316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Rolling Sharpe ratio of portfolio</w:t>
            </w:r>
          </w:p>
        </w:tc>
      </w:tr>
      <w:tr>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Max position size</w:t>
            </w:r>
          </w:p>
        </w:tc>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10%</w:t>
            </w:r>
          </w:p>
        </w:tc>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[5%, 20%]</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Max drawdown contribution per position</w:t>
            </w:r>
          </w:p>
        </w:tc>
      </w:tr>
      <w:tr>
        <w:tc>
          <w:tcPr>
            <w:tcW w:type="dxa" w:w="260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Terminal growth cap (target_engine.py)</w:t>
            </w:r>
          </w:p>
        </w:tc>
        <w:tc>
          <w:tcPr>
            <w:tcW w:type="dxa" w:w="180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2.5%</w:t>
            </w:r>
          </w:p>
        </w:tc>
        <w:tc>
          <w:tcPr>
            <w:tcW w:type="dxa" w:w="180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[1.5%, 3.5%]</w:t>
            </w:r>
          </w:p>
        </w:tc>
        <w:tc>
          <w:tcPr>
            <w:tcW w:type="dxa" w:w="316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Long-term GDP growth + inflation baseline</w:t>
            </w:r>
          </w:p>
        </w:tc>
      </w:tr>
      <w:tr>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WACC risk-free rate</w:t>
            </w:r>
          </w:p>
        </w:tc>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4.3%</w:t>
            </w:r>
          </w:p>
        </w:tc>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[market rate ±0.5%]</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Current 10-year Treasury yield (auto-fetch)</w:t>
            </w:r>
          </w:p>
        </w:tc>
      </w:tr>
      <w:tr>
        <w:tc>
          <w:tcPr>
            <w:tcW w:type="dxa" w:w="260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Sector unlevered betas</w:t>
            </w:r>
          </w:p>
        </w:tc>
        <w:tc>
          <w:tcPr>
            <w:tcW w:type="dxa" w:w="180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Per-sector (e.g., Semis=1.47)</w:t>
            </w:r>
          </w:p>
        </w:tc>
        <w:tc>
          <w:tcPr>
            <w:tcW w:type="dxa" w:w="180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Damodaran annual update</w:t>
            </w:r>
          </w:p>
        </w:tc>
        <w:tc>
          <w:tcPr>
            <w:tcW w:type="dxa" w:w="316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Fetch annually from Damodaran dataset</w:t>
            </w:r>
          </w:p>
        </w:tc>
      </w:tr>
      <w:tr>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Margin ramp years</w:t>
            </w:r>
          </w:p>
        </w:tc>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3 years (fixed)</w:t>
            </w:r>
          </w:p>
        </w:tc>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 7] per company</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Historical margin trajectory of similar companies</w:t>
            </w:r>
          </w:p>
        </w:tc>
      </w:tr>
    </w:tbl>
    <w:p>
      <w:r>
        <w:br w:type="page"/>
      </w:r>
    </w:p>
    <w:p>
      <w:pPr>
        <w:pStyle w:val="Heading1"/>
        <w:spacing w:after="200" w:line="276"/>
      </w:pPr>
      <w:r>
        <w:rPr>
          <w:rFonts w:ascii="Arial" w:cs="Arial" w:eastAsia="Arial" w:hAnsi="Arial"/>
          <w:b/>
          <w:bCs/>
          <w:color w:val="1B2A4A"/>
          <w:sz w:val="32"/>
          <w:szCs w:val="32"/>
        </w:rPr>
        <w:t xml:space="preserve">Part V: Implementation Roadmap</w:t>
      </w:r>
    </w:p>
    <w:p>
      <w:pPr>
        <w:spacing w:after="120" w:line="276"/>
      </w:pPr>
      <w:r>
        <w:rPr>
          <w:rFonts w:ascii="Arial" w:cs="Arial" w:eastAsia="Arial" w:hAnsi="Arial"/>
          <w:sz w:val="22"/>
          <w:szCs w:val="22"/>
        </w:rPr>
        <w:t xml:space="preserve">The roadmap is ordered by impact and dependency. Each phase builds on the previous one. The rigid layer must come first — without it, the learning loops have no guardrails.</w:t>
      </w:r>
    </w:p>
    <w:p>
      <w:pPr>
        <w:pStyle w:val="Heading2"/>
        <w:spacing w:after="160" w:line="276"/>
      </w:pPr>
      <w:r>
        <w:rPr>
          <w:rFonts w:ascii="Arial" w:cs="Arial" w:eastAsia="Arial" w:hAnsi="Arial"/>
          <w:b/>
          <w:bCs/>
          <w:color w:val="2E5090"/>
          <w:sz w:val="26"/>
          <w:szCs w:val="26"/>
        </w:rPr>
        <w:t xml:space="preserve">Phase 1: Contract Layer (Week 1–2)</w:t>
      </w:r>
    </w:p>
    <w:p>
      <w:pPr>
        <w:spacing w:after="120" w:line="276"/>
      </w:pPr>
      <w:r>
        <w:rPr>
          <w:rFonts w:ascii="Arial" w:cs="Arial" w:eastAsia="Arial" w:hAnsi="Arial"/>
          <w:b/>
          <w:bCs/>
          <w:sz w:val="22"/>
          <w:szCs w:val="22"/>
        </w:rPr>
        <w:t xml:space="preserve">Goal: </w:t>
      </w:r>
      <w:r>
        <w:rPr>
          <w:rFonts w:ascii="Arial" w:cs="Arial" w:eastAsia="Arial" w:hAnsi="Arial"/>
          <w:sz w:val="22"/>
          <w:szCs w:val="22"/>
        </w:rPr>
        <w:t xml:space="preserve">Make registry-fragmentation and data-contract bugs structurally impossible.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Task</w:t>
            </w:r>
          </w:p>
        </w:tc>
        <w:tc>
          <w:tcPr>
            <w:tcW w:type="dxa" w:w="468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Deliverable</w:t>
            </w:r>
          </w:p>
        </w:tc>
      </w:tr>
      <w:tr>
        <w:tc>
          <w:tcPr>
            <w:tcW w:type="dxa" w:w="468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Create shared/enums.py and shared/enums.ts with auto-sync</w:t>
            </w:r>
          </w:p>
        </w:tc>
        <w:tc>
          <w:tcPr>
            <w:tcW w:type="dxa" w:w="468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Single source for SCOUTS, VALUATION_METHODS, EVENT_TYPES, ARCHETYPES</w:t>
            </w:r>
          </w:p>
        </w:tc>
      </w:tr>
      <w:tr>
        <w:tc>
          <w:tcPr>
            <w:tcW w:type="dxa" w:w="468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Add Pydantic models for scout signal output</w:t>
            </w:r>
          </w:p>
        </w:tc>
        <w:tc>
          <w:tcPr>
            <w:tcW w:type="dxa" w:w="468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ScoutSignal, QuatData, FinancialMetrics validated at boundary</w:t>
            </w:r>
          </w:p>
        </w:tc>
      </w:tr>
      <w:tr>
        <w:tc>
          <w:tcPr>
            <w:tcW w:type="dxa" w:w="468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Add validation gates at all data ingestion points</w:t>
            </w:r>
          </w:p>
        </w:tc>
        <w:tc>
          <w:tcPr>
            <w:tcW w:type="dxa" w:w="468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reject_invalid_financial_data(), validate_model_output(), validate_event()</w:t>
            </w:r>
          </w:p>
        </w:tc>
      </w:tr>
      <w:tr>
        <w:tc>
          <w:tcPr>
            <w:tcW w:type="dxa" w:w="468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Add CI test: registry sync check</w:t>
            </w:r>
          </w:p>
        </w:tc>
        <w:tc>
          <w:tcPr>
            <w:tcW w:type="dxa" w:w="468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Fails build if any consumer file defines its own scout/archetype list</w:t>
            </w:r>
          </w:p>
        </w:tc>
      </w:tr>
      <w:tr>
        <w:tc>
          <w:tcPr>
            <w:tcW w:type="dxa" w:w="468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Remove watchlist.json as data source; Supabase is sole truth</w:t>
            </w:r>
          </w:p>
        </w:tc>
        <w:tc>
          <w:tcPr>
            <w:tcW w:type="dxa" w:w="468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utils.get_watchlist() reads only from DB; JSON kept as initial seed only</w:t>
            </w:r>
          </w:p>
        </w:tc>
      </w:tr>
    </w:tbl>
    <w:p>
      <w:pPr>
        <w:pStyle w:val="Heading2"/>
        <w:spacing w:after="160" w:line="276"/>
      </w:pPr>
      <w:r>
        <w:rPr>
          <w:rFonts w:ascii="Arial" w:cs="Arial" w:eastAsia="Arial" w:hAnsi="Arial"/>
          <w:b/>
          <w:bCs/>
          <w:color w:val="2E5090"/>
          <w:sz w:val="26"/>
          <w:szCs w:val="26"/>
        </w:rPr>
        <w:t xml:space="preserve">Phase 2: Observability Layer (Week 3)</w:t>
      </w:r>
    </w:p>
    <w:p>
      <w:pPr>
        <w:spacing w:after="120" w:line="276"/>
      </w:pPr>
      <w:r>
        <w:rPr>
          <w:rFonts w:ascii="Arial" w:cs="Arial" w:eastAsia="Arial" w:hAnsi="Arial"/>
          <w:b/>
          <w:bCs/>
          <w:sz w:val="22"/>
          <w:szCs w:val="22"/>
        </w:rPr>
        <w:t xml:space="preserve">Goal: </w:t>
      </w:r>
      <w:r>
        <w:rPr>
          <w:rFonts w:ascii="Arial" w:cs="Arial" w:eastAsia="Arial" w:hAnsi="Arial"/>
          <w:sz w:val="22"/>
          <w:szCs w:val="22"/>
        </w:rPr>
        <w:t xml:space="preserve">Make silent degradation impossible. Every scout failure, validation rejection, and data quality issue is visible on the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Task</w:t>
            </w:r>
          </w:p>
        </w:tc>
        <w:tc>
          <w:tcPr>
            <w:tcW w:type="dxa" w:w="468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Deliverable</w:t>
            </w:r>
          </w:p>
        </w:tc>
      </w:tr>
      <w:tr>
        <w:tc>
          <w:tcPr>
            <w:tcW w:type="dxa" w:w="468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Standardize ScoutResult return type for all scouts</w:t>
            </w:r>
          </w:p>
        </w:tc>
        <w:tc>
          <w:tcPr>
            <w:tcW w:type="dxa" w:w="468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success, signal_count, errors[], duration_s, api_calls_made</w:t>
            </w:r>
          </w:p>
        </w:tc>
      </w:tr>
      <w:tr>
        <w:tc>
          <w:tcPr>
            <w:tcW w:type="dxa" w:w="468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Add “Data Quality” panel to dashboard Health tab</w:t>
            </w:r>
          </w:p>
        </w:tc>
        <w:tc>
          <w:tcPr>
            <w:tcW w:type="dxa" w:w="468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Shows per-stock: which scouts contributed, which failed, data freshness</w:t>
            </w:r>
          </w:p>
        </w:tc>
      </w:tr>
      <w:tr>
        <w:tc>
          <w:tcPr>
            <w:tcW w:type="dxa" w:w="468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Add “Stale Data” badge on stock cards</w:t>
            </w:r>
          </w:p>
        </w:tc>
        <w:tc>
          <w:tcPr>
            <w:tcW w:type="dxa" w:w="468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If any critical scout (quant, news) is &gt;24h old, show warning badge</w:t>
            </w:r>
          </w:p>
        </w:tc>
      </w:tr>
      <w:tr>
        <w:tc>
          <w:tcPr>
            <w:tcW w:type="dxa" w:w="468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Log all validation gate rejections to Supabase</w:t>
            </w:r>
          </w:p>
        </w:tc>
        <w:tc>
          <w:tcPr>
            <w:tcW w:type="dxa" w:w="468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New table: validation_log (ticker, gate, reason, raw_value, timestamp)</w:t>
            </w:r>
          </w:p>
        </w:tc>
      </w:tr>
    </w:tbl>
    <w:p>
      <w:pPr>
        <w:pStyle w:val="Heading2"/>
        <w:spacing w:after="160" w:line="276"/>
      </w:pPr>
      <w:r>
        <w:rPr>
          <w:rFonts w:ascii="Arial" w:cs="Arial" w:eastAsia="Arial" w:hAnsi="Arial"/>
          <w:b/>
          <w:bCs/>
          <w:color w:val="2E5090"/>
          <w:sz w:val="26"/>
          <w:szCs w:val="26"/>
        </w:rPr>
        <w:t xml:space="preserve">Phase 3: Learning Loops (Week 4–6)</w:t>
      </w:r>
    </w:p>
    <w:p>
      <w:pPr>
        <w:spacing w:after="120" w:line="276"/>
      </w:pPr>
      <w:r>
        <w:rPr>
          <w:rFonts w:ascii="Arial" w:cs="Arial" w:eastAsia="Arial" w:hAnsi="Arial"/>
          <w:b/>
          <w:bCs/>
          <w:sz w:val="22"/>
          <w:szCs w:val="22"/>
        </w:rPr>
        <w:t xml:space="preserve">Goal: </w:t>
      </w:r>
      <w:r>
        <w:rPr>
          <w:rFonts w:ascii="Arial" w:cs="Arial" w:eastAsia="Arial" w:hAnsi="Arial"/>
          <w:sz w:val="22"/>
          <w:szCs w:val="22"/>
        </w:rPr>
        <w:t xml:space="preserve">Connect outcome data to parameter adjustment. Start with the two highest-impact loops.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Task</w:t>
            </w:r>
          </w:p>
        </w:tc>
        <w:tc>
          <w:tcPr>
            <w:tcW w:type="dxa" w:w="468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Deliverable</w:t>
            </w:r>
          </w:p>
        </w:tc>
      </w:tr>
      <w:tr>
        <w:tc>
          <w:tcPr>
            <w:tcW w:type="dxa" w:w="468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Build event_calibration.py</w:t>
            </w:r>
          </w:p>
        </w:tc>
        <w:tc>
          <w:tcPr>
            <w:tcW w:type="dxa" w:w="468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Compare predicted event magnitudes to realized price moves; update template ranges quarterly</w:t>
            </w:r>
          </w:p>
        </w:tc>
      </w:tr>
      <w:tr>
        <w:tc>
          <w:tcPr>
            <w:tcW w:type="dxa" w:w="468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Build target_convergence.py</w:t>
            </w:r>
          </w:p>
        </w:tc>
        <w:tc>
          <w:tcPr>
            <w:tcW w:type="dxa" w:w="468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Track calibration error by archetype/sector; identify systematic biases</w:t>
            </w:r>
          </w:p>
        </w:tc>
      </w:tr>
      <w:tr>
        <w:tc>
          <w:tcPr>
            <w:tcW w:type="dxa" w:w="468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Extend feedback_loop.py to all 9 scouts</w:t>
            </w:r>
          </w:p>
        </w:tc>
        <w:tc>
          <w:tcPr>
            <w:tcW w:type="dxa" w:w="468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IC-based weight adjustment with convergence scouts included</w:t>
            </w:r>
          </w:p>
        </w:tc>
      </w:tr>
      <w:tr>
        <w:tc>
          <w:tcPr>
            <w:tcW w:type="dxa" w:w="468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Build probability_calibration.py</w:t>
            </w:r>
          </w:p>
        </w:tc>
        <w:tc>
          <w:tcPr>
            <w:tcW w:type="dxa" w:w="468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Calibration curve for scenario probabilities; feed corrections into model generation prompt</w:t>
            </w:r>
          </w:p>
        </w:tc>
      </w:tr>
      <w:tr>
        <w:tc>
          <w:tcPr>
            <w:tcW w:type="dxa" w:w="468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Auto-fetch risk-free rate and sector betas</w:t>
            </w:r>
          </w:p>
        </w:tc>
        <w:tc>
          <w:tcPr>
            <w:tcW w:type="dxa" w:w="468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Monthly cron updates WACC parameters from Treasury API + Damodaran dataset</w:t>
            </w:r>
          </w:p>
        </w:tc>
      </w:tr>
    </w:tbl>
    <w:p>
      <w:pPr>
        <w:pStyle w:val="Heading2"/>
        <w:spacing w:after="160" w:line="276"/>
      </w:pPr>
      <w:r>
        <w:rPr>
          <w:rFonts w:ascii="Arial" w:cs="Arial" w:eastAsia="Arial" w:hAnsi="Arial"/>
          <w:b/>
          <w:bCs/>
          <w:color w:val="2E5090"/>
          <w:sz w:val="26"/>
          <w:szCs w:val="26"/>
        </w:rPr>
        <w:t xml:space="preserve">Phase 4: Prompt Evolution (Week 7–8)</w:t>
      </w:r>
    </w:p>
    <w:p>
      <w:pPr>
        <w:spacing w:after="120" w:line="276"/>
      </w:pPr>
      <w:r>
        <w:rPr>
          <w:rFonts w:ascii="Arial" w:cs="Arial" w:eastAsia="Arial" w:hAnsi="Arial"/>
          <w:b/>
          <w:bCs/>
          <w:sz w:val="22"/>
          <w:szCs w:val="22"/>
        </w:rPr>
        <w:t xml:space="preserve">Goal: </w:t>
      </w:r>
      <w:r>
        <w:rPr>
          <w:rFonts w:ascii="Arial" w:cs="Arial" w:eastAsia="Arial" w:hAnsi="Arial"/>
          <w:sz w:val="22"/>
          <w:szCs w:val="22"/>
        </w:rPr>
        <w:t xml:space="preserve">Make LLM prompts a living system that incorporates historical examples and A/B tests improvements.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Task</w:t>
            </w:r>
          </w:p>
        </w:tc>
        <w:tc>
          <w:tcPr>
            <w:tcW w:type="dxa" w:w="468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Deliverable</w:t>
            </w:r>
          </w:p>
        </w:tc>
      </w:tr>
      <w:tr>
        <w:tc>
          <w:tcPr>
            <w:tcW w:type="dxa" w:w="468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Build prompt_registry.py</w:t>
            </w:r>
          </w:p>
        </w:tc>
        <w:tc>
          <w:tcPr>
            <w:tcW w:type="dxa" w:w="468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Versioned prompt storage with metadata (created_at, accuracy_score, sample_size)</w:t>
            </w:r>
          </w:p>
        </w:tc>
      </w:tr>
      <w:tr>
        <w:tc>
          <w:tcPr>
            <w:tcW w:type="dxa" w:w="468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Add few-shot examples to event_reasoner prompt</w:t>
            </w:r>
          </w:p>
        </w:tc>
        <w:tc>
          <w:tcPr>
            <w:tcW w:type="dxa" w:w="468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Curated from event_calibration: 3 accurate + 2 inaccurate examples per event type</w:t>
            </w:r>
          </w:p>
        </w:tc>
      </w:tr>
      <w:tr>
        <w:tc>
          <w:tcPr>
            <w:tcW w:type="dxa" w:w="468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Add hallucination counter-examples to scout prompts</w:t>
            </w:r>
          </w:p>
        </w:tc>
        <w:tc>
          <w:tcPr>
            <w:tcW w:type="dxa" w:w="4680"/>
            <w:tcBorders>
              <w:top w:val="single" w:color="D0D0D0" w:sz="1"/>
              <w:left w:val="single" w:color="D0D0D0" w:sz="1"/>
              <w:bottom w:val="single" w:color="D0D0D0" w:sz="1"/>
              <w:right w:val="single" w:color="D0D0D0" w:sz="1"/>
            </w:tcBorders>
            <w:shd w:fill="F5F7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Specific examples of things Claude/Perplexity should NOT report</w:t>
            </w:r>
          </w:p>
        </w:tc>
      </w:tr>
      <w:tr>
        <w:tc>
          <w:tcPr>
            <w:tcW w:type="dxa" w:w="468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Build prompt_ab_test.py</w:t>
            </w:r>
          </w:p>
        </w:tc>
        <w:tc>
          <w:tcPr>
            <w:tcW w:type="dxa" w:w="468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20% random assignment to variant; promote winner after 30-day evaluation</w:t>
            </w:r>
          </w:p>
        </w:tc>
      </w:tr>
    </w:tbl>
    <w:p>
      <w:r>
        <w:br w:type="page"/>
      </w:r>
    </w:p>
    <w:p>
      <w:pPr>
        <w:pStyle w:val="Heading1"/>
        <w:spacing w:after="200" w:line="276"/>
      </w:pPr>
      <w:r>
        <w:rPr>
          <w:rFonts w:ascii="Arial" w:cs="Arial" w:eastAsia="Arial" w:hAnsi="Arial"/>
          <w:b/>
          <w:bCs/>
          <w:color w:val="1B2A4A"/>
          <w:sz w:val="32"/>
          <w:szCs w:val="32"/>
        </w:rPr>
        <w:t xml:space="preserve">Conclusion: The Meta-Principle</w:t>
      </w:r>
    </w:p>
    <w:p>
      <w:pPr>
        <w:spacing w:after="120" w:line="276"/>
      </w:pPr>
      <w:r>
        <w:rPr>
          <w:rFonts w:ascii="Arial" w:cs="Arial" w:eastAsia="Arial" w:hAnsi="Arial"/>
          <w:sz w:val="22"/>
          <w:szCs w:val="22"/>
        </w:rPr>
        <w:t xml:space="preserve">The architecture of a self-improving AI agent system can be summarized in one sentence:</w:t>
      </w:r>
    </w:p>
    <w:p>
      <w:pPr>
        <w:spacing w:after="240" w:line="276"/>
        <w:jc w:val="center"/>
      </w:pPr>
      <w:r>
        <w:rPr>
          <w:rFonts w:ascii="Arial" w:cs="Arial" w:eastAsia="Arial" w:hAnsi="Arial"/>
          <w:b/>
          <w:bCs/>
          <w:color w:val="2E5090"/>
          <w:sz w:val="26"/>
          <w:szCs w:val="26"/>
        </w:rPr>
        <w:t xml:space="preserve">Rigid interfaces, evolving implementations.</w:t>
      </w:r>
    </w:p>
    <w:p>
      <w:pPr>
        <w:spacing w:after="120" w:line="276"/>
      </w:pPr>
      <w:r>
        <w:rPr>
          <w:rFonts w:ascii="Arial" w:cs="Arial" w:eastAsia="Arial" w:hAnsi="Arial"/>
          <w:sz w:val="22"/>
          <w:szCs w:val="22"/>
        </w:rPr>
        <w:t xml:space="preserve">The contract between the analyst and the dashboard should be ironclad and tested. What the analyst does to produce those numbers can get smarter over time. The schema for a scout signal should be fixed and validated. How each scout generates that signal can learn and adapt. The bounds on event impact magnitudes should be enforced at runtime. The magnitudes within those bounds should calibrate against realized outcomes.</w:t>
      </w:r>
    </w:p>
    <w:p>
      <w:pPr>
        <w:spacing w:after="120" w:line="276"/>
      </w:pPr>
      <w:r>
        <w:rPr>
          <w:rFonts w:ascii="Arial" w:cs="Arial" w:eastAsia="Arial" w:hAnsi="Arial"/>
          <w:sz w:val="22"/>
          <w:szCs w:val="22"/>
        </w:rPr>
        <w:t xml:space="preserve">Stock Radar already has the hardest part built: the outcome tracking infrastructure. prediction_log, prediction_outcomes, signal_outcomes, and scout_accuracy tables collectively form a comprehensive training dataset. The system faithfully records what it predicted and what actually happened. The missing piece is the feedback wire — the code that reads those outcomes and adjusts the parameters that produced the predictions.</w:t>
      </w:r>
    </w:p>
    <w:p>
      <w:pPr>
        <w:spacing w:after="120" w:line="276"/>
      </w:pPr>
      <w:r>
        <w:rPr>
          <w:rFonts w:ascii="Arial" w:cs="Arial" w:eastAsia="Arial" w:hAnsi="Arial"/>
          <w:sz w:val="22"/>
          <w:szCs w:val="22"/>
        </w:rPr>
        <w:t xml:space="preserve">Building that wire, on top of a rigid contract layer that prevents structural incoherence, transforms Stock Radar from a system that works to a system that improves.</w:t>
      </w:r>
    </w:p>
    <w:p>
      <w:pPr>
        <w:spacing w:after="200" w:line="276"/>
      </w:pPr>
      <w:r>
        <w:rPr>
          <w:rFonts w:ascii="Arial" w:cs="Arial" w:eastAsia="Arial" w:hAnsi="Arial"/>
          <w:sz w:val="22"/>
          <w:szCs w:val="22"/>
        </w:rPr>
        <w:t xml:space="preserve"/>
      </w:r>
    </w:p>
    <w:p>
      <w:pPr>
        <w:pBdr>
          <w:bottom w:val="single" w:color="2E5090" w:sz="6" w:space="1"/>
        </w:pBdr>
      </w:pPr>
    </w:p>
    <w:p>
      <w:pPr>
        <w:spacing w:after="100" w:line="276"/>
      </w:pPr>
      <w:r>
        <w:rPr>
          <w:rFonts w:ascii="Arial" w:cs="Arial" w:eastAsia="Arial" w:hAnsi="Arial"/>
          <w:sz w:val="22"/>
          <w:szCs w:val="22"/>
        </w:rPr>
        <w:t xml:space="preserve"/>
      </w:r>
    </w:p>
    <w:p>
      <w:pPr>
        <w:spacing w:after="120" w:line="276"/>
        <w:jc w:val="center"/>
      </w:pPr>
      <w:r>
        <w:rPr>
          <w:rFonts w:ascii="Arial" w:cs="Arial" w:eastAsia="Arial" w:hAnsi="Arial"/>
          <w:color w:val="999999"/>
          <w:sz w:val="20"/>
          <w:szCs w:val="20"/>
        </w:rPr>
        <w:t xml:space="preserve">End of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jc w:val="right"/>
    </w:pPr>
    <w:r>
      <w:rPr>
        <w:rFonts w:ascii="Arial" w:cs="Arial" w:eastAsia="Arial" w:hAnsi="Arial"/>
        <w:color w:val="999999"/>
        <w:sz w:val="16"/>
        <w:szCs w:val="16"/>
      </w:rPr>
      <w:t xml:space="preserve">Stock Radar — Architecture Resilience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090"/>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2026-04-25T02:28:00.033Z</dcterms:created>
  <dcterms:modified xsi:type="dcterms:W3CDTF">2026-04-25T02:28:00.034Z</dcterms:modified>
</cp:coreProperties>
</file>

<file path=docProps/custom.xml><?xml version="1.0" encoding="utf-8"?>
<Properties xmlns="http://schemas.openxmlformats.org/officeDocument/2006/custom-properties" xmlns:vt="http://schemas.openxmlformats.org/officeDocument/2006/docPropsVTypes"/>
</file>