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2400"/>
      </w:pPr>
    </w:p>
    <w:p>
      <w:pPr>
        <w:jc w:val="center"/>
      </w:pPr>
      <w:r>
        <w:rPr>
          <w:rFonts w:ascii="Arial" w:cs="Arial" w:eastAsia="Arial" w:hAnsi="Arial"/>
          <w:b/>
          <w:bCs/>
          <w:color w:val="1B4F72"/>
          <w:sz w:val="72"/>
          <w:szCs w:val="72"/>
        </w:rPr>
        <w:t xml:space="preserve">STOCK RADAR</w:t>
      </w:r>
    </w:p>
    <w:p>
      <w:pPr>
        <w:spacing w:after="100" w:before="100"/>
      </w:pPr>
    </w:p>
    <w:p>
      <w:pPr>
        <w:jc w:val="center"/>
      </w:pPr>
      <w:r>
        <w:rPr>
          <w:rFonts w:ascii="Arial" w:cs="Arial" w:eastAsia="Arial" w:hAnsi="Arial"/>
          <w:color w:val="2E86C1"/>
          <w:sz w:val="32"/>
          <w:szCs w:val="32"/>
        </w:rPr>
        <w:t xml:space="preserve">System Architecture &amp; Technical Report</w:t>
      </w:r>
    </w:p>
    <w:p>
      <w:pPr>
        <w:spacing w:after="400" w:before="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vAlign w:val="center"/>
          </w:tcPr>
          <w:p>
            <w:pPr>
              <w:jc w:val="center"/>
            </w:pPr>
            <w:r>
              <w:rPr>
                <w:rFonts w:ascii="Arial" w:cs="Arial" w:eastAsia="Arial" w:hAnsi="Arial"/>
                <w:color w:val="566573"/>
                <w:sz w:val="22"/>
                <w:szCs w:val="22"/>
              </w:rPr>
              <w:t xml:space="preserve">AI-Powered Investment Research Platform</w:t>
            </w:r>
          </w:p>
          <w:p>
            <w:pPr>
              <w:jc w:val="center"/>
            </w:pPr>
            <w:r>
              <w:rPr>
                <w:rFonts w:ascii="Arial" w:cs="Arial" w:eastAsia="Arial" w:hAnsi="Arial"/>
                <w:color w:val="7F8C8D"/>
                <w:sz w:val="20"/>
                <w:szCs w:val="20"/>
              </w:rPr>
              <w:t xml:space="preserve">50 Stocks | 10 Scouts | 5 Archetypes | 3 Valuation Methods</w:t>
            </w:r>
          </w:p>
          <w:p>
            <w:pPr>
              <w:jc w:val="center"/>
            </w:pPr>
            <w:r>
              <w:rPr>
                <w:rFonts w:ascii="Arial" w:cs="Arial" w:eastAsia="Arial" w:hAnsi="Arial"/>
                <w:color w:val="7F8C8D"/>
                <w:sz w:val="20"/>
                <w:szCs w:val="20"/>
              </w:rPr>
              <w:t xml:space="preserve">Daily Automated Pipeline with Institutional-Grade DCF Engine</w:t>
            </w:r>
          </w:p>
        </w:tc>
      </w:tr>
    </w:tbl>
    <w:p>
      <w:pPr>
        <w:spacing w:after="600" w:before="600"/>
      </w:pPr>
    </w:p>
    <w:p>
      <w:pPr>
        <w:jc w:val="center"/>
      </w:pPr>
      <w:r>
        <w:rPr>
          <w:rFonts w:ascii="Arial" w:cs="Arial" w:eastAsia="Arial" w:hAnsi="Arial"/>
          <w:color w:val="7F8C8D"/>
          <w:sz w:val="22"/>
          <w:szCs w:val="22"/>
        </w:rPr>
        <w:t xml:space="preserve">Prepared: April 25, 2026</w:t>
      </w:r>
    </w:p>
    <w:p>
      <w:pPr>
        <w:jc w:val="center"/>
      </w:pPr>
      <w:r>
        <w:rPr>
          <w:rFonts w:ascii="Arial" w:cs="Arial" w:eastAsia="Arial" w:hAnsi="Arial"/>
          <w:color w:val="95A5A6"/>
          <w:sz w:val="20"/>
          <w:szCs w:val="20"/>
        </w:rPr>
        <w:t xml:space="preserve">Classification: Internal / Confidential</w:t>
      </w:r>
    </w:p>
    <w:p>
      <w:pPr>
        <w:jc w:val="center"/>
      </w:pPr>
      <w:r>
        <w:rPr>
          <w:rFonts w:ascii="Arial" w:cs="Arial" w:eastAsia="Arial" w:hAnsi="Arial"/>
          <w:color w:val="95A5A6"/>
          <w:sz w:val="20"/>
          <w:szCs w:val="20"/>
        </w:rPr>
        <w:t xml:space="preserve">Version 2.0</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sz w:val="22"/>
          <w:szCs w:val="22"/>
        </w:rPr>
        <w:t xml:space="preserve">Table of Contents</w:t>
      </w:r>
    </w:p>
    <w:p>
      <w:pPr>
        <w:spacing w:after="100" w:before="100"/>
      </w:pPr>
    </w:p>
    <w:p>
      <w:pPr>
        <w:spacing w:after="80" w:before="80"/>
      </w:pPr>
      <w:r>
        <w:rPr>
          <w:rFonts w:ascii="Arial" w:cs="Arial" w:eastAsia="Arial" w:hAnsi="Arial"/>
          <w:sz w:val="22"/>
          <w:szCs w:val="22"/>
        </w:rPr>
        <w:t xml:space="preserve">1. System Architecture Overview</w:t>
      </w:r>
    </w:p>
    <w:p>
      <w:pPr>
        <w:spacing w:after="80" w:before="80"/>
      </w:pPr>
      <w:r>
        <w:rPr>
          <w:rFonts w:ascii="Arial" w:cs="Arial" w:eastAsia="Arial" w:hAnsi="Arial"/>
          <w:sz w:val="22"/>
          <w:szCs w:val="22"/>
        </w:rPr>
        <w:t xml:space="preserve">2. Data Flow Pipeline</w:t>
      </w:r>
    </w:p>
    <w:p>
      <w:pPr>
        <w:spacing w:after="80" w:before="80"/>
      </w:pPr>
      <w:r>
        <w:rPr>
          <w:rFonts w:ascii="Arial" w:cs="Arial" w:eastAsia="Arial" w:hAnsi="Arial"/>
          <w:sz w:val="22"/>
          <w:szCs w:val="22"/>
        </w:rPr>
        <w:t xml:space="preserve">3. Scout Modules (Signal Collection Layer)</w:t>
      </w:r>
    </w:p>
    <w:p>
      <w:pPr>
        <w:spacing w:after="80" w:before="80"/>
      </w:pPr>
      <w:r>
        <w:rPr>
          <w:rFonts w:ascii="Arial" w:cs="Arial" w:eastAsia="Arial" w:hAnsi="Arial"/>
          <w:sz w:val="22"/>
          <w:szCs w:val="22"/>
        </w:rPr>
        <w:t xml:space="preserve">4. Analyst Engine (Aggregation Layer)</w:t>
      </w:r>
    </w:p>
    <w:p>
      <w:pPr>
        <w:spacing w:after="80" w:before="80"/>
      </w:pPr>
      <w:r>
        <w:rPr>
          <w:rFonts w:ascii="Arial" w:cs="Arial" w:eastAsia="Arial" w:hAnsi="Arial"/>
          <w:sz w:val="22"/>
          <w:szCs w:val="22"/>
        </w:rPr>
        <w:t xml:space="preserve">5. Target Engine (Valuation Layer)</w:t>
      </w:r>
    </w:p>
    <w:p>
      <w:pPr>
        <w:spacing w:after="80" w:before="80"/>
      </w:pPr>
      <w:r>
        <w:rPr>
          <w:rFonts w:ascii="Arial" w:cs="Arial" w:eastAsia="Arial" w:hAnsi="Arial"/>
          <w:sz w:val="22"/>
          <w:szCs w:val="22"/>
        </w:rPr>
        <w:t xml:space="preserve">6. Archetype Classification System</w:t>
      </w:r>
    </w:p>
    <w:p>
      <w:pPr>
        <w:spacing w:after="80" w:before="80"/>
      </w:pPr>
      <w:r>
        <w:rPr>
          <w:rFonts w:ascii="Arial" w:cs="Arial" w:eastAsia="Arial" w:hAnsi="Arial"/>
          <w:sz w:val="22"/>
          <w:szCs w:val="22"/>
        </w:rPr>
        <w:t xml:space="preserve">7. Event Reasoner &amp; Impact Estimation</w:t>
      </w:r>
    </w:p>
    <w:p>
      <w:pPr>
        <w:spacing w:after="80" w:before="80"/>
      </w:pPr>
      <w:r>
        <w:rPr>
          <w:rFonts w:ascii="Arial" w:cs="Arial" w:eastAsia="Arial" w:hAnsi="Arial"/>
          <w:sz w:val="22"/>
          <w:szCs w:val="22"/>
        </w:rPr>
        <w:t xml:space="preserve">8. Confidence Propagation Chain</w:t>
      </w:r>
    </w:p>
    <w:p>
      <w:pPr>
        <w:spacing w:after="80" w:before="80"/>
      </w:pPr>
      <w:r>
        <w:rPr>
          <w:rFonts w:ascii="Arial" w:cs="Arial" w:eastAsia="Arial" w:hAnsi="Arial"/>
          <w:sz w:val="22"/>
          <w:szCs w:val="22"/>
        </w:rPr>
        <w:t xml:space="preserve">9. Feedback Loop &amp; Calibration</w:t>
      </w:r>
    </w:p>
    <w:p>
      <w:pPr>
        <w:spacing w:after="80" w:before="80"/>
      </w:pPr>
      <w:r>
        <w:rPr>
          <w:rFonts w:ascii="Arial" w:cs="Arial" w:eastAsia="Arial" w:hAnsi="Arial"/>
          <w:sz w:val="22"/>
          <w:szCs w:val="22"/>
        </w:rPr>
        <w:t xml:space="preserve">10. Kill Condition Evaluation</w:t>
      </w:r>
    </w:p>
    <w:p>
      <w:pPr>
        <w:spacing w:after="80" w:before="80"/>
      </w:pPr>
      <w:r>
        <w:rPr>
          <w:rFonts w:ascii="Arial" w:cs="Arial" w:eastAsia="Arial" w:hAnsi="Arial"/>
          <w:sz w:val="22"/>
          <w:szCs w:val="22"/>
        </w:rPr>
        <w:t xml:space="preserve">11. Forward Drivers &amp; Target Blending</w:t>
      </w:r>
    </w:p>
    <w:p>
      <w:pPr>
        <w:spacing w:after="80" w:before="80"/>
      </w:pPr>
      <w:r>
        <w:rPr>
          <w:rFonts w:ascii="Arial" w:cs="Arial" w:eastAsia="Arial" w:hAnsi="Arial"/>
          <w:sz w:val="22"/>
          <w:szCs w:val="22"/>
        </w:rPr>
        <w:t xml:space="preserve">12. Frontend &amp; Dashboard</w:t>
      </w:r>
    </w:p>
    <w:p>
      <w:pPr>
        <w:spacing w:after="80" w:before="80"/>
      </w:pPr>
      <w:r>
        <w:rPr>
          <w:rFonts w:ascii="Arial" w:cs="Arial" w:eastAsia="Arial" w:hAnsi="Arial"/>
          <w:sz w:val="22"/>
          <w:szCs w:val="22"/>
        </w:rPr>
        <w:t xml:space="preserve">13. Observability &amp; Logging</w:t>
      </w:r>
    </w:p>
    <w:p>
      <w:pPr>
        <w:spacing w:after="80" w:before="80"/>
      </w:pPr>
      <w:r>
        <w:rPr>
          <w:rFonts w:ascii="Arial" w:cs="Arial" w:eastAsia="Arial" w:hAnsi="Arial"/>
          <w:sz w:val="22"/>
          <w:szCs w:val="22"/>
        </w:rPr>
        <w:t xml:space="preserve">14. Key Thresholds &amp; Parameters</w:t>
      </w:r>
    </w:p>
    <w:p>
      <w:pPr>
        <w:spacing w:after="80" w:before="80"/>
      </w:pPr>
      <w:r>
        <w:rPr>
          <w:rFonts w:ascii="Arial" w:cs="Arial" w:eastAsia="Arial" w:hAnsi="Arial"/>
          <w:sz w:val="22"/>
          <w:szCs w:val="22"/>
        </w:rPr>
        <w:t xml:space="preserve">15. Watchlist Composition</w:t>
      </w:r>
    </w:p>
    <w:p>
      <w:pPr>
        <w:spacing w:after="80" w:before="80"/>
      </w:pPr>
      <w:r>
        <w:rPr>
          <w:rFonts w:ascii="Arial" w:cs="Arial" w:eastAsia="Arial" w:hAnsi="Arial"/>
          <w:sz w:val="22"/>
          <w:szCs w:val="22"/>
        </w:rPr>
        <w:t xml:space="preserve">16. System Assessment</w:t>
      </w:r>
    </w:p>
    <w:p>
      <w:r>
        <w:br w:type="page"/>
      </w:r>
    </w:p>
    <w:p>
      <w:pPr>
        <w:pStyle w:val="Heading1"/>
      </w:pPr>
      <w:r>
        <w:rPr>
          <w:rFonts w:ascii="Arial" w:cs="Arial" w:eastAsia="Arial" w:hAnsi="Arial"/>
          <w:sz w:val="22"/>
          <w:szCs w:val="22"/>
        </w:rPr>
        <w:t xml:space="preserve">1. System Architecture Overview</w:t>
      </w:r>
    </w:p>
    <w:p>
      <w:pPr>
        <w:spacing w:after="80" w:before="80"/>
      </w:pPr>
      <w:r>
        <w:rPr>
          <w:rFonts w:ascii="Arial" w:cs="Arial" w:eastAsia="Arial" w:hAnsi="Arial"/>
          <w:sz w:val="22"/>
          <w:szCs w:val="22"/>
        </w:rPr>
        <w:t xml:space="preserve">Stock Radar is a full-stack AI investment research platform that combines 10 independent scout modules, an analyst aggregation layer, an institutional-grade DCF valuation engine, and an interactive Next.js dashboard. The system runs a daily automated pipeline that gathers signals from diverse data sources, generates probability-weighted price targets, evaluates thesis-break risks, and surfaces conviction-ranked stocks.</w:t>
      </w:r>
    </w:p>
    <w:p>
      <w:pPr>
        <w:spacing w:after="80" w:before="80"/>
      </w:pPr>
      <w:r>
        <w:rPr>
          <w:rFonts w:ascii="Arial" w:cs="Arial" w:eastAsia="Arial" w:hAnsi="Arial"/>
          <w:sz w:val="22"/>
          <w:szCs w:val="22"/>
        </w:rPr>
        <w:t xml:space="preserve">The architecture follows a three-stage pipeline pattern: Signal Collection (scouts), Signal Processing (analyst + engine), and Signal Delivery (dashboard + API). Each stage has circuit breakers at its boundaries to prevent cascade failures.</w:t>
      </w:r>
    </w:p>
    <w:p>
      <w:pPr>
        <w:spacing w:after="100" w:before="100"/>
      </w:pPr>
    </w:p>
    <w:p>
      <w:pPr>
        <w:pStyle w:val="Heading2"/>
      </w:pPr>
      <w:r>
        <w:rPr>
          <w:rFonts w:ascii="Arial" w:cs="Arial" w:eastAsia="Arial" w:hAnsi="Arial"/>
          <w:sz w:val="22"/>
          <w:szCs w:val="22"/>
        </w:rPr>
        <w:t xml:space="preserve">System Component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600"/>
        <w:gridCol w:w="2300"/>
        <w:gridCol w:w="600"/>
        <w:gridCol w:w="2200"/>
        <w:gridCol w:w="1860"/>
      </w:tblGrid>
      <w:tr>
        <w:tc>
          <w:tcPr>
            <w:tcW w:type="dxa" w:w="180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SCOUTS (10)</w:t>
            </w:r>
          </w:p>
        </w:tc>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c>
          <w:tcPr>
            <w:tcW w:type="dxa" w:w="230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CORE ENGINE</w:t>
            </w:r>
          </w:p>
        </w:tc>
        <w:tc>
          <w:tcPr>
            <w:tcW w:type="dxa" w:w="60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c>
          <w:tcPr>
            <w:tcW w:type="dxa" w:w="2200"/>
            <w:tcBorders>
              <w:top w:val="none" w:color="FFFFFF" w:sz="0"/>
              <w:left w:val="none" w:color="FFFFFF" w:sz="0"/>
              <w:bottom w:val="none" w:color="FFFFFF" w:sz="0"/>
              <w:right w:val="none" w:color="FFFFFF" w:sz="0"/>
            </w:tcBorders>
            <w:shd w:fill="EBF5FB" w:val="clear"/>
            <w:tcMar>
              <w:top w:type="dxa" w:w="60"/>
              <w:left w:type="dxa" w:w="100"/>
              <w:bottom w:type="dxa" w:w="60"/>
              <w:right w:type="dxa" w:w="100"/>
            </w:tcMar>
            <w:vAlign w:val="center"/>
          </w:tcPr>
          <w:p>
            <w:pPr>
              <w:jc w:val="center"/>
            </w:pPr>
            <w:r>
              <w:rPr>
                <w:rFonts w:ascii="Arial" w:cs="Arial" w:eastAsia="Arial" w:hAnsi="Arial"/>
                <w:b/>
                <w:bCs/>
                <w:color w:val="1B4F72"/>
                <w:sz w:val="20"/>
                <w:szCs w:val="20"/>
              </w:rPr>
              <w:t xml:space="preserve">OUTPUTS</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r>
      <w:tr>
        <w:tc>
          <w:tcPr>
            <w:tcW w:type="dxa" w:w="1800"/>
            <w:tcBorders>
              <w:top w:val="none" w:color="FFFFFF" w:sz="0"/>
              <w:left w:val="none" w:color="FFFFFF" w:sz="0"/>
              <w:bottom w:val="none" w:color="FFFFFF" w:sz="0"/>
              <w:right w:val="none" w:color="FFFFFF" w:sz="0"/>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Quant</w:t>
            </w:r>
          </w:p>
          <w:p>
            <w:pPr>
              <w:jc w:val="center"/>
            </w:pPr>
            <w:r>
              <w:rPr>
                <w:rFonts w:ascii="Arial" w:cs="Arial" w:eastAsia="Arial" w:hAnsi="Arial"/>
                <w:color w:val="AED6F1"/>
                <w:sz w:val="14"/>
                <w:szCs w:val="14"/>
              </w:rPr>
              <w:t xml:space="preserve">Free / EODHD</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300"/>
            <w:tcBorders>
              <w:top w:val="none" w:color="FFFFFF" w:sz="0"/>
              <w:left w:val="none" w:color="FFFFFF" w:sz="0"/>
              <w:bottom w:val="none" w:color="FFFFFF" w:sz="0"/>
              <w:right w:val="none" w:color="FFFFFF" w:sz="0"/>
            </w:tcBorders>
            <w:shd w:fill="1543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Analyst</w:t>
            </w:r>
          </w:p>
          <w:p>
            <w:pPr>
              <w:jc w:val="center"/>
            </w:pPr>
            <w:r>
              <w:rPr>
                <w:rFonts w:ascii="Arial" w:cs="Arial" w:eastAsia="Arial" w:hAnsi="Arial"/>
                <w:color w:val="AED6F1"/>
                <w:sz w:val="14"/>
                <w:szCs w:val="14"/>
              </w:rPr>
              <w:t xml:space="preserve">Composite scoring</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2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Dashboard</w:t>
            </w:r>
          </w:p>
          <w:p>
            <w:pPr>
              <w:jc w:val="center"/>
            </w:pPr>
            <w:r>
              <w:rPr>
                <w:rFonts w:ascii="Arial" w:cs="Arial" w:eastAsia="Arial" w:hAnsi="Arial"/>
                <w:color w:val="AED6F1"/>
                <w:sz w:val="14"/>
                <w:szCs w:val="14"/>
              </w:rPr>
              <w:t xml:space="preserve">Next.js + React</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r>
      <w:tr>
        <w:tc>
          <w:tcPr>
            <w:tcW w:type="dxa" w:w="1800"/>
            <w:tcBorders>
              <w:top w:val="none" w:color="FFFFFF" w:sz="0"/>
              <w:left w:val="none" w:color="FFFFFF" w:sz="0"/>
              <w:bottom w:val="none" w:color="FFFFFF" w:sz="0"/>
              <w:right w:val="none" w:color="FFFFFF" w:sz="0"/>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News</w:t>
            </w:r>
          </w:p>
          <w:p>
            <w:pPr>
              <w:jc w:val="center"/>
            </w:pPr>
            <w:r>
              <w:rPr>
                <w:rFonts w:ascii="Arial" w:cs="Arial" w:eastAsia="Arial" w:hAnsi="Arial"/>
                <w:color w:val="AED6F1"/>
                <w:sz w:val="14"/>
                <w:szCs w:val="14"/>
              </w:rPr>
              <w:t xml:space="preserve">Perplexity</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300"/>
            <w:tcBorders>
              <w:top w:val="none" w:color="FFFFFF" w:sz="0"/>
              <w:left w:val="none" w:color="FFFFFF" w:sz="0"/>
              <w:bottom w:val="none" w:color="FFFFFF" w:sz="0"/>
              <w:right w:val="none" w:color="FFFFFF" w:sz="0"/>
            </w:tcBorders>
            <w:shd w:fill="1543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Engine</w:t>
            </w:r>
          </w:p>
          <w:p>
            <w:pPr>
              <w:jc w:val="center"/>
            </w:pPr>
            <w:r>
              <w:rPr>
                <w:rFonts w:ascii="Arial" w:cs="Arial" w:eastAsia="Arial" w:hAnsi="Arial"/>
                <w:color w:val="AED6F1"/>
                <w:sz w:val="14"/>
                <w:szCs w:val="14"/>
              </w:rPr>
              <w:t xml:space="preserve">DCF valuation</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2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 UI</w:t>
            </w:r>
          </w:p>
          <w:p>
            <w:pPr>
              <w:jc w:val="center"/>
            </w:pPr>
            <w:r>
              <w:rPr>
                <w:rFonts w:ascii="Arial" w:cs="Arial" w:eastAsia="Arial" w:hAnsi="Arial"/>
                <w:color w:val="AED6F1"/>
                <w:sz w:val="14"/>
                <w:szCs w:val="14"/>
              </w:rPr>
              <w:t xml:space="preserve">Interactive sliders</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r>
      <w:tr>
        <w:tc>
          <w:tcPr>
            <w:tcW w:type="dxa" w:w="1800"/>
            <w:tcBorders>
              <w:top w:val="none" w:color="FFFFFF" w:sz="0"/>
              <w:left w:val="none" w:color="FFFFFF" w:sz="0"/>
              <w:bottom w:val="none" w:color="FFFFFF" w:sz="0"/>
              <w:right w:val="none" w:color="FFFFFF" w:sz="0"/>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Catalyst</w:t>
            </w:r>
          </w:p>
          <w:p>
            <w:pPr>
              <w:jc w:val="center"/>
            </w:pPr>
            <w:r>
              <w:rPr>
                <w:rFonts w:ascii="Arial" w:cs="Arial" w:eastAsia="Arial" w:hAnsi="Arial"/>
                <w:color w:val="AED6F1"/>
                <w:sz w:val="14"/>
                <w:szCs w:val="14"/>
              </w:rPr>
              <w:t xml:space="preserve">Perplexity</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300"/>
            <w:tcBorders>
              <w:top w:val="none" w:color="FFFFFF" w:sz="0"/>
              <w:left w:val="none" w:color="FFFFFF" w:sz="0"/>
              <w:bottom w:val="none" w:color="FFFFFF" w:sz="0"/>
              <w:right w:val="none" w:color="FFFFFF" w:sz="0"/>
            </w:tcBorders>
            <w:shd w:fill="1543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Event Reasoner</w:t>
            </w:r>
          </w:p>
          <w:p>
            <w:pPr>
              <w:jc w:val="center"/>
            </w:pPr>
            <w:r>
              <w:rPr>
                <w:rFonts w:ascii="Arial" w:cs="Arial" w:eastAsia="Arial" w:hAnsi="Arial"/>
                <w:color w:val="AED6F1"/>
                <w:sz w:val="14"/>
                <w:szCs w:val="14"/>
              </w:rPr>
              <w:t xml:space="preserve">Impact estimation</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2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Discovery Globe</w:t>
            </w:r>
          </w:p>
          <w:p>
            <w:pPr>
              <w:jc w:val="center"/>
            </w:pPr>
            <w:r>
              <w:rPr>
                <w:rFonts w:ascii="Arial" w:cs="Arial" w:eastAsia="Arial" w:hAnsi="Arial"/>
                <w:color w:val="AED6F1"/>
                <w:sz w:val="14"/>
                <w:szCs w:val="14"/>
              </w:rPr>
              <w:t xml:space="preserve">Three.js scanner</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r>
      <w:tr>
        <w:tc>
          <w:tcPr>
            <w:tcW w:type="dxa" w:w="1800"/>
            <w:tcBorders>
              <w:top w:val="none" w:color="FFFFFF" w:sz="0"/>
              <w:left w:val="none" w:color="FFFFFF" w:sz="0"/>
              <w:bottom w:val="none" w:color="FFFFFF" w:sz="0"/>
              <w:right w:val="none" w:color="FFFFFF" w:sz="0"/>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Moat</w:t>
            </w:r>
          </w:p>
          <w:p>
            <w:pPr>
              <w:jc w:val="center"/>
            </w:pPr>
            <w:r>
              <w:rPr>
                <w:rFonts w:ascii="Arial" w:cs="Arial" w:eastAsia="Arial" w:hAnsi="Arial"/>
                <w:color w:val="AED6F1"/>
                <w:sz w:val="14"/>
                <w:szCs w:val="14"/>
              </w:rPr>
              <w:t xml:space="preserve">Perplexity</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300"/>
            <w:tcBorders>
              <w:top w:val="none" w:color="FFFFFF" w:sz="0"/>
              <w:left w:val="none" w:color="FFFFFF" w:sz="0"/>
              <w:bottom w:val="none" w:color="FFFFFF" w:sz="0"/>
              <w:right w:val="none" w:color="FFFFFF" w:sz="0"/>
            </w:tcBorders>
            <w:shd w:fill="1543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Kill Evaluator</w:t>
            </w:r>
          </w:p>
          <w:p>
            <w:pPr>
              <w:jc w:val="center"/>
            </w:pPr>
            <w:r>
              <w:rPr>
                <w:rFonts w:ascii="Arial" w:cs="Arial" w:eastAsia="Arial" w:hAnsi="Arial"/>
                <w:color w:val="AED6F1"/>
                <w:sz w:val="14"/>
                <w:szCs w:val="14"/>
              </w:rPr>
              <w:t xml:space="preserve">Thesis-break check</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2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Logs Page</w:t>
            </w:r>
          </w:p>
          <w:p>
            <w:pPr>
              <w:jc w:val="center"/>
            </w:pPr>
            <w:r>
              <w:rPr>
                <w:rFonts w:ascii="Arial" w:cs="Arial" w:eastAsia="Arial" w:hAnsi="Arial"/>
                <w:color w:val="AED6F1"/>
                <w:sz w:val="14"/>
                <w:szCs w:val="14"/>
              </w:rPr>
              <w:t xml:space="preserve">Activity audit</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r>
      <w:tr>
        <w:tc>
          <w:tcPr>
            <w:tcW w:type="dxa" w:w="1800"/>
            <w:tcBorders>
              <w:top w:val="none" w:color="FFFFFF" w:sz="0"/>
              <w:left w:val="none" w:color="FFFFFF" w:sz="0"/>
              <w:bottom w:val="none" w:color="FFFFFF" w:sz="0"/>
              <w:right w:val="none" w:color="FFFFFF" w:sz="0"/>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Insider</w:t>
            </w:r>
          </w:p>
          <w:p>
            <w:pPr>
              <w:jc w:val="center"/>
            </w:pPr>
            <w:r>
              <w:rPr>
                <w:rFonts w:ascii="Arial" w:cs="Arial" w:eastAsia="Arial" w:hAnsi="Arial"/>
                <w:color w:val="AED6F1"/>
                <w:sz w:val="14"/>
                <w:szCs w:val="14"/>
              </w:rPr>
              <w:t xml:space="preserve">Free / yfinance</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&gt;&gt;&gt;</w:t>
            </w:r>
          </w:p>
        </w:tc>
        <w:tc>
          <w:tcPr>
            <w:tcW w:type="dxa" w:w="2300"/>
            <w:tcBorders>
              <w:top w:val="none" w:color="FFFFFF" w:sz="0"/>
              <w:left w:val="none" w:color="FFFFFF" w:sz="0"/>
              <w:bottom w:val="none" w:color="FFFFFF" w:sz="0"/>
              <w:right w:val="none" w:color="FFFFFF" w:sz="0"/>
            </w:tcBorders>
            <w:shd w:fill="1543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 Generator</w:t>
            </w:r>
          </w:p>
          <w:p>
            <w:pPr>
              <w:jc w:val="center"/>
            </w:pPr>
            <w:r>
              <w:rPr>
                <w:rFonts w:ascii="Arial" w:cs="Arial" w:eastAsia="Arial" w:hAnsi="Arial"/>
                <w:color w:val="AED6F1"/>
                <w:sz w:val="14"/>
                <w:szCs w:val="14"/>
              </w:rPr>
              <w:t xml:space="preserve">Perplexity+Claude</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&gt;&gt;&gt;</w:t>
            </w:r>
          </w:p>
        </w:tc>
        <w:tc>
          <w:tcPr>
            <w:tcW w:type="dxa" w:w="22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Health Panel</w:t>
            </w:r>
          </w:p>
          <w:p>
            <w:pPr>
              <w:jc w:val="center"/>
            </w:pPr>
            <w:r>
              <w:rPr>
                <w:rFonts w:ascii="Arial" w:cs="Arial" w:eastAsia="Arial" w:hAnsi="Arial"/>
                <w:color w:val="AED6F1"/>
                <w:sz w:val="14"/>
                <w:szCs w:val="14"/>
              </w:rPr>
              <w:t xml:space="preserve">Provider status</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r>
      <w:tr>
        <w:tc>
          <w:tcPr>
            <w:tcW w:type="dxa" w:w="1800"/>
            <w:tcBorders>
              <w:top w:val="none" w:color="FFFFFF" w:sz="0"/>
              <w:left w:val="none" w:color="FFFFFF" w:sz="0"/>
              <w:bottom w:val="none" w:color="FFFFFF" w:sz="0"/>
              <w:right w:val="none" w:color="FFFFFF" w:sz="0"/>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Social</w:t>
            </w:r>
          </w:p>
          <w:p>
            <w:pPr>
              <w:jc w:val="center"/>
            </w:pPr>
            <w:r>
              <w:rPr>
                <w:rFonts w:ascii="Arial" w:cs="Arial" w:eastAsia="Arial" w:hAnsi="Arial"/>
                <w:color w:val="AED6F1"/>
                <w:sz w:val="14"/>
                <w:szCs w:val="14"/>
              </w:rPr>
              <w:t xml:space="preserve">Free / Reddit</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300"/>
            <w:tcBorders>
              <w:top w:val="none" w:color="FFFFFF" w:sz="0"/>
              <w:left w:val="none" w:color="FFFFFF" w:sz="0"/>
              <w:bottom w:val="none" w:color="FFFFFF" w:sz="0"/>
              <w:right w:val="none" w:color="FFFFFF" w:sz="0"/>
            </w:tcBorders>
            <w:shd w:fill="1543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Feedback Loop</w:t>
            </w:r>
          </w:p>
          <w:p>
            <w:pPr>
              <w:jc w:val="center"/>
            </w:pPr>
            <w:r>
              <w:rPr>
                <w:rFonts w:ascii="Arial" w:cs="Arial" w:eastAsia="Arial" w:hAnsi="Arial"/>
                <w:color w:val="AED6F1"/>
                <w:sz w:val="14"/>
                <w:szCs w:val="14"/>
              </w:rPr>
              <w:t xml:space="preserve">Accuracy tracking</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2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Excel Export</w:t>
            </w:r>
          </w:p>
          <w:p>
            <w:pPr>
              <w:jc w:val="center"/>
            </w:pPr>
            <w:r>
              <w:rPr>
                <w:rFonts w:ascii="Arial" w:cs="Arial" w:eastAsia="Arial" w:hAnsi="Arial"/>
                <w:color w:val="AED6F1"/>
                <w:sz w:val="14"/>
                <w:szCs w:val="14"/>
              </w:rPr>
              <w:t xml:space="preserve">Downloadable</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r>
      <w:tr>
        <w:tc>
          <w:tcPr>
            <w:tcW w:type="dxa" w:w="1800"/>
            <w:tcBorders>
              <w:top w:val="none" w:color="FFFFFF" w:sz="0"/>
              <w:left w:val="none" w:color="FFFFFF" w:sz="0"/>
              <w:bottom w:val="none" w:color="FFFFFF" w:sz="0"/>
              <w:right w:val="none" w:color="FFFFFF" w:sz="0"/>
            </w:tcBorders>
            <w:shd w:fill="2C3E5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Filings</w:t>
            </w:r>
          </w:p>
          <w:p>
            <w:pPr>
              <w:jc w:val="center"/>
            </w:pPr>
            <w:r>
              <w:rPr>
                <w:rFonts w:ascii="Arial" w:cs="Arial" w:eastAsia="Arial" w:hAnsi="Arial"/>
                <w:color w:val="AED6F1"/>
                <w:sz w:val="14"/>
                <w:szCs w:val="14"/>
              </w:rPr>
              <w:t xml:space="preserve">Free / SEC</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300"/>
            <w:tcBorders>
              <w:top w:val="none" w:color="FFFFFF" w:sz="0"/>
              <w:left w:val="none" w:color="FFFFFF" w:sz="0"/>
              <w:bottom w:val="none" w:color="FFFFFF" w:sz="0"/>
              <w:right w:val="none" w:color="FFFFFF" w:sz="0"/>
            </w:tcBorders>
            <w:shd w:fill="1543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Calibration</w:t>
            </w:r>
          </w:p>
          <w:p>
            <w:pPr>
              <w:jc w:val="center"/>
            </w:pPr>
            <w:r>
              <w:rPr>
                <w:rFonts w:ascii="Arial" w:cs="Arial" w:eastAsia="Arial" w:hAnsi="Arial"/>
                <w:color w:val="AED6F1"/>
                <w:sz w:val="14"/>
                <w:szCs w:val="14"/>
              </w:rPr>
              <w:t xml:space="preserve">Magnitude+bias</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2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Supabase</w:t>
            </w:r>
          </w:p>
          <w:p>
            <w:pPr>
              <w:jc w:val="center"/>
            </w:pPr>
            <w:r>
              <w:rPr>
                <w:rFonts w:ascii="Arial" w:cs="Arial" w:eastAsia="Arial" w:hAnsi="Arial"/>
                <w:color w:val="AED6F1"/>
                <w:sz w:val="14"/>
                <w:szCs w:val="14"/>
              </w:rPr>
              <w:t xml:space="preserve">PostgreSQL store</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r>
      <w:tr>
        <w:tc>
          <w:tcPr>
            <w:tcW w:type="dxa" w:w="1800"/>
            <w:tcBorders>
              <w:top w:val="none" w:color="FFFFFF" w:sz="0"/>
              <w:left w:val="none" w:color="FFFFFF" w:sz="0"/>
              <w:bottom w:val="none" w:color="FFFFFF" w:sz="0"/>
              <w:right w:val="none" w:color="FFFFFF" w:sz="0"/>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Fundamentals</w:t>
            </w:r>
          </w:p>
          <w:p>
            <w:pPr>
              <w:jc w:val="center"/>
            </w:pPr>
            <w:r>
              <w:rPr>
                <w:rFonts w:ascii="Arial" w:cs="Arial" w:eastAsia="Arial" w:hAnsi="Arial"/>
                <w:color w:val="AED6F1"/>
                <w:sz w:val="14"/>
                <w:szCs w:val="14"/>
              </w:rPr>
              <w:t xml:space="preserve">Claude Opus</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300"/>
            <w:tcBorders>
              <w:top w:val="none" w:color="FFFFFF" w:sz="0"/>
              <w:left w:val="none" w:color="FFFFFF" w:sz="0"/>
              <w:bottom w:val="none" w:color="FFFFFF" w:sz="0"/>
              <w:right w:val="none" w:color="FFFFFF" w:sz="0"/>
            </w:tcBorders>
            <w:shd w:fill="1543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Forward Drivers</w:t>
            </w:r>
          </w:p>
          <w:p>
            <w:pPr>
              <w:jc w:val="center"/>
            </w:pPr>
            <w:r>
              <w:rPr>
                <w:rFonts w:ascii="Arial" w:cs="Arial" w:eastAsia="Arial" w:hAnsi="Arial"/>
                <w:color w:val="AED6F1"/>
                <w:sz w:val="14"/>
                <w:szCs w:val="14"/>
              </w:rPr>
              <w:t xml:space="preserve">Scout extraction</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2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Prediction Log</w:t>
            </w:r>
          </w:p>
          <w:p>
            <w:pPr>
              <w:jc w:val="center"/>
            </w:pPr>
            <w:r>
              <w:rPr>
                <w:rFonts w:ascii="Arial" w:cs="Arial" w:eastAsia="Arial" w:hAnsi="Arial"/>
                <w:color w:val="AED6F1"/>
                <w:sz w:val="14"/>
                <w:szCs w:val="14"/>
              </w:rPr>
              <w:t xml:space="preserve">Outcome tracking</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r>
      <w:tr>
        <w:tc>
          <w:tcPr>
            <w:tcW w:type="dxa" w:w="1800"/>
            <w:tcBorders>
              <w:top w:val="none" w:color="FFFFFF" w:sz="0"/>
              <w:left w:val="none" w:color="FFFFFF" w:sz="0"/>
              <w:bottom w:val="none" w:color="FFFFFF" w:sz="0"/>
              <w:right w:val="none" w:color="FFFFFF" w:sz="0"/>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YouTube</w:t>
            </w:r>
          </w:p>
          <w:p>
            <w:pPr>
              <w:jc w:val="center"/>
            </w:pPr>
            <w:r>
              <w:rPr>
                <w:rFonts w:ascii="Arial" w:cs="Arial" w:eastAsia="Arial" w:hAnsi="Arial"/>
                <w:color w:val="AED6F1"/>
                <w:sz w:val="14"/>
                <w:szCs w:val="14"/>
              </w:rPr>
              <w:t xml:space="preserve">Gemini</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300"/>
            <w:tcBorders>
              <w:top w:val="none" w:color="FFFFFF" w:sz="0"/>
              <w:left w:val="none" w:color="FFFFFF" w:sz="0"/>
              <w:bottom w:val="none" w:color="FFFFFF" w:sz="0"/>
              <w:right w:val="none" w:color="FFFFFF" w:sz="0"/>
            </w:tcBorders>
            <w:shd w:fill="1543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Blend</w:t>
            </w:r>
          </w:p>
          <w:p>
            <w:pPr>
              <w:jc w:val="center"/>
            </w:pPr>
            <w:r>
              <w:rPr>
                <w:rFonts w:ascii="Arial" w:cs="Arial" w:eastAsia="Arial" w:hAnsi="Arial"/>
                <w:color w:val="AED6F1"/>
                <w:sz w:val="14"/>
                <w:szCs w:val="14"/>
              </w:rPr>
              <w:t xml:space="preserve">Projection weight</w:t>
            </w:r>
          </w:p>
        </w:tc>
        <w:tc>
          <w:tcPr>
            <w:tcW w:type="dxa" w:w="6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vAlign w:val="center"/>
          </w:tcPr>
          <w:p>
            <w:pPr>
              <w:jc w:val="center"/>
            </w:pPr>
            <w:r>
              <w:rPr>
                <w:rFonts w:ascii="Arial" w:cs="Arial" w:eastAsia="Arial" w:hAnsi="Arial"/>
                <w:color w:val="7FB3D8"/>
                <w:sz w:val="16"/>
                <w:szCs w:val="16"/>
              </w:rPr>
              <w:t xml:space="preserve"/>
            </w:r>
          </w:p>
        </w:tc>
        <w:tc>
          <w:tcPr>
            <w:tcW w:type="dxa" w:w="2200"/>
            <w:tcBorders>
              <w:top w:val="none" w:color="FFFFFF" w:sz="0"/>
              <w:left w:val="none" w:color="FFFFFF" w:sz="0"/>
              <w:bottom w:val="none" w:color="FFFFFF" w:sz="0"/>
              <w:right w:val="none" w:color="FFFFFF" w:sz="0"/>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API Routes</w:t>
            </w:r>
          </w:p>
          <w:p>
            <w:pPr>
              <w:jc w:val="center"/>
            </w:pPr>
            <w:r>
              <w:rPr>
                <w:rFonts w:ascii="Arial" w:cs="Arial" w:eastAsia="Arial" w:hAnsi="Arial"/>
                <w:color w:val="AED6F1"/>
                <w:sz w:val="14"/>
                <w:szCs w:val="14"/>
              </w:rPr>
              <w:t xml:space="preserve">Next.js endpoints</w:t>
            </w:r>
          </w:p>
        </w:tc>
        <w:tc>
          <w:tcPr>
            <w:tcW w:type="dxa" w:w="186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r>
              <w:rPr>
                <w:rFonts w:ascii="Arial" w:cs="Arial" w:eastAsia="Arial" w:hAnsi="Arial"/>
                <w:sz w:val="22"/>
                <w:szCs w:val="22"/>
              </w:rPr>
              <w:t xml:space="preserve"/>
            </w:r>
          </w:p>
        </w:tc>
      </w:tr>
    </w:tbl>
    <w:p>
      <w:pPr>
        <w:spacing w:after="200" w:before="200"/>
      </w:pPr>
    </w:p>
    <w:p>
      <w:pPr>
        <w:pStyle w:val="Heading2"/>
      </w:pPr>
      <w:r>
        <w:rPr>
          <w:rFonts w:ascii="Arial" w:cs="Arial" w:eastAsia="Arial" w:hAnsi="Arial"/>
          <w:sz w:val="22"/>
          <w:szCs w:val="22"/>
        </w:rPr>
        <w:t xml:space="preserve">Primary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Scout Signals</w:t>
            </w:r>
          </w:p>
          <w:p>
            <w:pPr>
              <w:jc w:val="center"/>
            </w:pPr>
            <w:r>
              <w:rPr>
                <w:rFonts w:ascii="Arial" w:cs="Arial" w:eastAsia="Arial" w:hAnsi="Arial"/>
                <w:color w:val="D5F5E3"/>
                <w:sz w:val="14"/>
                <w:szCs w:val="14"/>
              </w:rPr>
              <w:t xml:space="preserve">10 modules</w:t>
            </w:r>
          </w:p>
        </w:tc>
        <w:tc>
          <w:tcPr>
            <w:tcW w:type="dxa" w:w="1872"/>
            <w:tcBorders>
              <w:top w:val="none" w:color="FFFFFF" w:sz="0"/>
              <w:left w:val="none" w:color="FFFFFF" w:sz="0"/>
              <w:bottom w:val="none" w:color="FFFFFF" w:sz="0"/>
              <w:right w:val="none" w:color="FFFFFF" w:sz="0"/>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Supabase</w:t>
            </w:r>
          </w:p>
          <w:p>
            <w:pPr>
              <w:jc w:val="center"/>
            </w:pPr>
            <w:r>
              <w:rPr>
                <w:rFonts w:ascii="Arial" w:cs="Arial" w:eastAsia="Arial" w:hAnsi="Arial"/>
                <w:color w:val="D5F5E3"/>
                <w:sz w:val="14"/>
                <w:szCs w:val="14"/>
              </w:rPr>
              <w:t xml:space="preserve">PostgreSQL</w:t>
            </w:r>
          </w:p>
        </w:tc>
        <w:tc>
          <w:tcPr>
            <w:tcW w:type="dxa" w:w="1872"/>
            <w:tcBorders>
              <w:top w:val="none" w:color="FFFFFF" w:sz="0"/>
              <w:left w:val="none" w:color="FFFFFF" w:sz="0"/>
              <w:bottom w:val="none" w:color="FFFFFF" w:sz="0"/>
              <w:right w:val="none" w:color="FFFFFF" w:sz="0"/>
            </w:tcBorders>
            <w:shd w:fill="8E44A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Analyst</w:t>
            </w:r>
          </w:p>
          <w:p>
            <w:pPr>
              <w:jc w:val="center"/>
            </w:pPr>
            <w:r>
              <w:rPr>
                <w:rFonts w:ascii="Arial" w:cs="Arial" w:eastAsia="Arial" w:hAnsi="Arial"/>
                <w:color w:val="D5F5E3"/>
                <w:sz w:val="14"/>
                <w:szCs w:val="14"/>
              </w:rPr>
              <w:t xml:space="preserve">Score + Conf</w:t>
            </w:r>
          </w:p>
        </w:tc>
        <w:tc>
          <w:tcPr>
            <w:tcW w:type="dxa" w:w="1872"/>
            <w:tcBorders>
              <w:top w:val="none" w:color="FFFFFF" w:sz="0"/>
              <w:left w:val="none" w:color="FFFFFF" w:sz="0"/>
              <w:bottom w:val="none" w:color="FFFFFF" w:sz="0"/>
              <w:right w:val="none" w:color="FFFFFF" w:sz="0"/>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Target Engine</w:t>
            </w:r>
          </w:p>
          <w:p>
            <w:pPr>
              <w:jc w:val="center"/>
            </w:pPr>
            <w:r>
              <w:rPr>
                <w:rFonts w:ascii="Arial" w:cs="Arial" w:eastAsia="Arial" w:hAnsi="Arial"/>
                <w:color w:val="D5F5E3"/>
                <w:sz w:val="14"/>
                <w:szCs w:val="14"/>
              </w:rPr>
              <w:t xml:space="preserve">DCF + Blend</w:t>
            </w:r>
          </w:p>
        </w:tc>
        <w:tc>
          <w:tcPr>
            <w:tcW w:type="dxa" w:w="1872"/>
            <w:tcBorders>
              <w:top w:val="none" w:color="FFFFFF" w:sz="0"/>
              <w:left w:val="none" w:color="FFFFFF" w:sz="0"/>
              <w:bottom w:val="none" w:color="FFFFFF" w:sz="0"/>
              <w:right w:val="none" w:color="FFFFFF" w:sz="0"/>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Dashboard</w:t>
            </w:r>
          </w:p>
          <w:p>
            <w:pPr>
              <w:jc w:val="center"/>
            </w:pPr>
            <w:r>
              <w:rPr>
                <w:rFonts w:ascii="Arial" w:cs="Arial" w:eastAsia="Arial" w:hAnsi="Arial"/>
                <w:color w:val="D5F5E3"/>
                <w:sz w:val="14"/>
                <w:szCs w:val="14"/>
              </w:rPr>
              <w:t xml:space="preserve">Next.js UI</w:t>
            </w:r>
          </w:p>
        </w:tc>
      </w:tr>
    </w:tbl>
    <w:p>
      <w:pPr>
        <w:spacing w:after="100" w:before="100"/>
      </w:pPr>
    </w:p>
    <w:p>
      <w:pPr>
        <w:spacing w:after="80" w:before="80"/>
      </w:pPr>
      <w:r>
        <w:rPr>
          <w:rFonts w:ascii="Arial" w:cs="Arial" w:eastAsia="Arial" w:hAnsi="Arial"/>
          <w:sz w:val="22"/>
          <w:szCs w:val="22"/>
        </w:rPr>
        <w:t xml:space="preserve">Each scout operates independently and writes signals to Supabase. The analyst reads all signals, computes composite scores, detects convergence, and produces data quality annotations. The target engine consumes analyst output plus financial data to produce DCF-based price targets. The dashboard reads everything from Supabase and renders it in real-time.</w:t>
      </w:r>
    </w:p>
    <w:p>
      <w:r>
        <w:br w:type="page"/>
      </w:r>
    </w:p>
    <w:p>
      <w:pPr>
        <w:pStyle w:val="Heading1"/>
      </w:pPr>
      <w:r>
        <w:rPr>
          <w:rFonts w:ascii="Arial" w:cs="Arial" w:eastAsia="Arial" w:hAnsi="Arial"/>
          <w:sz w:val="22"/>
          <w:szCs w:val="22"/>
        </w:rPr>
        <w:t xml:space="preserve">2. Data Flow Pipeline</w:t>
      </w:r>
    </w:p>
    <w:p>
      <w:pPr>
        <w:spacing w:after="80" w:before="80"/>
      </w:pPr>
      <w:r>
        <w:rPr>
          <w:rFonts w:ascii="Arial" w:cs="Arial" w:eastAsia="Arial" w:hAnsi="Arial"/>
          <w:sz w:val="22"/>
          <w:szCs w:val="22"/>
        </w:rPr>
        <w:t xml:space="preserve">The pipeline runs daily via run_pipeline.py. It supports three execution modes: full (all scouts for every stock, 10-15 min), free (only scouts that require no API keys), and single-ticker (mini-pipeline for one stock). Scouts run in parallel to minimize wall-clock time; all downstream stages (analyst, feedback loop, model generation) run sequentially since they depend on scout outputs.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Pipeline Trigger</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Manual CLI or scheduled cron (python run_pipeline.py)</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Scout Parallelism</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10 scouts run concurrently per stock</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Full Runtime</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10-15 minutes for 50 stocks (scouts dominate)</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Slowest Scout</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YouTube (~2 min/stock, Gemini API + transcript fetch)</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Progress Tracking</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.pipeline-progress JSON file polled by dashboard</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Cancellation</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.pipeline-cancel-{TICKER} sentinel file</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Output Artifacts</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analysis.json, signals JSON, prediction_log, activity_log</w:t>
            </w:r>
          </w:p>
        </w:tc>
      </w:tr>
    </w:tbl>
    <w:p>
      <w:pPr>
        <w:spacing w:after="60" w:before="60"/>
      </w:pPr>
    </w:p>
    <w:p>
      <w:pPr>
        <w:pStyle w:val="Heading2"/>
      </w:pPr>
      <w:r>
        <w:rPr>
          <w:rFonts w:ascii="Arial" w:cs="Arial" w:eastAsia="Arial" w:hAnsi="Arial"/>
          <w:sz w:val="22"/>
          <w:szCs w:val="22"/>
        </w:rPr>
        <w:t xml:space="preserve">Pipeline Stage Order</w:t>
      </w:r>
    </w:p>
    <w:p>
      <w:pPr>
        <w:spacing w:after="80" w:before="80"/>
      </w:pPr>
      <w:r>
        <w:rPr>
          <w:rFonts w:ascii="Arial" w:cs="Arial" w:eastAsia="Arial" w:hAnsi="Arial"/>
          <w:sz w:val="22"/>
          <w:szCs w:val="22"/>
        </w:rPr>
        <w:t xml:space="preserve">1. Scouts (parallel) → 2. Analyst (aggregate + score) → 3. Feedback Loop (evaluate outcomes + accuracy) → 4. Calibration (event magnitude + target convergence) → 5. Model Generation (Perplexity research + Claude analysis) → 6. Prediction Logging (snapshot for future comparison)</w:t>
      </w:r>
    </w:p>
    <w:p>
      <w:r>
        <w:br w:type="page"/>
      </w:r>
    </w:p>
    <w:p>
      <w:pPr>
        <w:pStyle w:val="Heading1"/>
      </w:pPr>
      <w:r>
        <w:rPr>
          <w:rFonts w:ascii="Arial" w:cs="Arial" w:eastAsia="Arial" w:hAnsi="Arial"/>
          <w:sz w:val="22"/>
          <w:szCs w:val="22"/>
        </w:rPr>
        <w:t xml:space="preserve">3. Scout Modules</w:t>
      </w:r>
    </w:p>
    <w:p>
      <w:pPr>
        <w:spacing w:after="80" w:before="80"/>
      </w:pPr>
      <w:r>
        <w:rPr>
          <w:rFonts w:ascii="Arial" w:cs="Arial" w:eastAsia="Arial" w:hAnsi="Arial"/>
          <w:sz w:val="22"/>
          <w:szCs w:val="22"/>
        </w:rPr>
        <w:t xml:space="preserve">Stock Radar uses 10 independent scout modules, each specialized in a different signal type. Scouts are categorized as free (no API key required) or paid (require Perplexity, Claude, or Gemini API access). Each scout produces structured signals with a direction (bullish/bearish/neutral), summary, data payload, and scores dict. Confidence scores are auto-injected by the confidence module before signals are saved.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100"/>
        <w:gridCol w:w="1200"/>
        <w:gridCol w:w="800"/>
        <w:gridCol w:w="3960"/>
      </w:tblGrid>
      <w:tr>
        <w:tc>
          <w:tcPr>
            <w:tcW w:type="dxa" w:w="7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Scout</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API</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 Type</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Baseline Conf.</w:t>
            </w:r>
          </w:p>
        </w:tc>
        <w:tc>
          <w:tcPr>
            <w:tcW w:type="dxa" w:w="39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Role in Analyst</w:t>
            </w:r>
          </w:p>
        </w:tc>
      </w:tr>
      <w:tr>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1</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Quant</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EODHD/yfinance</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Numerical metrics</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0.90</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Score factor (28%)</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2</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News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Perplexity Sonar</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Sentiment + events</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0.60</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Score factor (10%)</w:t>
            </w:r>
          </w:p>
        </w:tc>
      </w:tr>
      <w:tr>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3</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Catalyst</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Perplexity Sonar</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Event timeline</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0.65</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Convergence gate</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4</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Moat</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Perplexity Sonar</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Competitive analysis</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0.55</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Convergence gate</w:t>
            </w:r>
          </w:p>
        </w:tc>
      </w:tr>
      <w:tr>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5</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Social</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Reddit / StockTwits</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Engagement sentiment</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0.45</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Convergence gate</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6</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Insider</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yfinance (free)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Transaction signals</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0.65</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Score factor (12%)</w:t>
            </w:r>
          </w:p>
        </w:tc>
      </w:tr>
      <w:tr>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7</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Filings</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SEC EDGAR</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10-K/10-Q guidance</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0.65</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Convergence gate</w:t>
            </w:r>
          </w:p>
        </w:tc>
      </w:tr>
      <w:tr>
        <w:tc>
          <w:tcPr>
            <w:tcW w:type="dxa" w:w="7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8</w:t>
            </w:r>
          </w:p>
        </w:tc>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Fundamentals</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Claude Opus</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Business quality</w:t>
            </w:r>
          </w:p>
        </w:tc>
        <w:tc>
          <w:tcPr>
            <w:tcW w:type="dxa" w:w="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0.70</w:t>
            </w:r>
          </w:p>
        </w:tc>
        <w:tc>
          <w:tcPr>
            <w:tcW w:type="dxa" w:w="39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Score factor (24%)</w:t>
            </w:r>
          </w:p>
        </w:tc>
      </w:tr>
      <w:tr>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9</w:t>
            </w:r>
          </w:p>
        </w:tc>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YouTube</w:t>
            </w:r>
          </w:p>
        </w:tc>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Gemini</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Analyst coverage</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0.50</w:t>
            </w:r>
          </w:p>
        </w:tc>
        <w:tc>
          <w:tcPr>
            <w:tcW w:type="dxa" w:w="39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Score factor (8%)</w:t>
            </w:r>
          </w:p>
        </w:tc>
      </w:tr>
    </w:tbl>
    <w:p>
      <w:pPr>
        <w:spacing w:after="100" w:before="100"/>
      </w:pPr>
    </w:p>
    <w:p>
      <w:pPr>
        <w:pStyle w:val="Heading2"/>
      </w:pPr>
      <w:r>
        <w:rPr>
          <w:rFonts w:ascii="Arial" w:cs="Arial" w:eastAsia="Arial" w:hAnsi="Arial"/>
          <w:sz w:val="22"/>
          <w:szCs w:val="22"/>
        </w:rPr>
        <w:t xml:space="preserve">Scout Design Principles</w:t>
      </w:r>
    </w:p>
    <w:p>
      <w:pPr>
        <w:pStyle w:val="ListParagraph"/>
        <w:numPr>
          <w:ilvl w:val="0"/>
          <w:numId w:val="2"/>
        </w:numPr>
        <w:spacing w:after="40" w:before="40"/>
      </w:pPr>
      <w:r>
        <w:rPr>
          <w:rFonts w:ascii="Arial" w:cs="Arial" w:eastAsia="Arial" w:hAnsi="Arial"/>
          <w:sz w:val="21"/>
          <w:szCs w:val="21"/>
        </w:rPr>
        <w:t xml:space="preserve">Independence: Each scout operates in isolation with no awareness of other scouts. This prevents correlated failures and makes adding or removing scouts trivial.</w:t>
      </w:r>
    </w:p>
    <w:p>
      <w:pPr>
        <w:pStyle w:val="ListParagraph"/>
        <w:numPr>
          <w:ilvl w:val="0"/>
          <w:numId w:val="2"/>
        </w:numPr>
        <w:spacing w:after="40" w:before="40"/>
      </w:pPr>
      <w:r>
        <w:rPr>
          <w:rFonts w:ascii="Arial" w:cs="Arial" w:eastAsia="Arial" w:hAnsi="Arial"/>
          <w:sz w:val="21"/>
          <w:szCs w:val="21"/>
        </w:rPr>
        <w:t xml:space="preserve">Structured output: Every scout emits the same signal schema (ticker, signal direction, summary, data dict, scores dict) regardless of its data source.</w:t>
      </w:r>
    </w:p>
    <w:p>
      <w:pPr>
        <w:pStyle w:val="ListParagraph"/>
        <w:numPr>
          <w:ilvl w:val="0"/>
          <w:numId w:val="2"/>
        </w:numPr>
        <w:spacing w:after="40" w:before="40"/>
      </w:pPr>
      <w:r>
        <w:rPr>
          <w:rFonts w:ascii="Arial" w:cs="Arial" w:eastAsia="Arial" w:hAnsi="Arial"/>
          <w:sz w:val="21"/>
          <w:szCs w:val="21"/>
        </w:rPr>
        <w:t xml:space="preserve">Graceful degradation: If a scout fails or times out, the pipeline continues without it. The analyst detects missing scouts and degrades its confidence score accordingly.</w:t>
      </w:r>
    </w:p>
    <w:p>
      <w:pPr>
        <w:pStyle w:val="ListParagraph"/>
        <w:numPr>
          <w:ilvl w:val="0"/>
          <w:numId w:val="2"/>
        </w:numPr>
        <w:spacing w:after="40" w:before="40"/>
      </w:pPr>
      <w:r>
        <w:rPr>
          <w:rFonts w:ascii="Arial" w:cs="Arial" w:eastAsia="Arial" w:hAnsi="Arial"/>
          <w:sz w:val="21"/>
          <w:szCs w:val="21"/>
        </w:rPr>
        <w:t xml:space="preserve">Auto-confidence: The confidence module (confidence.py) injects a 0.0-1.0 confidence score into every signal based on data completeness, source count, and freshness.</w:t>
      </w:r>
    </w:p>
    <w:p>
      <w:r>
        <w:br w:type="page"/>
      </w:r>
    </w:p>
    <w:p>
      <w:pPr>
        <w:pStyle w:val="Heading1"/>
      </w:pPr>
      <w:r>
        <w:rPr>
          <w:rFonts w:ascii="Arial" w:cs="Arial" w:eastAsia="Arial" w:hAnsi="Arial"/>
          <w:sz w:val="22"/>
          <w:szCs w:val="22"/>
        </w:rPr>
        <w:t xml:space="preserve">4. Analyst Engine</w:t>
      </w:r>
    </w:p>
    <w:p>
      <w:pPr>
        <w:spacing w:after="80" w:before="80"/>
      </w:pPr>
      <w:r>
        <w:rPr>
          <w:rFonts w:ascii="Arial" w:cs="Arial" w:eastAsia="Arial" w:hAnsi="Arial"/>
          <w:sz w:val="22"/>
          <w:szCs w:val="22"/>
        </w:rPr>
        <w:t xml:space="preserve">The analyst (analyst.py) is the central aggregation layer. It loads all scout signals from Supabase, extracts factor scores, detects convergence patterns, evaluates kill conditions, and produces a composite conviction score (0-10 scale) for each stock.</w:t>
      </w:r>
    </w:p>
    <w:p>
      <w:pPr>
        <w:spacing w:after="60" w:before="60"/>
      </w:pPr>
    </w:p>
    <w:p>
      <w:pPr>
        <w:pStyle w:val="Heading2"/>
      </w:pPr>
      <w:r>
        <w:rPr>
          <w:rFonts w:ascii="Arial" w:cs="Arial" w:eastAsia="Arial" w:hAnsi="Arial"/>
          <w:sz w:val="22"/>
          <w:szCs w:val="22"/>
        </w:rPr>
        <w:t xml:space="preserve">Factor Weights</w:t>
      </w:r>
    </w:p>
    <w:p>
      <w:pPr>
        <w:spacing w:after="80" w:before="80"/>
      </w:pPr>
      <w:r>
        <w:rPr>
          <w:rFonts w:ascii="Arial" w:cs="Arial" w:eastAsia="Arial" w:hAnsi="Arial"/>
          <w:sz w:val="22"/>
          <w:szCs w:val="22"/>
        </w:rPr>
        <w:t xml:space="preserve">The composite score is a weighted sum of factor contributions. Weights are adjusted at runtime by the feedback loop based on historical accuracy. The static defaults (used when fewer than 10 outcome signals exist) are: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quant_score</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0.28 (28%) — Numerical metrics: P/E, revenue growth, momentum</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fundamentals</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0.24 (24%) — Claude business quality analysis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momentum</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0.18 (18%) — Price momentum and technical strength</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insider_score</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0.12 (12%) — Insider buy/sell transaction patterns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news_sentiment</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0.10 (10%) — Perplexity news sentiment and events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youtube</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0.08 (8%) — Gemini YouTube analyst coverage consensus</w:t>
            </w:r>
          </w:p>
        </w:tc>
      </w:tr>
    </w:tbl>
    <w:p>
      <w:pPr>
        <w:spacing w:after="60" w:before="60"/>
      </w:pPr>
    </w:p>
    <w:p>
      <w:pPr>
        <w:pStyle w:val="Heading2"/>
      </w:pPr>
      <w:r>
        <w:rPr>
          <w:rFonts w:ascii="Arial" w:cs="Arial" w:eastAsia="Arial" w:hAnsi="Arial"/>
          <w:sz w:val="22"/>
          <w:szCs w:val="22"/>
        </w:rPr>
        <w:t xml:space="preserve">Convergence Gate</w:t>
      </w:r>
    </w:p>
    <w:p>
      <w:pPr>
        <w:spacing w:after="80" w:before="80"/>
      </w:pPr>
      <w:r>
        <w:rPr>
          <w:rFonts w:ascii="Arial" w:cs="Arial" w:eastAsia="Arial" w:hAnsi="Arial"/>
          <w:sz w:val="22"/>
          <w:szCs w:val="22"/>
        </w:rPr>
        <w:t xml:space="preserve">Five scouts (social, youtube, catalyst, filings, moat) contribute to the convergence gate rather than the composite score. When 4+ of these scouts agree on direction, a 1.0-1.15x conviction multiplier is applied. This prevents low-information scouts from diluting the score while still rewarding multi-source agreement.</w:t>
      </w:r>
    </w:p>
    <w:p>
      <w:pPr>
        <w:pStyle w:val="Heading2"/>
      </w:pPr>
      <w:r>
        <w:rPr>
          <w:rFonts w:ascii="Arial" w:cs="Arial" w:eastAsia="Arial" w:hAnsi="Arial"/>
          <w:sz w:val="22"/>
          <w:szCs w:val="22"/>
        </w:rPr>
        <w:t xml:space="preserve">Circuit Breakers</w:t>
      </w:r>
    </w:p>
    <w:p>
      <w:pPr>
        <w:spacing w:after="80" w:before="80"/>
      </w:pPr>
      <w:r>
        <w:rPr>
          <w:rFonts w:ascii="Arial" w:cs="Arial" w:eastAsia="Arial" w:hAnsi="Arial"/>
          <w:sz w:val="22"/>
          <w:szCs w:val="22"/>
        </w:rPr>
        <w:t xml:space="preserve">The analyst runs three circuit breaker checks after computing the composite score: (1) Scout count check: fewer than 4 scouts scored triggers LOW confidence. (2) Disagreement check: if inter-scout revenue growth estimates differ by more than 3.0 standard deviations, a DISAGREEMENT warning is raised. (3) Composite confidence: computed as the weighted harmonic mean of individual scout confidence scores. The harmonic mean naturally penalizes low values — one garbage scout (0.30) with five good scouts (0.90) yields 0.64, not 0.80.</w:t>
      </w:r>
    </w:p>
    <w:p>
      <w:r>
        <w:br w:type="page"/>
      </w:r>
    </w:p>
    <w:p>
      <w:pPr>
        <w:pStyle w:val="Heading1"/>
      </w:pPr>
      <w:r>
        <w:rPr>
          <w:rFonts w:ascii="Arial" w:cs="Arial" w:eastAsia="Arial" w:hAnsi="Arial"/>
          <w:sz w:val="22"/>
          <w:szCs w:val="22"/>
        </w:rPr>
        <w:t xml:space="preserve">5. Target Engine</w:t>
      </w:r>
    </w:p>
    <w:p>
      <w:pPr>
        <w:spacing w:after="80" w:before="80"/>
      </w:pPr>
      <w:r>
        <w:rPr>
          <w:rFonts w:ascii="Arial" w:cs="Arial" w:eastAsia="Arial" w:hAnsi="Arial"/>
          <w:sz w:val="22"/>
          <w:szCs w:val="22"/>
        </w:rPr>
        <w:t xml:space="preserve">The target engine (target_engine.py) is an institutional-grade discounted-forward pure-function price engine. It builds a multi-year forecast with declining revenue growth and ramping margins, values the terminal year using Gordon Growth with ROIIC fade, and discounts back to a 12-month-forward price target. Three independent scenarios (downside/base/upside) produce a price range.</w:t>
      </w:r>
    </w:p>
    <w:p>
      <w:pPr>
        <w:spacing w:after="60" w:before="60"/>
      </w:pPr>
    </w:p>
    <w:p>
      <w:pPr>
        <w:pStyle w:val="Heading2"/>
      </w:pPr>
      <w:r>
        <w:rPr>
          <w:rFonts w:ascii="Arial" w:cs="Arial" w:eastAsia="Arial" w:hAnsi="Arial"/>
          <w:sz w:val="22"/>
          <w:szCs w:val="22"/>
        </w:rPr>
        <w:t xml:space="preserve">DCF Methodology</w:t>
      </w:r>
    </w:p>
    <w:p>
      <w:pPr>
        <w:pStyle w:val="ListParagraph"/>
        <w:numPr>
          <w:ilvl w:val="0"/>
          <w:numId w:val="2"/>
        </w:numPr>
        <w:spacing w:after="40" w:before="40"/>
      </w:pPr>
      <w:r>
        <w:rPr>
          <w:rFonts w:ascii="Arial" w:cs="Arial" w:eastAsia="Arial" w:hAnsi="Arial"/>
          <w:sz w:val="21"/>
          <w:szCs w:val="21"/>
        </w:rPr>
        <w:t xml:space="preserve">Build a 5-10 year forecast (archetype-dependent) with declining revenue growth and ramping EBITDA/FCF-SBC margins that reach terminal by the valuation year.</w:t>
      </w:r>
    </w:p>
    <w:p>
      <w:pPr>
        <w:pStyle w:val="ListParagraph"/>
        <w:numPr>
          <w:ilvl w:val="0"/>
          <w:numId w:val="2"/>
        </w:numPr>
        <w:spacing w:after="40" w:before="40"/>
      </w:pPr>
      <w:r>
        <w:rPr>
          <w:rFonts w:ascii="Arial" w:cs="Arial" w:eastAsia="Arial" w:hAnsi="Arial"/>
          <w:sz w:val="21"/>
          <w:szCs w:val="21"/>
        </w:rPr>
        <w:t xml:space="preserve">Value terminal at the valuation year (Y3-Y5 depending on archetype) using Gordon Growth with ROIIC fade: model a 7-year competitive-advantage period where growth fades linearly from g_terminal to g_perpetuity, then apply Gordon Growth at steady state.</w:t>
      </w:r>
    </w:p>
    <w:p>
      <w:pPr>
        <w:pStyle w:val="ListParagraph"/>
        <w:numPr>
          <w:ilvl w:val="0"/>
          <w:numId w:val="2"/>
        </w:numPr>
        <w:spacing w:after="40" w:before="40"/>
      </w:pPr>
      <w:r>
        <w:rPr>
          <w:rFonts w:ascii="Arial" w:cs="Arial" w:eastAsia="Arial" w:hAnsi="Arial"/>
          <w:sz w:val="21"/>
          <w:szCs w:val="21"/>
        </w:rPr>
        <w:t xml:space="preserve">Terminal growth hard-capped at 2.5% to prevent the company from becoming larger than the economy.</w:t>
      </w:r>
    </w:p>
    <w:p>
      <w:pPr>
        <w:pStyle w:val="ListParagraph"/>
        <w:numPr>
          <w:ilvl w:val="0"/>
          <w:numId w:val="2"/>
        </w:numPr>
        <w:spacing w:after="40" w:before="40"/>
      </w:pPr>
      <w:r>
        <w:rPr>
          <w:rFonts w:ascii="Arial" w:cs="Arial" w:eastAsia="Arial" w:hAnsi="Arial"/>
          <w:sz w:val="21"/>
          <w:szCs w:val="21"/>
        </w:rPr>
        <w:t xml:space="preserve">Discount terminal EV back to present value at constant WACC. WACC is constant across all scenarios to avoid double-counting risk (bear-case cash flows already reflect downside).</w:t>
      </w:r>
    </w:p>
    <w:p>
      <w:pPr>
        <w:pStyle w:val="ListParagraph"/>
        <w:numPr>
          <w:ilvl w:val="0"/>
          <w:numId w:val="2"/>
        </w:numPr>
        <w:spacing w:after="40" w:before="40"/>
      </w:pPr>
      <w:r>
        <w:rPr>
          <w:rFonts w:ascii="Arial" w:cs="Arial" w:eastAsia="Arial" w:hAnsi="Arial"/>
          <w:sz w:val="21"/>
          <w:szCs w:val="21"/>
        </w:rPr>
        <w:t xml:space="preserve">Equity = PV of Enterprise Value minus Net Debt. Price = Equity divided by diluted shares.</w:t>
      </w:r>
    </w:p>
    <w:p>
      <w:pPr>
        <w:pStyle w:val="ListParagraph"/>
        <w:numPr>
          <w:ilvl w:val="0"/>
          <w:numId w:val="2"/>
        </w:numPr>
        <w:spacing w:after="40" w:before="40"/>
      </w:pPr>
      <w:r>
        <w:rPr>
          <w:rFonts w:ascii="Arial" w:cs="Arial" w:eastAsia="Arial" w:hAnsi="Arial"/>
          <w:sz w:val="21"/>
          <w:szCs w:val="21"/>
        </w:rPr>
        <w:t xml:space="preserve">Three INDEPENDENT scenarios with their own driver paths. NOT symmetric haircuts — scenario offsets are asymmetric, calibrated against published sell-side models.</w:t>
      </w:r>
    </w:p>
    <w:p>
      <w:pPr>
        <w:spacing w:after="60" w:before="60"/>
      </w:pPr>
    </w:p>
    <w:p>
      <w:pPr>
        <w:pStyle w:val="Heading2"/>
      </w:pPr>
      <w:r>
        <w:rPr>
          <w:rFonts w:ascii="Arial" w:cs="Arial" w:eastAsia="Arial" w:hAnsi="Arial"/>
          <w:sz w:val="22"/>
          <w:szCs w:val="22"/>
        </w:rPr>
        <w:t xml:space="preserve">Valuation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P/E (ev_ebitda)</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For profitable companies with stable earnings. Default for most stocks. Uses EV/EBITDA and EV/FCF-SBC exit multiples.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P/S (revenue_multiple)</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For high-growth, pre-profit, or negative-earnings companies. Revenue-based with no terminal earnings required.</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Cyclical (EV/EBIT)</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For companies driven by industry cycles. Uses Damodaran normalized-earnings approach: Revenue x Normalized EBIT Margin x EV/EBIT = EV.</w:t>
            </w:r>
          </w:p>
        </w:tc>
      </w:tr>
    </w:tbl>
    <w:p>
      <w:pPr>
        <w:spacing w:after="60" w:before="60"/>
      </w:pPr>
    </w:p>
    <w:p>
      <w:pPr>
        <w:pStyle w:val="Heading2"/>
      </w:pPr>
      <w:r>
        <w:rPr>
          <w:rFonts w:ascii="Arial" w:cs="Arial" w:eastAsia="Arial" w:hAnsi="Arial"/>
          <w:sz w:val="22"/>
          <w:szCs w:val="22"/>
        </w:rPr>
        <w:t xml:space="preserve">Default Driver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rev_growth_y1</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15% — Year 1 revenue growth (overridden by forward drivers)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rev_growth_terminal</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8% — Terminal year revenue growth (declines to perpetuity)</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ebitda_margin_target</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25% — Year 3 EBITDA margin target</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fcf_sbc_margin_target</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18% — Year 3 FCF-SBC margin target</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ev_ebitda_multiple</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16.0x — Exit EV/EBITDA multiple (base scenario)</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discount_rate</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12% — WACC (constant across all scenarios)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terminal_growth_cap</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2.5% — Maximum perpetual growth rate</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sbc_pct_rev</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5% — Stock-based compensation as % of revenue</w:t>
            </w:r>
          </w:p>
        </w:tc>
      </w:tr>
    </w:tbl>
    <w:p>
      <w:r>
        <w:br w:type="page"/>
      </w:r>
    </w:p>
    <w:p>
      <w:pPr>
        <w:pStyle w:val="Heading1"/>
      </w:pPr>
      <w:r>
        <w:rPr>
          <w:rFonts w:ascii="Arial" w:cs="Arial" w:eastAsia="Arial" w:hAnsi="Arial"/>
          <w:sz w:val="22"/>
          <w:szCs w:val="22"/>
        </w:rPr>
        <w:t xml:space="preserve">6. Archetype Classification System</w:t>
      </w:r>
    </w:p>
    <w:p>
      <w:pPr>
        <w:spacing w:after="80" w:before="80"/>
      </w:pPr>
      <w:r>
        <w:rPr>
          <w:rFonts w:ascii="Arial" w:cs="Arial" w:eastAsia="Arial" w:hAnsi="Arial"/>
          <w:sz w:val="22"/>
          <w:szCs w:val="22"/>
        </w:rPr>
        <w:t xml:space="preserve">Every stock is classified into one of five investment archetypes during model generation. The archetype determines the analytical framework, forecast horizon, valuation year, and margin ramp schedule. Claude classifies each stock at generation time; classifications are tracked over a 4-run rolling window for stability. If classifications flip between runs, the stock is flagged as a hybrid.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100"/>
        <w:gridCol w:w="1100"/>
        <w:gridCol w:w="42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Archetype</w:t>
            </w:r>
          </w:p>
        </w:tc>
        <w:tc>
          <w:tcPr>
            <w:tcW w:type="dxa" w:w="13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Framework</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Forecast Yrs</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Valuation Yr</w:t>
            </w:r>
          </w:p>
        </w:tc>
        <w:tc>
          <w:tcPr>
            <w:tcW w:type="dxa" w:w="42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Key Question</w:t>
            </w:r>
          </w:p>
        </w:tc>
      </w:tr>
      <w:tr>
        <w:tc>
          <w:tcPr>
            <w:tcW w:type="dxa" w:w="16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b/>
                <w:bCs/>
                <w:sz w:val="18"/>
                <w:szCs w:val="18"/>
              </w:rPr>
              <w:t xml:space="preserve">GARP</w:t>
            </w:r>
          </w:p>
        </w:tc>
        <w:tc>
          <w:tcPr>
            <w:tcW w:type="dxa" w:w="13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sz w:val="18"/>
                <w:szCs w:val="18"/>
              </w:rPr>
              <w:t xml:space="preserve">Growth at Reasonable Price (Lynch)</w:t>
            </w:r>
          </w:p>
        </w:tc>
        <w:tc>
          <w:tcPr>
            <w:tcW w:type="dxa" w:w="11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b/>
                <w:bCs/>
                <w:sz w:val="18"/>
                <w:szCs w:val="18"/>
              </w:rPr>
              <w:t xml:space="preserve">5</w:t>
            </w:r>
          </w:p>
        </w:tc>
        <w:tc>
          <w:tcPr>
            <w:tcW w:type="dxa" w:w="11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b/>
                <w:bCs/>
                <w:sz w:val="18"/>
                <w:szCs w:val="18"/>
              </w:rPr>
              <w:t xml:space="preserve">3</w:t>
            </w:r>
          </w:p>
        </w:tc>
        <w:tc>
          <w:tcPr>
            <w:tcW w:type="dxa" w:w="42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sz w:val="18"/>
                <w:szCs w:val="18"/>
              </w:rPr>
              <w:t xml:space="preserve">Is growth fairly priced?</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Cyclical</w:t>
            </w:r>
          </w:p>
        </w:tc>
        <w:tc>
          <w:tcPr>
            <w:tcW w:type="dxa" w:w="1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Normalized Earnings (Damodaran)</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8</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5</w:t>
            </w:r>
          </w:p>
        </w:tc>
        <w:tc>
          <w:tcPr>
            <w:tcW w:type="dxa" w:w="4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Where in the cycle?</w:t>
            </w:r>
          </w:p>
        </w:tc>
      </w:tr>
      <w:tr>
        <w:tc>
          <w:tcPr>
            <w:tcW w:type="dxa" w:w="16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b/>
                <w:bCs/>
                <w:sz w:val="18"/>
                <w:szCs w:val="18"/>
              </w:rPr>
              <w:t xml:space="preserve">Transformational</w:t>
            </w:r>
          </w:p>
        </w:tc>
        <w:tc>
          <w:tcPr>
            <w:tcW w:type="dxa" w:w="13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sz w:val="18"/>
                <w:szCs w:val="18"/>
              </w:rPr>
              <w:t xml:space="preserve">Right-Tail Optionality (Baillie Gifford)</w:t>
            </w:r>
          </w:p>
        </w:tc>
        <w:tc>
          <w:tcPr>
            <w:tcW w:type="dxa" w:w="11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b/>
                <w:bCs/>
                <w:sz w:val="18"/>
                <w:szCs w:val="18"/>
              </w:rPr>
              <w:t xml:space="preserve">7</w:t>
            </w:r>
          </w:p>
        </w:tc>
        <w:tc>
          <w:tcPr>
            <w:tcW w:type="dxa" w:w="11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b/>
                <w:bCs/>
                <w:sz w:val="18"/>
                <w:szCs w:val="18"/>
              </w:rPr>
              <w:t xml:space="preserve">4</w:t>
            </w:r>
          </w:p>
        </w:tc>
        <w:tc>
          <w:tcPr>
            <w:tcW w:type="dxa" w:w="42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sz w:val="18"/>
                <w:szCs w:val="18"/>
              </w:rPr>
              <w:t xml:space="preserve">How big can TAM get?</w:t>
            </w:r>
          </w:p>
        </w:tc>
      </w:tr>
      <w:tr>
        <w:tc>
          <w:tcPr>
            <w:tcW w:type="dxa" w:w="16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Compounder</w:t>
            </w:r>
          </w:p>
        </w:tc>
        <w:tc>
          <w:tcPr>
            <w:tcW w:type="dxa" w:w="13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Quality Earnings Power (Buffett)</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10</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5</w:t>
            </w:r>
          </w:p>
        </w:tc>
        <w:tc>
          <w:tcPr>
            <w:tcW w:type="dxa" w:w="42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How durable is the moat?</w:t>
            </w:r>
          </w:p>
        </w:tc>
      </w:tr>
      <w:tr>
        <w:tc>
          <w:tcPr>
            <w:tcW w:type="dxa" w:w="16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b/>
                <w:bCs/>
                <w:sz w:val="18"/>
                <w:szCs w:val="18"/>
              </w:rPr>
              <w:t xml:space="preserve">Special Situation</w:t>
            </w:r>
          </w:p>
        </w:tc>
        <w:tc>
          <w:tcPr>
            <w:tcW w:type="dxa" w:w="13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sz w:val="18"/>
                <w:szCs w:val="18"/>
              </w:rPr>
              <w:t xml:space="preserve">Event-Driven</w:t>
            </w:r>
          </w:p>
        </w:tc>
        <w:tc>
          <w:tcPr>
            <w:tcW w:type="dxa" w:w="11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b/>
                <w:bCs/>
                <w:sz w:val="18"/>
                <w:szCs w:val="18"/>
              </w:rPr>
              <w:t xml:space="preserve">5</w:t>
            </w:r>
          </w:p>
        </w:tc>
        <w:tc>
          <w:tcPr>
            <w:tcW w:type="dxa" w:w="110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b/>
                <w:bCs/>
                <w:sz w:val="18"/>
                <w:szCs w:val="18"/>
              </w:rPr>
              <w:t xml:space="preserve">3</w:t>
            </w:r>
          </w:p>
        </w:tc>
        <w:tc>
          <w:tcPr>
            <w:tcW w:type="dxa" w:w="4260"/>
            <w:tcBorders>
              <w:top w:val="single" w:color="BDC3C7" w:sz="1"/>
              <w:left w:val="single" w:color="BDC3C7" w:sz="1"/>
              <w:bottom w:val="single" w:color="BDC3C7" w:sz="1"/>
              <w:right w:val="single" w:color="BDC3C7" w:sz="1"/>
            </w:tcBorders>
            <w:shd w:fill="D5F5E3" w:val="clear"/>
            <w:tcMar>
              <w:top w:type="dxa" w:w="60"/>
              <w:left w:type="dxa" w:w="100"/>
              <w:bottom w:type="dxa" w:w="60"/>
              <w:right w:type="dxa" w:w="100"/>
            </w:tcMar>
            <w:vAlign w:val="center"/>
          </w:tcPr>
          <w:p>
            <w:r>
              <w:rPr>
                <w:rFonts w:ascii="Arial" w:cs="Arial" w:eastAsia="Arial" w:hAnsi="Arial"/>
                <w:sz w:val="18"/>
                <w:szCs w:val="18"/>
              </w:rPr>
              <w:t xml:space="preserve">P(event) x upside?</w:t>
            </w:r>
          </w:p>
        </w:tc>
      </w:tr>
    </w:tbl>
    <w:p>
      <w:pPr>
        <w:spacing w:after="100" w:before="100"/>
      </w:pPr>
    </w:p>
    <w:p>
      <w:pPr>
        <w:spacing w:after="80" w:before="80"/>
      </w:pPr>
      <w:r>
        <w:rPr>
          <w:rFonts w:ascii="Arial" w:cs="Arial" w:eastAsia="Arial" w:hAnsi="Arial"/>
          <w:sz w:val="22"/>
          <w:szCs w:val="22"/>
        </w:rPr>
        <w:t xml:space="preserve">The archetype also drives scout routing priorities. Each archetype has an always/recommended/optional tier for scouts. For example, cyclical stocks always run quant and fundamentals scouts but treat social as optional, while transformational stocks always run catalyst and moat scouts.</w:t>
      </w:r>
    </w:p>
    <w:p>
      <w:r>
        <w:br w:type="page"/>
      </w:r>
    </w:p>
    <w:p>
      <w:pPr>
        <w:pStyle w:val="Heading1"/>
      </w:pPr>
      <w:r>
        <w:rPr>
          <w:rFonts w:ascii="Arial" w:cs="Arial" w:eastAsia="Arial" w:hAnsi="Arial"/>
          <w:sz w:val="22"/>
          <w:szCs w:val="22"/>
        </w:rPr>
        <w:t xml:space="preserve">7. Event Reasoner &amp; Impact Estimation</w:t>
      </w:r>
    </w:p>
    <w:p>
      <w:pPr>
        <w:spacing w:after="80" w:before="80"/>
      </w:pPr>
      <w:r>
        <w:rPr>
          <w:rFonts w:ascii="Arial" w:cs="Arial" w:eastAsia="Arial" w:hAnsi="Arial"/>
          <w:sz w:val="22"/>
          <w:szCs w:val="22"/>
        </w:rPr>
        <w:t xml:space="preserve">The event reasoner (event_reasoner.py) converts raw events from scouts (earnings beats, product launches, regulatory changes) into structured impact records with probability-adjusted price contributions. Each event gets a 3-level causal chain, magnitude bounds from a template library, and compounded confidence.</w:t>
      </w:r>
    </w:p>
    <w:p>
      <w:pPr>
        <w:spacing w:after="60" w:before="60"/>
      </w:pPr>
    </w:p>
    <w:p>
      <w:pPr>
        <w:pStyle w:val="Heading2"/>
      </w:pPr>
      <w:r>
        <w:rPr>
          <w:rFonts w:ascii="Arial" w:cs="Arial" w:eastAsia="Arial" w:hAnsi="Arial"/>
          <w:sz w:val="22"/>
          <w:szCs w:val="22"/>
        </w:rPr>
        <w:t xml:space="preserve">Event Processing Pipeline</w:t>
      </w:r>
    </w:p>
    <w:p>
      <w:pPr>
        <w:pStyle w:val="ListParagraph"/>
        <w:numPr>
          <w:ilvl w:val="0"/>
          <w:numId w:val="2"/>
        </w:numPr>
        <w:spacing w:after="40" w:before="40"/>
      </w:pPr>
      <w:r>
        <w:rPr>
          <w:rFonts w:ascii="Arial" w:cs="Arial" w:eastAsia="Arial" w:hAnsi="Arial"/>
          <w:sz w:val="21"/>
          <w:szCs w:val="21"/>
        </w:rPr>
        <w:t xml:space="preserve">Raw event arrives from scout (type, summary, date, source).</w:t>
      </w:r>
    </w:p>
    <w:p>
      <w:pPr>
        <w:pStyle w:val="ListParagraph"/>
        <w:numPr>
          <w:ilvl w:val="0"/>
          <w:numId w:val="2"/>
        </w:numPr>
        <w:spacing w:after="40" w:before="40"/>
      </w:pPr>
      <w:r>
        <w:rPr>
          <w:rFonts w:ascii="Arial" w:cs="Arial" w:eastAsia="Arial" w:hAnsi="Arial"/>
          <w:sz w:val="21"/>
          <w:szCs w:val="21"/>
        </w:rPr>
        <w:t xml:space="preserve">Template lookup: Each event type (earnings_beat, product_launch, etc.) has a pre-defined magnitude range and base probability.</w:t>
      </w:r>
    </w:p>
    <w:p>
      <w:pPr>
        <w:pStyle w:val="ListParagraph"/>
        <w:numPr>
          <w:ilvl w:val="0"/>
          <w:numId w:val="2"/>
        </w:numPr>
        <w:spacing w:after="40" w:before="40"/>
      </w:pPr>
      <w:r>
        <w:rPr>
          <w:rFonts w:ascii="Arial" w:cs="Arial" w:eastAsia="Arial" w:hAnsi="Arial"/>
          <w:sz w:val="21"/>
          <w:szCs w:val="21"/>
        </w:rPr>
        <w:t xml:space="preserve">LLM reasoning: Claude picks a specific magnitude within the template range with justification, estimates probability, and walks a 3-link causal chain.</w:t>
      </w:r>
    </w:p>
    <w:p>
      <w:pPr>
        <w:pStyle w:val="ListParagraph"/>
        <w:numPr>
          <w:ilvl w:val="0"/>
          <w:numId w:val="2"/>
        </w:numPr>
        <w:spacing w:after="40" w:before="40"/>
      </w:pPr>
      <w:r>
        <w:rPr>
          <w:rFonts w:ascii="Arial" w:cs="Arial" w:eastAsia="Arial" w:hAnsi="Arial"/>
          <w:sz w:val="21"/>
          <w:szCs w:val="21"/>
        </w:rPr>
        <w:t xml:space="preserve">Compounded confidence: Product of confidence values across all 3 chain links.</w:t>
      </w:r>
    </w:p>
    <w:p>
      <w:pPr>
        <w:pStyle w:val="ListParagraph"/>
        <w:numPr>
          <w:ilvl w:val="0"/>
          <w:numId w:val="2"/>
        </w:numPr>
        <w:spacing w:after="40" w:before="40"/>
      </w:pPr>
      <w:r>
        <w:rPr>
          <w:rFonts w:ascii="Arial" w:cs="Arial" w:eastAsia="Arial" w:hAnsi="Arial"/>
          <w:sz w:val="21"/>
          <w:szCs w:val="21"/>
        </w:rPr>
        <w:t xml:space="preserve">Recency decay: 62-day half-life means 90-day old events retain ~35% weight.</w:t>
      </w:r>
    </w:p>
    <w:p>
      <w:pPr>
        <w:pStyle w:val="ListParagraph"/>
        <w:numPr>
          <w:ilvl w:val="0"/>
          <w:numId w:val="2"/>
        </w:numPr>
        <w:spacing w:after="40" w:before="40"/>
      </w:pPr>
      <w:r>
        <w:rPr>
          <w:rFonts w:ascii="Arial" w:cs="Arial" w:eastAsia="Arial" w:hAnsi="Arial"/>
          <w:sz w:val="21"/>
          <w:szCs w:val="21"/>
        </w:rPr>
        <w:t xml:space="preserve">Expected contribution: magnitude x probability x compounded_confidence x recency_weight.</w:t>
      </w:r>
    </w:p>
    <w:p>
      <w:pPr>
        <w:pStyle w:val="ListParagraph"/>
        <w:numPr>
          <w:ilvl w:val="0"/>
          <w:numId w:val="2"/>
        </w:numPr>
        <w:spacing w:after="40" w:before="40"/>
      </w:pPr>
      <w:r>
        <w:rPr>
          <w:rFonts w:ascii="Arial" w:cs="Arial" w:eastAsia="Arial" w:hAnsi="Arial"/>
          <w:sz w:val="21"/>
          <w:szCs w:val="21"/>
        </w:rPr>
        <w:t xml:space="preserve">Volatility-scaled capping: Single event capped at max(10%, k x sigma_firm). Total adjustment capped at max(15%, k_total x sigma_firm).</w:t>
      </w:r>
    </w:p>
    <w:p>
      <w:pPr>
        <w:pStyle w:val="ListParagraph"/>
        <w:numPr>
          <w:ilvl w:val="0"/>
          <w:numId w:val="2"/>
        </w:numPr>
        <w:spacing w:after="40" w:before="40"/>
      </w:pPr>
      <w:r>
        <w:rPr>
          <w:rFonts w:ascii="Arial" w:cs="Arial" w:eastAsia="Arial" w:hAnsi="Arial"/>
          <w:sz w:val="21"/>
          <w:szCs w:val="21"/>
        </w:rPr>
        <w:t xml:space="preserve">Calibration adjustment: If historical calibration ratios exist, scale the contribution by the ratio for this event type.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MAX_SINGLE_EVENT_PCT</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10.0% — No single event contributes more than +/-10%</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MAX_TOTAL_EVENT_PCT</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15.0% — Total event adjustment capped at +/-15%</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RECENCY_HALF_LIFE</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62 days — Approximately 90-day effective window</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LLM Model</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Claude Opus 4.6 with 45s timeout per event</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Fallback</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Template midpoint, 0.5 probability, one-line chain</w:t>
            </w:r>
          </w:p>
        </w:tc>
      </w:tr>
    </w:tbl>
    <w:p>
      <w:r>
        <w:br w:type="page"/>
      </w:r>
    </w:p>
    <w:p>
      <w:pPr>
        <w:pStyle w:val="Heading1"/>
      </w:pPr>
      <w:r>
        <w:rPr>
          <w:rFonts w:ascii="Arial" w:cs="Arial" w:eastAsia="Arial" w:hAnsi="Arial"/>
          <w:sz w:val="22"/>
          <w:szCs w:val="22"/>
        </w:rPr>
        <w:t xml:space="preserve">8. Confidence Propagation Chain</w:t>
      </w:r>
    </w:p>
    <w:p>
      <w:pPr>
        <w:spacing w:after="80" w:before="80"/>
      </w:pPr>
      <w:r>
        <w:rPr>
          <w:rFonts w:ascii="Arial" w:cs="Arial" w:eastAsia="Arial" w:hAnsi="Arial"/>
          <w:sz w:val="22"/>
          <w:szCs w:val="22"/>
        </w:rPr>
        <w:t xml:space="preserve">Confidence measures data quality and model reliability, not bullishness or bearishness. It propagates through the entire pipeline: each scout emits a 0.0-1.0 score, the analyst aggregates them via weighted harmonic mean, the target engine degrades by scenario spread, and the dashboard renders a colored badge.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Scout Confidence</w:t>
            </w:r>
          </w:p>
          <w:p>
            <w:pPr>
              <w:jc w:val="center"/>
            </w:pPr>
            <w:r>
              <w:rPr>
                <w:rFonts w:ascii="Arial" w:cs="Arial" w:eastAsia="Arial" w:hAnsi="Arial"/>
                <w:color w:val="D5F5E3"/>
                <w:sz w:val="14"/>
                <w:szCs w:val="14"/>
              </w:rPr>
              <w:t xml:space="preserve">0.0-1.0 per scout</w:t>
            </w:r>
          </w:p>
        </w:tc>
        <w:tc>
          <w:tcPr>
            <w:tcW w:type="dxa" w:w="2340"/>
            <w:tcBorders>
              <w:top w:val="none" w:color="FFFFFF" w:sz="0"/>
              <w:left w:val="none" w:color="FFFFFF" w:sz="0"/>
              <w:bottom w:val="none" w:color="FFFFFF" w:sz="0"/>
              <w:right w:val="none" w:color="FFFFFF" w:sz="0"/>
            </w:tcBorders>
            <w:shd w:fill="2980B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Analyst Composite</w:t>
            </w:r>
          </w:p>
          <w:p>
            <w:pPr>
              <w:jc w:val="center"/>
            </w:pPr>
            <w:r>
              <w:rPr>
                <w:rFonts w:ascii="Arial" w:cs="Arial" w:eastAsia="Arial" w:hAnsi="Arial"/>
                <w:color w:val="D5F5E3"/>
                <w:sz w:val="14"/>
                <w:szCs w:val="14"/>
              </w:rPr>
              <w:t xml:space="preserve">Harmonic mean</w:t>
            </w:r>
          </w:p>
        </w:tc>
        <w:tc>
          <w:tcPr>
            <w:tcW w:type="dxa" w:w="2340"/>
            <w:tcBorders>
              <w:top w:val="none" w:color="FFFFFF" w:sz="0"/>
              <w:left w:val="none" w:color="FFFFFF" w:sz="0"/>
              <w:bottom w:val="none" w:color="FFFFFF" w:sz="0"/>
              <w:right w:val="none" w:color="FFFFFF" w:sz="0"/>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Engine Confidence</w:t>
            </w:r>
          </w:p>
          <w:p>
            <w:pPr>
              <w:jc w:val="center"/>
            </w:pPr>
            <w:r>
              <w:rPr>
                <w:rFonts w:ascii="Arial" w:cs="Arial" w:eastAsia="Arial" w:hAnsi="Arial"/>
                <w:color w:val="D5F5E3"/>
                <w:sz w:val="14"/>
                <w:szCs w:val="14"/>
              </w:rPr>
              <w:t xml:space="preserve">Spread-degraded</w:t>
            </w:r>
          </w:p>
        </w:tc>
        <w:tc>
          <w:tcPr>
            <w:tcW w:type="dxa" w:w="2340"/>
            <w:tcBorders>
              <w:top w:val="none" w:color="FFFFFF" w:sz="0"/>
              <w:left w:val="none" w:color="FFFFFF" w:sz="0"/>
              <w:bottom w:val="none" w:color="FFFFFF" w:sz="0"/>
              <w:right w:val="none" w:color="FFFFFF" w:sz="0"/>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Frontend Badge</w:t>
            </w:r>
          </w:p>
          <w:p>
            <w:pPr>
              <w:jc w:val="center"/>
            </w:pPr>
            <w:r>
              <w:rPr>
                <w:rFonts w:ascii="Arial" w:cs="Arial" w:eastAsia="Arial" w:hAnsi="Arial"/>
                <w:color w:val="D5F5E3"/>
                <w:sz w:val="14"/>
                <w:szCs w:val="14"/>
              </w:rPr>
              <w:t xml:space="preserve">High/Med/Low pill</w:t>
            </w:r>
          </w:p>
        </w:tc>
      </w:tr>
    </w:tbl>
    <w:p>
      <w:pPr>
        <w:spacing w:after="100" w:before="100"/>
      </w:pPr>
    </w:p>
    <w:p>
      <w:pPr>
        <w:pStyle w:val="Heading2"/>
      </w:pPr>
      <w:r>
        <w:rPr>
          <w:rFonts w:ascii="Arial" w:cs="Arial" w:eastAsia="Arial" w:hAnsi="Arial"/>
          <w:sz w:val="22"/>
          <w:szCs w:val="22"/>
        </w:rPr>
        <w:t xml:space="preserve">Propagation Mechanics</w:t>
      </w:r>
    </w:p>
    <w:p>
      <w:pPr>
        <w:pStyle w:val="ListParagraph"/>
        <w:numPr>
          <w:ilvl w:val="0"/>
          <w:numId w:val="2"/>
        </w:numPr>
        <w:spacing w:after="40" w:before="40"/>
      </w:pPr>
      <w:r>
        <w:rPr>
          <w:rFonts w:ascii="Arial" w:cs="Arial" w:eastAsia="Arial" w:hAnsi="Arial"/>
          <w:sz w:val="21"/>
          <w:szCs w:val="21"/>
        </w:rPr>
        <w:t xml:space="preserve">Scout layer: Each scout computes confidence based on data completeness, source count, and API response quality. Quant starts at 0.90 baseline (numerical, verifiable); social starts at 0.45 (inherently noisy).</w:t>
      </w:r>
    </w:p>
    <w:p>
      <w:pPr>
        <w:pStyle w:val="ListParagraph"/>
        <w:numPr>
          <w:ilvl w:val="0"/>
          <w:numId w:val="2"/>
        </w:numPr>
        <w:spacing w:after="40" w:before="40"/>
      </w:pPr>
      <w:r>
        <w:rPr>
          <w:rFonts w:ascii="Arial" w:cs="Arial" w:eastAsia="Arial" w:hAnsi="Arial"/>
          <w:sz w:val="21"/>
          <w:szCs w:val="21"/>
        </w:rPr>
        <w:t xml:space="preserve">Analyst layer: Weighted harmonic mean of all scout confidences. The harmonic mean naturally penalizes weak links — one scout at 0.30 drags the aggregate significantly more than arithmetic mean would.</w:t>
      </w:r>
    </w:p>
    <w:p>
      <w:pPr>
        <w:pStyle w:val="ListParagraph"/>
        <w:numPr>
          <w:ilvl w:val="0"/>
          <w:numId w:val="2"/>
        </w:numPr>
        <w:spacing w:after="40" w:before="40"/>
      </w:pPr>
      <w:r>
        <w:rPr>
          <w:rFonts w:ascii="Arial" w:cs="Arial" w:eastAsia="Arial" w:hAnsi="Arial"/>
          <w:sz w:val="21"/>
          <w:szCs w:val="21"/>
        </w:rPr>
        <w:t xml:space="preserve">Engine layer: Analyst confidence is degraded by scenario spread width. A 50% spread (+/-25%) is typical; wider spreads indicate higher model uncertainty. Additional penalties for circuit-breaker flags: EXTREME_TARGET (x0.50), KILL_SIGNAL_CONTRADICTION (x0.40), TARGET_SWING (x0.80), REGIME_CHANGE (x0.85).</w:t>
      </w:r>
    </w:p>
    <w:p>
      <w:pPr>
        <w:pStyle w:val="ListParagraph"/>
        <w:numPr>
          <w:ilvl w:val="0"/>
          <w:numId w:val="2"/>
        </w:numPr>
        <w:spacing w:after="40" w:before="40"/>
      </w:pPr>
      <w:r>
        <w:rPr>
          <w:rFonts w:ascii="Arial" w:cs="Arial" w:eastAsia="Arial" w:hAnsi="Arial"/>
          <w:sz w:val="21"/>
          <w:szCs w:val="21"/>
        </w:rPr>
        <w:t xml:space="preserve">Frontend layer: Confidence score is rendered as a colored pill badge next to every target price. High (green, &gt;=70%), Moderate (yellow, 40-70%), Low (amber, &lt;40%).</w:t>
      </w:r>
    </w:p>
    <w:p>
      <w:r>
        <w:br w:type="page"/>
      </w:r>
    </w:p>
    <w:p>
      <w:pPr>
        <w:pStyle w:val="Heading1"/>
      </w:pPr>
      <w:r>
        <w:rPr>
          <w:rFonts w:ascii="Arial" w:cs="Arial" w:eastAsia="Arial" w:hAnsi="Arial"/>
          <w:sz w:val="22"/>
          <w:szCs w:val="22"/>
        </w:rPr>
        <w:t xml:space="preserve">9. Feedback Loop &amp; Calibration</w:t>
      </w:r>
    </w:p>
    <w:p>
      <w:pPr>
        <w:spacing w:after="80" w:before="80"/>
      </w:pPr>
      <w:r>
        <w:rPr>
          <w:rFonts w:ascii="Arial" w:cs="Arial" w:eastAsia="Arial" w:hAnsi="Arial"/>
          <w:sz w:val="22"/>
          <w:szCs w:val="22"/>
        </w:rPr>
        <w:t xml:space="preserve">The feedback system is split into two complementary modules: the feedback loop (scout accuracy tracking and adaptive weight adjustment) and the calibration module (event magnitude and target price convergence tracking).</w:t>
      </w:r>
    </w:p>
    <w:p>
      <w:pPr>
        <w:spacing w:after="60" w:before="60"/>
      </w:pPr>
    </w:p>
    <w:p>
      <w:pPr>
        <w:pStyle w:val="Heading2"/>
      </w:pPr>
      <w:r>
        <w:rPr>
          <w:rFonts w:ascii="Arial" w:cs="Arial" w:eastAsia="Arial" w:hAnsi="Arial"/>
          <w:sz w:val="22"/>
          <w:szCs w:val="22"/>
        </w:rPr>
        <w:t xml:space="preserve">Scout Accuracy Tracking</w:t>
      </w:r>
    </w:p>
    <w:p>
      <w:pPr>
        <w:spacing w:after="80" w:before="80"/>
      </w:pPr>
      <w:r>
        <w:rPr>
          <w:rFonts w:ascii="Arial" w:cs="Arial" w:eastAsia="Arial" w:hAnsi="Arial"/>
          <w:sz w:val="22"/>
          <w:szCs w:val="22"/>
        </w:rPr>
        <w:t xml:space="preserve">The feedback loop evaluates signal outcomes across 7/30/60/90-day windows. For each historical signal, it compares the predicted direction to the actual price movement and records whether the prediction was correct. Accuracy stats are aggregated per scout.</w:t>
      </w:r>
    </w:p>
    <w:p>
      <w:pPr>
        <w:spacing w:after="80" w:before="80"/>
      </w:pPr>
      <w:r>
        <w:rPr>
          <w:rFonts w:ascii="Arial" w:cs="Arial" w:eastAsia="Arial" w:hAnsi="Arial"/>
          <w:sz w:val="22"/>
          <w:szCs w:val="22"/>
        </w:rPr>
        <w:t xml:space="preserve">Weight adjustment uses Bayesian beta-binomial shrinkage: the observed accuracy is blended with a 50% prior (no directional bias) using 50 pseudo-observations. With 10 real signals, data weight is 10/(10+50) = 17%. With 50 signals, it reaches 50%. This prevents low-sample scouts from producing wild weight swings.</w:t>
      </w:r>
    </w:p>
    <w:p>
      <w:pPr>
        <w:spacing w:after="60" w:before="60"/>
      </w:pPr>
    </w:p>
    <w:p>
      <w:pPr>
        <w:pStyle w:val="Heading2"/>
      </w:pPr>
      <w:r>
        <w:rPr>
          <w:rFonts w:ascii="Arial" w:cs="Arial" w:eastAsia="Arial" w:hAnsi="Arial"/>
          <w:sz w:val="22"/>
          <w:szCs w:val="22"/>
        </w:rPr>
        <w:t xml:space="preserve">Event Magnitude Calibration</w:t>
      </w:r>
    </w:p>
    <w:p>
      <w:pPr>
        <w:spacing w:after="80" w:before="80"/>
      </w:pPr>
      <w:r>
        <w:rPr>
          <w:rFonts w:ascii="Arial" w:cs="Arial" w:eastAsia="Arial" w:hAnsi="Arial"/>
          <w:sz w:val="22"/>
          <w:szCs w:val="22"/>
        </w:rPr>
        <w:t xml:space="preserve">The calibration module compares predicted event impacts to actual price movements over the event time horizon. For each event type with sufficient samples (&gt;=3), it computes a calibration ratio: actual_change / predicted_change. A ratio of 0.70 means the system consistently over-predicts by 30%. These ratios are automatically applied in the event_reasoner to scale future predictions toward historically observed magnitudes.</w:t>
      </w:r>
    </w:p>
    <w:p>
      <w:pPr>
        <w:spacing w:after="60" w:before="60"/>
      </w:pPr>
    </w:p>
    <w:p>
      <w:pPr>
        <w:pStyle w:val="Heading2"/>
      </w:pPr>
      <w:r>
        <w:rPr>
          <w:rFonts w:ascii="Arial" w:cs="Arial" w:eastAsia="Arial" w:hAnsi="Arial"/>
          <w:sz w:val="22"/>
          <w:szCs w:val="22"/>
        </w:rPr>
        <w:t xml:space="preserve">Target Price Convergence</w:t>
      </w:r>
    </w:p>
    <w:p>
      <w:pPr>
        <w:spacing w:after="80" w:before="80"/>
      </w:pPr>
      <w:r>
        <w:rPr>
          <w:rFonts w:ascii="Arial" w:cs="Arial" w:eastAsia="Arial" w:hAnsi="Arial"/>
          <w:sz w:val="22"/>
          <w:szCs w:val="22"/>
        </w:rPr>
        <w:t xml:space="preserve">The convergence tracker compares predicted target prices to actual price outcomes from the prediction_log and prediction_outcomes tables. It computes systematic bias (positive = too bullish, negative = too bearish), mean absolute error, and direction accuracy, stratified by archetype and sector. If overall bias exceeds 10%, a warning is surfaced.</w:t>
      </w:r>
    </w:p>
    <w:p>
      <w:r>
        <w:br w:type="page"/>
      </w:r>
    </w:p>
    <w:p>
      <w:pPr>
        <w:pStyle w:val="Heading1"/>
      </w:pPr>
      <w:r>
        <w:rPr>
          <w:rFonts w:ascii="Arial" w:cs="Arial" w:eastAsia="Arial" w:hAnsi="Arial"/>
          <w:sz w:val="22"/>
          <w:szCs w:val="22"/>
        </w:rPr>
        <w:t xml:space="preserve">10. Kill Condition Evaluation</w:t>
      </w:r>
    </w:p>
    <w:p>
      <w:pPr>
        <w:spacing w:after="80" w:before="80"/>
      </w:pPr>
      <w:r>
        <w:rPr>
          <w:rFonts w:ascii="Arial" w:cs="Arial" w:eastAsia="Arial" w:hAnsi="Arial"/>
          <w:sz w:val="22"/>
          <w:szCs w:val="22"/>
        </w:rPr>
        <w:t xml:space="preserve">Each stock in the watchlist has a plain-English kill condition — the specific scenario under which the investment thesis breaks. Examples include sustained margin compression, loss of market leadership, or regulatory action. The kill condition evaluator uses Claude to assess whether the condition is currently safe, showing warning signs, or fully triggered.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Evaluation Method</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Claude Opus 4.6 with current quant data, scout signals, and news context</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Output States</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safe (thesis intact) | warning (approaching threshold) | triggered (thesis broken)</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Confidence Score</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0.0-1.0 reflecting how certain the evaluation is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Evidence Array</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Specific data points supporting the assessment</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Pipeline Integration</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Runs during analyst stage; results displayed on dashboard</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Contradiction Check</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Circuit breaker flags if kill=triggered but signal=bullish</w:t>
            </w:r>
          </w:p>
        </w:tc>
      </w:tr>
    </w:tbl>
    <w:p>
      <w:pPr>
        <w:spacing w:after="60" w:before="60"/>
      </w:pPr>
    </w:p>
    <w:p>
      <w:pPr>
        <w:spacing w:after="80" w:before="80"/>
      </w:pPr>
      <w:r>
        <w:rPr>
          <w:rFonts w:ascii="Arial" w:cs="Arial" w:eastAsia="Arial" w:hAnsi="Arial"/>
          <w:sz w:val="22"/>
          <w:szCs w:val="22"/>
        </w:rPr>
        <w:t xml:space="preserve">Kill condition design follows a key principle: the kill condition must be falsifiable and specific. Vague conditions like "the company does badly" are rejected in favor of measurable thresholds like "gross margin below 40% for two consecutive quarters."</w:t>
      </w:r>
    </w:p>
    <w:p>
      <w:r>
        <w:br w:type="page"/>
      </w:r>
    </w:p>
    <w:p>
      <w:pPr>
        <w:pStyle w:val="Heading1"/>
      </w:pPr>
      <w:r>
        <w:rPr>
          <w:rFonts w:ascii="Arial" w:cs="Arial" w:eastAsia="Arial" w:hAnsi="Arial"/>
          <w:sz w:val="22"/>
          <w:szCs w:val="22"/>
        </w:rPr>
        <w:t xml:space="preserve">11. Forward Drivers &amp; Target Blending</w:t>
      </w:r>
    </w:p>
    <w:p>
      <w:pPr>
        <w:pStyle w:val="Heading2"/>
      </w:pPr>
      <w:r>
        <w:rPr>
          <w:rFonts w:ascii="Arial" w:cs="Arial" w:eastAsia="Arial" w:hAnsi="Arial"/>
          <w:sz w:val="22"/>
          <w:szCs w:val="22"/>
        </w:rPr>
        <w:t xml:space="preserve">Forward Drivers</w:t>
      </w:r>
    </w:p>
    <w:p>
      <w:pPr>
        <w:spacing w:after="80" w:before="80"/>
      </w:pPr>
      <w:r>
        <w:rPr>
          <w:rFonts w:ascii="Arial" w:cs="Arial" w:eastAsia="Arial" w:hAnsi="Arial"/>
          <w:sz w:val="22"/>
          <w:szCs w:val="22"/>
        </w:rPr>
        <w:t xml:space="preserve">The forward_drivers module bridges the gap between historical TTM data and forward-looking insights that scouts capture. It extracts quantified forward assumptions from scout signals (management guidance, moat assessments, TAM estimates) and presents them as overrides to the target engine. This prevents the engine from anchoring entirely on stale trailing-twelve-month financials.</w:t>
      </w:r>
    </w:p>
    <w:p>
      <w:pPr>
        <w:pStyle w:val="ListParagraph"/>
        <w:numPr>
          <w:ilvl w:val="0"/>
          <w:numId w:val="2"/>
        </w:numPr>
        <w:spacing w:after="40" w:before="40"/>
      </w:pPr>
      <w:r>
        <w:rPr>
          <w:rFonts w:ascii="Arial" w:cs="Arial" w:eastAsia="Arial" w:hAnsi="Arial"/>
          <w:sz w:val="21"/>
          <w:szCs w:val="21"/>
        </w:rPr>
        <w:t xml:space="preserve">Guided revenue growth (from earnings call transcripts, filings scout)</w:t>
      </w:r>
    </w:p>
    <w:p>
      <w:pPr>
        <w:pStyle w:val="ListParagraph"/>
        <w:numPr>
          <w:ilvl w:val="0"/>
          <w:numId w:val="2"/>
        </w:numPr>
        <w:spacing w:after="40" w:before="40"/>
      </w:pPr>
      <w:r>
        <w:rPr>
          <w:rFonts w:ascii="Arial" w:cs="Arial" w:eastAsia="Arial" w:hAnsi="Arial"/>
          <w:sz w:val="21"/>
          <w:szCs w:val="21"/>
        </w:rPr>
        <w:t xml:space="preserve">Moat width and durability assessment (from moat scout)</w:t>
      </w:r>
    </w:p>
    <w:p>
      <w:pPr>
        <w:pStyle w:val="ListParagraph"/>
        <w:numPr>
          <w:ilvl w:val="0"/>
          <w:numId w:val="2"/>
        </w:numPr>
        <w:spacing w:after="40" w:before="40"/>
      </w:pPr>
      <w:r>
        <w:rPr>
          <w:rFonts w:ascii="Arial" w:cs="Arial" w:eastAsia="Arial" w:hAnsi="Arial"/>
          <w:sz w:val="21"/>
          <w:szCs w:val="21"/>
        </w:rPr>
        <w:t xml:space="preserve">TAM growth rate and market share trajectory (from fundamentals scout)</w:t>
      </w:r>
    </w:p>
    <w:p>
      <w:pPr>
        <w:pStyle w:val="ListParagraph"/>
        <w:numPr>
          <w:ilvl w:val="0"/>
          <w:numId w:val="2"/>
        </w:numPr>
        <w:spacing w:after="40" w:before="40"/>
      </w:pPr>
      <w:r>
        <w:rPr>
          <w:rFonts w:ascii="Arial" w:cs="Arial" w:eastAsia="Arial" w:hAnsi="Arial"/>
          <w:sz w:val="21"/>
          <w:szCs w:val="21"/>
        </w:rPr>
        <w:t xml:space="preserve">Management and unit economics quality scores (from fundamentals scout)</w:t>
      </w:r>
    </w:p>
    <w:p>
      <w:pPr>
        <w:pStyle w:val="ListParagraph"/>
        <w:numPr>
          <w:ilvl w:val="0"/>
          <w:numId w:val="2"/>
        </w:numPr>
        <w:spacing w:after="40" w:before="40"/>
      </w:pPr>
      <w:r>
        <w:rPr>
          <w:rFonts w:ascii="Arial" w:cs="Arial" w:eastAsia="Arial" w:hAnsi="Arial"/>
          <w:sz w:val="21"/>
          <w:szCs w:val="21"/>
        </w:rPr>
        <w:t xml:space="preserve">Sentiment direction and confidence (from news scout)</w:t>
      </w:r>
    </w:p>
    <w:p>
      <w:pPr>
        <w:spacing w:after="60" w:before="60"/>
      </w:pPr>
    </w:p>
    <w:p>
      <w:pPr>
        <w:pStyle w:val="Heading2"/>
      </w:pPr>
      <w:r>
        <w:rPr>
          <w:rFonts w:ascii="Arial" w:cs="Arial" w:eastAsia="Arial" w:hAnsi="Arial"/>
          <w:sz w:val="22"/>
          <w:szCs w:val="22"/>
        </w:rPr>
        <w:t xml:space="preserve">Target Blending</w:t>
      </w:r>
    </w:p>
    <w:p>
      <w:pPr>
        <w:spacing w:after="80" w:before="80"/>
      </w:pPr>
      <w:r>
        <w:rPr>
          <w:rFonts w:ascii="Arial" w:cs="Arial" w:eastAsia="Arial" w:hAnsi="Arial"/>
          <w:sz w:val="22"/>
          <w:szCs w:val="22"/>
        </w:rPr>
        <w:t xml:space="preserve">The target_blend module dynamically weights DCF base targets against event-adjusted scenarios. Each company gets a projection_score (0.0-1.0) that places it on a spectrum from pure returns-focused to pure projection-bet. Revolutionary theses (LITE AI-infra) receive 100% event flow; mature companies receive only 30%.</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Event Weight Formula</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event_weight = 0.30 + 0.70 x projection_score</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Final Target Formula</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base_target x (1 + criteria_pct + event_weight x event_pct)</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Projection Score Range</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0.0 (pure returns-focused) to 1.0 (pure projection-bet)</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Score Contributors</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Revenue growth, forward P/E, user tags, valuation method</w:t>
            </w:r>
          </w:p>
        </w:tc>
      </w:tr>
    </w:tbl>
    <w:p>
      <w:r>
        <w:br w:type="page"/>
      </w:r>
    </w:p>
    <w:p>
      <w:pPr>
        <w:pStyle w:val="Heading1"/>
      </w:pPr>
      <w:r>
        <w:rPr>
          <w:rFonts w:ascii="Arial" w:cs="Arial" w:eastAsia="Arial" w:hAnsi="Arial"/>
          <w:sz w:val="22"/>
          <w:szCs w:val="22"/>
        </w:rPr>
        <w:t xml:space="preserve">12. Frontend &amp; Dashboard</w:t>
      </w:r>
    </w:p>
    <w:p>
      <w:pPr>
        <w:spacing w:after="80" w:before="80"/>
      </w:pPr>
      <w:r>
        <w:rPr>
          <w:rFonts w:ascii="Arial" w:cs="Arial" w:eastAsia="Arial" w:hAnsi="Arial"/>
          <w:sz w:val="22"/>
          <w:szCs w:val="22"/>
        </w:rPr>
        <w:t xml:space="preserve">The frontend is a Next.js 16 application with React 19, Tailwind CSS, and Three.js (for the discovery globe). It provides four main views: the conviction-ranked dashboard, the interactive model builder, the discovery universe scanner, and the activity logs page.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Dashboard</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Conviction-ranked stock list with composite scores, scout convergence badges, data quality indicators, sparkline history, and kill condition status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Model Builder</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Interactive slider interface for adjusting revenue growth, margins, and multiples. Real-time target recalculation with deduction chain, sensitivity table, and scenario breakdown</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Discovery Globe</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Three.js-powered 3D visualization for universe expansion. Three-stage funnel: universe scan, factor screening, deep-dive analysis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Logs Page</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Structured activity log with category/level/ticker filters, auto-refresh every 15 seconds, expandable entries, color-coded by severity level</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Health Panel</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API key status, regression test results, pipeline run health, scout success rates</w:t>
            </w:r>
          </w:p>
        </w:tc>
      </w:tr>
    </w:tbl>
    <w:p>
      <w:pPr>
        <w:spacing w:after="60" w:before="60"/>
      </w:pPr>
    </w:p>
    <w:p>
      <w:pPr>
        <w:pStyle w:val="Heading2"/>
      </w:pPr>
      <w:r>
        <w:rPr>
          <w:rFonts w:ascii="Arial" w:cs="Arial" w:eastAsia="Arial" w:hAnsi="Arial"/>
          <w:sz w:val="22"/>
          <w:szCs w:val="22"/>
        </w:rPr>
        <w:t xml:space="preserve">Key UI Features</w:t>
      </w:r>
    </w:p>
    <w:p>
      <w:pPr>
        <w:pStyle w:val="ListParagraph"/>
        <w:numPr>
          <w:ilvl w:val="0"/>
          <w:numId w:val="2"/>
        </w:numPr>
        <w:spacing w:after="40" w:before="40"/>
      </w:pPr>
      <w:r>
        <w:rPr>
          <w:rFonts w:ascii="Arial" w:cs="Arial" w:eastAsia="Arial" w:hAnsi="Arial"/>
          <w:sz w:val="21"/>
          <w:szCs w:val="21"/>
        </w:rPr>
        <w:t xml:space="preserve">Scout completeness badge: Shows X/9 scouts with confidence percentage. Green (high &gt;=70%), yellow (medium 40-70%), amber (low &lt;40%).</w:t>
      </w:r>
    </w:p>
    <w:p>
      <w:pPr>
        <w:pStyle w:val="ListParagraph"/>
        <w:numPr>
          <w:ilvl w:val="0"/>
          <w:numId w:val="2"/>
        </w:numPr>
        <w:spacing w:after="40" w:before="40"/>
      </w:pPr>
      <w:r>
        <w:rPr>
          <w:rFonts w:ascii="Arial" w:cs="Arial" w:eastAsia="Arial" w:hAnsi="Arial"/>
          <w:sz w:val="21"/>
          <w:szCs w:val="21"/>
        </w:rPr>
        <w:t xml:space="preserve">Engine confidence pill: Colored badge next to target price showing data quality assessment. Tooltip explains it measures reliability, not bullishness.</w:t>
      </w:r>
    </w:p>
    <w:p>
      <w:pPr>
        <w:pStyle w:val="ListParagraph"/>
        <w:numPr>
          <w:ilvl w:val="0"/>
          <w:numId w:val="2"/>
        </w:numPr>
        <w:spacing w:after="40" w:before="40"/>
      </w:pPr>
      <w:r>
        <w:rPr>
          <w:rFonts w:ascii="Arial" w:cs="Arial" w:eastAsia="Arial" w:hAnsi="Arial"/>
          <w:sz w:val="21"/>
          <w:szCs w:val="21"/>
        </w:rPr>
        <w:t xml:space="preserve">Kill condition indicator: Status badge (safe/warning/triggered) with evidence tooltip.</w:t>
      </w:r>
    </w:p>
    <w:p>
      <w:pPr>
        <w:pStyle w:val="ListParagraph"/>
        <w:numPr>
          <w:ilvl w:val="0"/>
          <w:numId w:val="2"/>
        </w:numPr>
        <w:spacing w:after="40" w:before="40"/>
      </w:pPr>
      <w:r>
        <w:rPr>
          <w:rFonts w:ascii="Arial" w:cs="Arial" w:eastAsia="Arial" w:hAnsi="Arial"/>
          <w:sz w:val="21"/>
          <w:szCs w:val="21"/>
        </w:rPr>
        <w:t xml:space="preserve">Deduction chain: Step-by-step waterfall showing how target price is derived from revenue, margins, multiple, shares, and debt.</w:t>
      </w:r>
    </w:p>
    <w:p>
      <w:r>
        <w:br w:type="page"/>
      </w:r>
    </w:p>
    <w:p>
      <w:pPr>
        <w:pStyle w:val="Heading1"/>
      </w:pPr>
      <w:r>
        <w:rPr>
          <w:rFonts w:ascii="Arial" w:cs="Arial" w:eastAsia="Arial" w:hAnsi="Arial"/>
          <w:sz w:val="22"/>
          <w:szCs w:val="22"/>
        </w:rPr>
        <w:t xml:space="preserve">13. Observability &amp; Logging</w:t>
      </w:r>
    </w:p>
    <w:p>
      <w:pPr>
        <w:spacing w:after="80" w:before="80"/>
      </w:pPr>
      <w:r>
        <w:rPr>
          <w:rFonts w:ascii="Arial" w:cs="Arial" w:eastAsia="Arial" w:hAnsi="Arial"/>
          <w:sz w:val="22"/>
          <w:szCs w:val="22"/>
        </w:rPr>
        <w:t xml:space="preserve">The system implements structured observability through the activity_logger module. Every pipeline event (scout execution, analyst scoring, circuit breaker warnings, model generation, errors) is recorded to the activity_log Supabase table with consistent structure. The logger operates fire-and-forget: it never raises exceptions and never blocks the pipeline.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Table</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activity_log (Supabase)</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Columns</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id, created_at, category, level, ticker, source, title, message, run_id, metadata (jsonb), duration_ms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Log Levels</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info, warn, error</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Categories</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scout, circuit_breaker, analyst, model, pipeline, error</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Context Manager</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LogTimer — wraps any code block, auto-logs duration and any exceptions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Dashboard</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/logs page with filters, pagination, auto-refresh, expandable entries</w:t>
            </w:r>
          </w:p>
        </w:tc>
      </w:tr>
    </w:tbl>
    <w:p>
      <w:r>
        <w:br w:type="page"/>
      </w:r>
    </w:p>
    <w:p>
      <w:pPr>
        <w:pStyle w:val="Heading1"/>
      </w:pPr>
      <w:r>
        <w:rPr>
          <w:rFonts w:ascii="Arial" w:cs="Arial" w:eastAsia="Arial" w:hAnsi="Arial"/>
          <w:sz w:val="22"/>
          <w:szCs w:val="22"/>
        </w:rPr>
        <w:t xml:space="preserve">14. Key Thresholds &amp; Parameters</w:t>
      </w:r>
    </w:p>
    <w:p>
      <w:pPr>
        <w:spacing w:after="80" w:before="80"/>
      </w:pPr>
      <w:r>
        <w:rPr>
          <w:rFonts w:ascii="Arial" w:cs="Arial" w:eastAsia="Arial" w:hAnsi="Arial"/>
          <w:sz w:val="22"/>
          <w:szCs w:val="22"/>
        </w:rPr>
        <w:t xml:space="preserve">The following table consolidates all critical thresholds and parameters across the system. These values are defined in the single-source registries (registries.py / registries.ts) and referenced throughout the pipeline.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400"/>
        <w:gridCol w:w="3560"/>
      </w:tblGrid>
      <w:t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Parameter</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c>
          <w:tcPr>
            <w:tcW w:type="dxa" w:w="35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Registries</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MIN_SCOUTS_HIGH_CONFIDENCE</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4</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Scouts required for HIGH conviction</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Registries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DISAGREEMENT_SIGMA</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3.0</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Inter-scout disagreement threshold</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Registries</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MAX_COMPOSITE_SWING</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2.0</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Score change triggering regime warning</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Registries</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MAX_TARGET_CHANGE_FRAC</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30%</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Max target drift between runs</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Registries</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MAX_TARGET_PRICE_RATIO</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3.0x</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Extreme prediction cap</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Analyst</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Factor weight sum</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1.00</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Normalized across 6 factors</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Confidence</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Harmonic mean</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0.0 floor</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Penalizes weak links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Event Reasoner</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Single event cap</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10%</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Max single event impact</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Event Reasoner</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Total event cap</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15%</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Max aggregate event impact</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Event Reasoner</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Recency half-life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62 days</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~90-day effective window</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Feedback Loop</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Prior strength</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50</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Bayesian pseudo-observations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Feedback Loop</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Min signals</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10</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Min outcomes before adjusting</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Target Engine</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Terminal growth cap</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2.5%</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Max perpetual growth rate</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Target Engine</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WACC default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12%</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Constant across scenarios</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Target Engine</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ROIIC fade years</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7</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Competitive advantage decay</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Target Blend</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Event weight range</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0.30-1.00</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Returns-focused to projection-bet</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Pipeline</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Full runtime</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10-15 min</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50 stocks with parallel scouts</w:t>
            </w:r>
          </w:p>
        </w:tc>
      </w:tr>
      <w:tr>
        <w:tc>
          <w:tcPr>
            <w:tcW w:type="dxa" w:w="2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Pipeline</w:t>
            </w:r>
          </w:p>
        </w:tc>
        <w:tc>
          <w:tcPr>
            <w:tcW w:type="dxa" w:w="2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Claude timeout</w:t>
            </w:r>
          </w:p>
        </w:tc>
        <w:tc>
          <w:tcPr>
            <w:tcW w:type="dxa" w:w="14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b/>
                <w:bCs/>
                <w:sz w:val="18"/>
                <w:szCs w:val="18"/>
              </w:rPr>
              <w:t xml:space="preserve">180s</w:t>
            </w:r>
          </w:p>
        </w:tc>
        <w:tc>
          <w:tcPr>
            <w:tcW w:type="dxa" w:w="356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18"/>
                <w:szCs w:val="18"/>
              </w:rPr>
              <w:t xml:space="preserve">Model generation timeout</w:t>
            </w:r>
          </w:p>
        </w:tc>
      </w:tr>
      <w:tr>
        <w:tc>
          <w:tcPr>
            <w:tcW w:type="dxa" w:w="2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Pipeline</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Perplexity timeout</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b/>
                <w:bCs/>
                <w:sz w:val="18"/>
                <w:szCs w:val="18"/>
              </w:rPr>
              <w:t xml:space="preserve">30s</w:t>
            </w:r>
          </w:p>
        </w:tc>
        <w:tc>
          <w:tcPr>
            <w:tcW w:type="dxa" w:w="356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18"/>
                <w:szCs w:val="18"/>
              </w:rPr>
              <w:t xml:space="preserve">Research query timeout</w:t>
            </w:r>
          </w:p>
        </w:tc>
      </w:tr>
    </w:tbl>
    <w:p>
      <w:r>
        <w:br w:type="page"/>
      </w:r>
    </w:p>
    <w:p>
      <w:pPr>
        <w:pStyle w:val="Heading1"/>
      </w:pPr>
      <w:r>
        <w:rPr>
          <w:rFonts w:ascii="Arial" w:cs="Arial" w:eastAsia="Arial" w:hAnsi="Arial"/>
          <w:sz w:val="22"/>
          <w:szCs w:val="22"/>
        </w:rPr>
        <w:t xml:space="preserve">15. Watchlist Composition</w:t>
      </w:r>
    </w:p>
    <w:p>
      <w:pPr>
        <w:spacing w:after="80" w:before="80"/>
      </w:pPr>
      <w:r>
        <w:rPr>
          <w:rFonts w:ascii="Arial" w:cs="Arial" w:eastAsia="Arial" w:hAnsi="Arial"/>
          <w:sz w:val="22"/>
          <w:szCs w:val="22"/>
        </w:rPr>
        <w:t xml:space="preserve">The watchlist contains 50 sector-stratified stocks organized into a core group and two expansion waves. Each stock entry includes a thesis statement, specific kill condition, target price with valuation model, 3-scenario probability framework, and 8-12 measurable criteria.</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Core (6 stocks)</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LITE, PLTR, RKLB, ACHR, CELH, SNDK</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1 (8 stocks)</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ASML, 6082.HK, COHR, NOK, ALAB, U, FSLY, CRCL</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Semis</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MRVL, WOLF, CEVA, MTSI</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AI Software</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PATH, SOUN, BBAI, AI</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Cybersecurity</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 ZS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Cloud/Data</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NET, MDB, CFLT</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Biotech</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RXRX, BEAM, CRSP</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Clean Energy</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ENPH, BE, FSLR</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Fintech</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SOFI, AFRM, HOOD</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Space</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ASTS, LUNR, RDW</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Quantum</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IONQ, RGTI, QBTS</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Consumer/EdTech</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DUOL, GRAB</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Robotics/Mobility</w:t>
            </w:r>
          </w:p>
        </w:tc>
        <w:tc>
          <w:tcPr>
            <w:tcW w:type="dxa" w:w="6084"/>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r>
              <w:rPr>
                <w:rFonts w:ascii="Arial" w:cs="Arial" w:eastAsia="Arial" w:hAnsi="Arial"/>
                <w:sz w:val="20"/>
                <w:szCs w:val="20"/>
              </w:rPr>
              <w:t xml:space="preserve">SERV, JOBY</w:t>
            </w:r>
          </w:p>
        </w:tc>
      </w:tr>
      <w:tr>
        <w:tc>
          <w:tcPr>
            <w:tcW w:type="dxa" w:w="3276"/>
            <w:tcBorders>
              <w:top w:val="single" w:color="BDC3C7" w:sz="1"/>
              <w:left w:val="single" w:color="BDC3C7" w:sz="1"/>
              <w:bottom w:val="single" w:color="BDC3C7" w:sz="1"/>
              <w:right w:val="single" w:color="BDC3C7" w:sz="1"/>
            </w:tcBorders>
            <w:shd w:fill="D4E6F1" w:val="clear"/>
            <w:tcMar>
              <w:top w:type="dxa" w:w="60"/>
              <w:left w:type="dxa" w:w="100"/>
              <w:bottom w:type="dxa" w:w="60"/>
              <w:right w:type="dxa" w:w="100"/>
            </w:tcMar>
            <w:vAlign w:val="center"/>
          </w:tcPr>
          <w:p>
            <w:r>
              <w:rPr>
                <w:rFonts w:ascii="Arial" w:cs="Arial" w:eastAsia="Arial" w:hAnsi="Arial"/>
                <w:b/>
                <w:bCs/>
                <w:color w:val="1B4F72"/>
                <w:sz w:val="20"/>
                <w:szCs w:val="20"/>
              </w:rPr>
              <w:t xml:space="preserve">Wave 2 — Other</w:t>
            </w:r>
          </w:p>
        </w:tc>
        <w:tc>
          <w:tcPr>
            <w:tcW w:type="dxa" w:w="6084"/>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RIVN, DDOG, AXON, TMC</w:t>
            </w:r>
          </w:p>
        </w:tc>
      </w:tr>
    </w:tbl>
    <w:p>
      <w:r>
        <w:br w:type="page"/>
      </w:r>
    </w:p>
    <w:p>
      <w:pPr>
        <w:pStyle w:val="Heading1"/>
      </w:pPr>
      <w:r>
        <w:rPr>
          <w:rFonts w:ascii="Arial" w:cs="Arial" w:eastAsia="Arial" w:hAnsi="Arial"/>
          <w:sz w:val="22"/>
          <w:szCs w:val="22"/>
        </w:rPr>
        <w:t xml:space="preserve">16. System Assessment</w:t>
      </w:r>
    </w:p>
    <w:p>
      <w:pPr>
        <w:spacing w:after="60" w:before="60"/>
      </w:pPr>
    </w:p>
    <w:p>
      <w:pPr>
        <w:pStyle w:val="Heading2"/>
      </w:pPr>
      <w:r>
        <w:rPr>
          <w:rFonts w:ascii="Arial" w:cs="Arial" w:eastAsia="Arial" w:hAnsi="Arial"/>
          <w:sz w:val="22"/>
          <w:szCs w:val="22"/>
        </w:rPr>
        <w:t xml:space="preserve">Strengths</w:t>
      </w:r>
    </w:p>
    <w:p>
      <w:pPr>
        <w:pStyle w:val="ListParagraph"/>
        <w:numPr>
          <w:ilvl w:val="0"/>
          <w:numId w:val="2"/>
        </w:numPr>
        <w:spacing w:after="40" w:before="40"/>
      </w:pPr>
      <w:r>
        <w:rPr>
          <w:rFonts w:ascii="Arial" w:cs="Arial" w:eastAsia="Arial" w:hAnsi="Arial"/>
          <w:sz w:val="21"/>
          <w:szCs w:val="21"/>
        </w:rPr>
        <w:t xml:space="preserve">Multi-source redundancy: 10 independent scouts prevent single-point-of-failure in signal collection. No single API outage or LLM hallucination can poison the composite score.</w:t>
      </w:r>
    </w:p>
    <w:p>
      <w:pPr>
        <w:pStyle w:val="ListParagraph"/>
        <w:numPr>
          <w:ilvl w:val="0"/>
          <w:numId w:val="2"/>
        </w:numPr>
        <w:spacing w:after="40" w:before="40"/>
      </w:pPr>
      <w:r>
        <w:rPr>
          <w:rFonts w:ascii="Arial" w:cs="Arial" w:eastAsia="Arial" w:hAnsi="Arial"/>
          <w:sz w:val="21"/>
          <w:szCs w:val="21"/>
        </w:rPr>
        <w:t xml:space="preserve">Institutional rigor: The DCF engine implements standard sell-side methodology (Gordon Growth with ROIIC fade, scenario-specific drivers, archetype-aware horizons) rather than naive rule-based pricing.</w:t>
      </w:r>
    </w:p>
    <w:p>
      <w:pPr>
        <w:pStyle w:val="ListParagraph"/>
        <w:numPr>
          <w:ilvl w:val="0"/>
          <w:numId w:val="2"/>
        </w:numPr>
        <w:spacing w:after="40" w:before="40"/>
      </w:pPr>
      <w:r>
        <w:rPr>
          <w:rFonts w:ascii="Arial" w:cs="Arial" w:eastAsia="Arial" w:hAnsi="Arial"/>
          <w:sz w:val="21"/>
          <w:szCs w:val="21"/>
        </w:rPr>
        <w:t xml:space="preserve">End-to-end confidence: Every intermediate value carries a quality score. Users see not just the target price but how much to trust it. This is rare even in commercial platforms.</w:t>
      </w:r>
    </w:p>
    <w:p>
      <w:pPr>
        <w:pStyle w:val="ListParagraph"/>
        <w:numPr>
          <w:ilvl w:val="0"/>
          <w:numId w:val="2"/>
        </w:numPr>
        <w:spacing w:after="40" w:before="40"/>
      </w:pPr>
      <w:r>
        <w:rPr>
          <w:rFonts w:ascii="Arial" w:cs="Arial" w:eastAsia="Arial" w:hAnsi="Arial"/>
          <w:sz w:val="21"/>
          <w:szCs w:val="21"/>
        </w:rPr>
        <w:t xml:space="preserve">Self-correcting feedback: The calibration module compares predictions against outcomes and automatically adjusts event magnitudes and scout weights. Most research systems are static.</w:t>
      </w:r>
    </w:p>
    <w:p>
      <w:pPr>
        <w:pStyle w:val="ListParagraph"/>
        <w:numPr>
          <w:ilvl w:val="0"/>
          <w:numId w:val="2"/>
        </w:numPr>
        <w:spacing w:after="40" w:before="40"/>
      </w:pPr>
      <w:r>
        <w:rPr>
          <w:rFonts w:ascii="Arial" w:cs="Arial" w:eastAsia="Arial" w:hAnsi="Arial"/>
          <w:sz w:val="21"/>
          <w:szCs w:val="21"/>
        </w:rPr>
        <w:t xml:space="preserve">Defense in depth: Three circuit breaker layers (scout-to-analyst, analyst-to-engine, engine-to-frontend) prevent cascade failures where bad data produces a confidently wrong target.</w:t>
      </w:r>
    </w:p>
    <w:p>
      <w:pPr>
        <w:pStyle w:val="ListParagraph"/>
        <w:numPr>
          <w:ilvl w:val="0"/>
          <w:numId w:val="2"/>
        </w:numPr>
        <w:spacing w:after="40" w:before="40"/>
      </w:pPr>
      <w:r>
        <w:rPr>
          <w:rFonts w:ascii="Arial" w:cs="Arial" w:eastAsia="Arial" w:hAnsi="Arial"/>
          <w:sz w:val="21"/>
          <w:szCs w:val="21"/>
        </w:rPr>
        <w:t xml:space="preserve">Falsifiable kill conditions: Every stock has a specific, measurable condition that would break the thesis. This forces intellectual honesty and prevents thesis creep.</w:t>
      </w:r>
    </w:p>
    <w:p>
      <w:pPr>
        <w:spacing w:after="80" w:before="80"/>
      </w:pPr>
    </w:p>
    <w:p>
      <w:pPr>
        <w:pStyle w:val="Heading2"/>
      </w:pPr>
      <w:r>
        <w:rPr>
          <w:rFonts w:ascii="Arial" w:cs="Arial" w:eastAsia="Arial" w:hAnsi="Arial"/>
          <w:sz w:val="22"/>
          <w:szCs w:val="22"/>
        </w:rPr>
        <w:t xml:space="preserve">Areas for Improvement</w:t>
      </w:r>
    </w:p>
    <w:p>
      <w:pPr>
        <w:pStyle w:val="ListParagraph"/>
        <w:numPr>
          <w:ilvl w:val="0"/>
          <w:numId w:val="2"/>
        </w:numPr>
        <w:spacing w:after="40" w:before="40"/>
      </w:pPr>
      <w:r>
        <w:rPr>
          <w:rFonts w:ascii="Arial" w:cs="Arial" w:eastAsia="Arial" w:hAnsi="Arial"/>
          <w:sz w:val="21"/>
          <w:szCs w:val="21"/>
        </w:rPr>
        <w:t xml:space="preserve">Calibration data accumulation: Event magnitude calibration and target convergence tracking require several months of prediction history before producing statistically significant ratios. The system is currently bootstrapping this dataset.</w:t>
      </w:r>
    </w:p>
    <w:p>
      <w:pPr>
        <w:pStyle w:val="ListParagraph"/>
        <w:numPr>
          <w:ilvl w:val="0"/>
          <w:numId w:val="2"/>
        </w:numPr>
        <w:spacing w:after="40" w:before="40"/>
      </w:pPr>
      <w:r>
        <w:rPr>
          <w:rFonts w:ascii="Arial" w:cs="Arial" w:eastAsia="Arial" w:hAnsi="Arial"/>
          <w:sz w:val="21"/>
          <w:szCs w:val="21"/>
        </w:rPr>
        <w:t xml:space="preserve">Data source concentration: Three of 10 scouts depend on Perplexity, and the model generator depends on Claude. An extended Anthropic or Perplexity outage would degrade more than half the pipeline.</w:t>
      </w:r>
    </w:p>
    <w:p>
      <w:pPr>
        <w:pStyle w:val="ListParagraph"/>
        <w:numPr>
          <w:ilvl w:val="0"/>
          <w:numId w:val="2"/>
        </w:numPr>
        <w:spacing w:after="40" w:before="40"/>
      </w:pPr>
      <w:r>
        <w:rPr>
          <w:rFonts w:ascii="Arial" w:cs="Arial" w:eastAsia="Arial" w:hAnsi="Arial"/>
          <w:sz w:val="21"/>
          <w:szCs w:val="21"/>
        </w:rPr>
        <w:t xml:space="preserve">International coverage: The watchlist is predominantly US-listed. The single HK-listed stock (6082.HK) has known data gaps with yfinance. Expanding internationally would require additional data providers.</w:t>
      </w:r>
    </w:p>
    <w:p>
      <w:pPr>
        <w:pStyle w:val="ListParagraph"/>
        <w:numPr>
          <w:ilvl w:val="0"/>
          <w:numId w:val="2"/>
        </w:numPr>
        <w:spacing w:after="40" w:before="40"/>
      </w:pPr>
      <w:r>
        <w:rPr>
          <w:rFonts w:ascii="Arial" w:cs="Arial" w:eastAsia="Arial" w:hAnsi="Arial"/>
          <w:sz w:val="21"/>
          <w:szCs w:val="21"/>
        </w:rPr>
        <w:t xml:space="preserve">Backtesting maturity: While the walk-forward and CPCV harnesses exist, the system has been operational for months, not years. Long-cycle validation (full bear market, regime changes) is pending.</w:t>
      </w:r>
    </w:p>
    <w:p>
      <w:pPr>
        <w:pStyle w:val="ListParagraph"/>
        <w:numPr>
          <w:ilvl w:val="0"/>
          <w:numId w:val="2"/>
        </w:numPr>
        <w:spacing w:after="40" w:before="40"/>
      </w:pPr>
      <w:r>
        <w:rPr>
          <w:rFonts w:ascii="Arial" w:cs="Arial" w:eastAsia="Arial" w:hAnsi="Arial"/>
          <w:sz w:val="21"/>
          <w:szCs w:val="21"/>
        </w:rPr>
        <w:t xml:space="preserve">Forward driver extraction: The forward_drivers module is intentionally forgiving with parse failures. This means some scout insights (especially qualitative moat assessments) may not propagate quantitatively into the DCF model.</w:t>
      </w:r>
    </w:p>
    <w:p>
      <w:pPr>
        <w:spacing w:after="80" w:before="80"/>
      </w:pPr>
    </w:p>
    <w:p>
      <w:pPr>
        <w:pStyle w:val="Heading2"/>
      </w:pPr>
      <w:r>
        <w:rPr>
          <w:rFonts w:ascii="Arial" w:cs="Arial" w:eastAsia="Arial" w:hAnsi="Arial"/>
          <w:sz w:val="22"/>
          <w:szCs w:val="22"/>
        </w:rPr>
        <w:t xml:space="preserve">Overall Assessment</w:t>
      </w:r>
    </w:p>
    <w:p>
      <w:pPr>
        <w:spacing w:after="80" w:before="80"/>
      </w:pPr>
      <w:r>
        <w:rPr>
          <w:rFonts w:ascii="Arial" w:cs="Arial" w:eastAsia="Arial" w:hAnsi="Arial"/>
          <w:sz w:val="22"/>
          <w:szCs w:val="22"/>
        </w:rPr>
        <w:t xml:space="preserve">Stock Radar is a mature, production-grade system that embeds institutional best practices in a fully automated pipeline. Its architecture is sound: the separation of scouts, analyst, and engine creates clean boundaries with circuit breakers at each transition. The confidence propagation chain is its most distinctive feature — few systems, commercial or otherwise, carry data quality annotations from the signal source all the way to the user interface.</w:t>
      </w:r>
    </w:p>
    <w:p>
      <w:pPr>
        <w:spacing w:after="80" w:before="80"/>
      </w:pPr>
      <w:r>
        <w:rPr>
          <w:rFonts w:ascii="Arial" w:cs="Arial" w:eastAsia="Arial" w:hAnsi="Arial"/>
          <w:sz w:val="22"/>
          <w:szCs w:val="22"/>
        </w:rPr>
        <w:t xml:space="preserve">The feedback loop and calibration modules represent the system's learning capacity. As prediction history accumulates, scout weights will drift toward empirically validated allocations, and event magnitude estimates will converge toward market-observed reactions. This is the right foundation for a system that gets better with time rather than drifting.</w:t>
      </w:r>
    </w:p>
    <w:p>
      <w:pPr>
        <w:spacing w:after="80" w:before="80"/>
      </w:pPr>
      <w:r>
        <w:rPr>
          <w:rFonts w:ascii="Arial" w:cs="Arial" w:eastAsia="Arial" w:hAnsi="Arial"/>
          <w:sz w:val="22"/>
          <w:szCs w:val="22"/>
        </w:rPr>
        <w:t xml:space="preserve">The primary risk is operational: the system depends on multiple external APIs (Claude, Perplexity, Gemini, EODHD, Supabase) and any extended outage would degrade output quality. The graceful degradation design (fallback modes, free scouts, JSON-local persistence) mitigates this, but does not eliminate it.</w:t>
      </w:r>
    </w:p>
    <w:p>
      <w:pPr>
        <w:spacing w:after="80" w:before="80"/>
      </w:pPr>
      <w:r>
        <w:rPr>
          <w:rFonts w:ascii="Arial" w:cs="Arial" w:eastAsia="Arial" w:hAnsi="Arial"/>
          <w:sz w:val="22"/>
          <w:szCs w:val="22"/>
        </w:rPr>
        <w:t xml:space="preserve">At 50 stocks with daily pipeline runs, the system is operating well within its capacity. The architecture would support 200+ stocks with modest scaling adjustments (parallel model generation, batched API calls, query optimization). The single-source registries and typed interfaces ensure that adding new scouts, archetypes, or valuation methods is structurally safe.</w:t>
      </w:r>
    </w:p>
    <w:p>
      <w:pPr>
        <w:spacing w:after="200" w:before="200"/>
      </w:pPr>
    </w:p>
    <w:p>
      <w:pPr>
        <w:jc w:val="center"/>
      </w:pPr>
      <w:r>
        <w:rPr>
          <w:rFonts w:ascii="Arial" w:cs="Arial" w:eastAsia="Arial" w:hAnsi="Arial"/>
          <w:i/>
          <w:iCs/>
          <w:color w:val="95A5A6"/>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2"/>
        <w:szCs w:val="22"/>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95A5A6"/>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5A5A6"/>
        <w:sz w:val="16"/>
        <w:szCs w:val="16"/>
      </w:rPr>
      <w:t xml:space="preserve">Stock Radar — System Architecture &amp;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6C1" w:sz="6" w:space="4"/>
      </w:pBd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2026-04-25T04:18:22.306Z</dcterms:created>
  <dcterms:modified xsi:type="dcterms:W3CDTF">2026-04-25T04:18:22.306Z</dcterms:modified>
</cp:coreProperties>
</file>

<file path=docProps/custom.xml><?xml version="1.0" encoding="utf-8"?>
<Properties xmlns="http://schemas.openxmlformats.org/officeDocument/2006/custom-properties" xmlns:vt="http://schemas.openxmlformats.org/officeDocument/2006/docPropsVTypes"/>
</file>