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8"/>
          <w:szCs w:val="48"/>
        </w:rPr>
        <w:t xml:space="preserve">ADAPTIVE ROUTING ARCHITECTURE</w:t>
      </w:r>
    </w:p>
    <w:p>
      <w:pPr>
        <w:spacing w:after="120"/>
        <w:jc w:val="center"/>
      </w:pPr>
      <w:r>
        <w:rPr>
          <w:rFonts w:ascii="Arial" w:cs="Arial" w:eastAsia="Arial" w:hAnsi="Arial"/>
          <w:color w:val="7F8C8D"/>
          <w:sz w:val="28"/>
          <w:szCs w:val="28"/>
        </w:rPr>
        <w:t xml:space="preserve">From Binary Gates to Continuous Scoring</w:t>
      </w:r>
    </w:p>
    <w:p>
      <w:pPr>
        <w:spacing w:after="600"/>
        <w:jc w:val="center"/>
      </w:pPr>
      <w:r>
        <w:rPr>
          <w:rFonts w:ascii="Arial" w:cs="Arial" w:eastAsia="Arial" w:hAnsi="Arial"/>
          <w:color w:val="7F8C8D"/>
          <w:sz w:val="22"/>
          <w:szCs w:val="22"/>
        </w:rPr>
        <w:t xml:space="preserve">Stock Radar Target Engine  •  April 2026</w:t>
      </w:r>
    </w:p>
    <w:p>
      <w:pPr>
        <w:pBdr>
          <w:top w:val="single" w:color="85C1E9" w:sz="2" w:space="8"/>
        </w:pBdr>
        <w:spacing w:after="160" w:before="400"/>
        <w:jc w:val="center"/>
      </w:pPr>
      <w:r>
        <w:rPr>
          <w:rFonts w:ascii="Arial" w:cs="Arial" w:eastAsia="Arial" w:hAnsi="Arial"/>
          <w:i/>
          <w:iCs/>
          <w:color w:val="7F8C8D"/>
          <w:sz w:val="20"/>
          <w:szCs w:val="20"/>
        </w:rPr>
        <w:t xml:space="preserve">Internal Technical Report</w:t>
      </w:r>
    </w:p>
    <w:p>
      <w:pPr>
        <w:jc w:val="center"/>
      </w:pPr>
      <w:r>
        <w:rPr>
          <w:rFonts w:ascii="Arial" w:cs="Arial" w:eastAsia="Arial" w:hAnsi="Arial"/>
          <w:color w:val="7F8C8D"/>
          <w:sz w:val="20"/>
          <w:szCs w:val="20"/>
        </w:rPr>
        <w:t xml:space="preserve">Prepared for: Hume  •  Confidential</w:t>
      </w:r>
    </w:p>
    <w:p>
      <w:r>
        <w:br w:type="page"/>
      </w:r>
    </w:p>
    <w:p>
      <w:pPr>
        <w:pStyle w:val="Heading1"/>
        <w:spacing w:after="160" w:before="360"/>
      </w:pPr>
      <w:r>
        <w:rPr>
          <w:rFonts w:ascii="Arial" w:cs="Arial" w:eastAsia="Arial" w:hAnsi="Arial"/>
        </w:rPr>
        <w:t xml:space="preserve">Executive Summary</w:t>
      </w:r>
    </w:p>
    <w:p>
      <w:pPr>
        <w:spacing w:after="160"/>
      </w:pPr>
      <w:r>
        <w:rPr>
          <w:rFonts w:ascii="Arial" w:cs="Arial" w:eastAsia="Arial" w:hAnsi="Arial"/>
          <w:sz w:val="22"/>
          <w:szCs w:val="22"/>
        </w:rPr>
        <w:t xml:space="preserve">The Stock Radar target engine currently contains 78+ hardcoded numerical thresholds across 8 files. These thresholds control everything from valuation routing (which companies use P/S vs. EV/EBITDA) to margin ramp speeds, multiple caps, event impact weights, and data validation gates.</w:t>
      </w:r>
    </w:p>
    <w:p>
      <w:pPr>
        <w:spacing w:after="160"/>
      </w:pPr>
      <w:r>
        <w:rPr>
          <w:rFonts w:ascii="Arial" w:cs="Arial" w:eastAsia="Arial" w:hAnsi="Arial"/>
          <w:sz w:val="22"/>
          <w:szCs w:val="22"/>
        </w:rPr>
        <w:t xml:space="preserve">This report classifies every threshold into one of two categories:</w:t>
      </w:r>
    </w:p>
    <w:p>
      <w:pPr>
        <w:pStyle w:val="ListParagraph"/>
        <w:numPr>
          <w:ilvl w:val="0"/>
          <w:numId w:val="2"/>
        </w:numPr>
        <w:spacing w:after="80"/>
      </w:pPr>
      <w:r>
        <w:rPr>
          <w:rFonts w:ascii="Arial" w:cs="Arial" w:eastAsia="Arial" w:hAnsi="Arial"/>
          <w:b/>
          <w:bCs/>
          <w:sz w:val="22"/>
          <w:szCs w:val="22"/>
        </w:rPr>
        <w:t xml:space="preserve">Hard criteria </w:t>
      </w:r>
      <w:r>
        <w:rPr>
          <w:rFonts w:ascii="Arial" w:cs="Arial" w:eastAsia="Arial" w:hAnsi="Arial"/>
          <w:sz w:val="22"/>
          <w:szCs w:val="22"/>
        </w:rPr>
        <w:t xml:space="preserve">(10 thresholds): constraints rooted in accounting identities, mathematical impossibilities, or economic axioms. These must remain binary. A company with negative shares outstanding is not a “borderline case”—it’s a data error.</w:t>
      </w:r>
    </w:p>
    <w:p>
      <w:pPr>
        <w:pStyle w:val="ListParagraph"/>
        <w:numPr>
          <w:ilvl w:val="0"/>
          <w:numId w:val="2"/>
        </w:numPr>
        <w:spacing w:after="80"/>
      </w:pPr>
      <w:r>
        <w:rPr>
          <w:rFonts w:ascii="Arial" w:cs="Arial" w:eastAsia="Arial" w:hAnsi="Arial"/>
          <w:b/>
          <w:bCs/>
          <w:sz w:val="22"/>
          <w:szCs w:val="22"/>
        </w:rPr>
        <w:t xml:space="preserve">Flexible criteria </w:t>
      </w:r>
      <w:r>
        <w:rPr>
          <w:rFonts w:ascii="Arial" w:cs="Arial" w:eastAsia="Arial" w:hAnsi="Arial"/>
          <w:sz w:val="22"/>
          <w:szCs w:val="22"/>
        </w:rPr>
        <w:t xml:space="preserve">(68+ thresholds): conditions where the “right answer” depends on company-specific context—growth trajectory, industry norms, competitive position, TAM dynamics. These currently produce valuation cliffs: a 1-percentage-point change in a single metric can swing a target by 30%+ because it crosses a hard boundary.</w:t>
      </w:r>
    </w:p>
    <w:p>
      <w:pPr>
        <w:spacing w:after="160"/>
      </w:pPr>
      <w:r>
        <w:rPr>
          <w:rFonts w:ascii="Arial" w:cs="Arial" w:eastAsia="Arial" w:hAnsi="Arial"/>
          <w:sz w:val="22"/>
          <w:szCs w:val="22"/>
        </w:rPr>
        <w:t xml:space="preserve">The proposed architecture replaces stepped gates with continuous scoring functions—sigmoid curves, log-scale decays, and sector-relative z-scores—that bend naturally to each company’s context. The system becomes, as intended, “flexible as water.”</w:t>
      </w:r>
    </w:p>
    <w:p>
      <w:pPr>
        <w:pStyle w:val="Heading2"/>
        <w:spacing w:after="160" w:before="240"/>
      </w:pPr>
      <w:r>
        <w:rPr>
          <w:rFonts w:ascii="Arial" w:cs="Arial" w:eastAsia="Arial" w:hAnsi="Arial"/>
        </w:rPr>
        <w:t xml:space="preserve">The Problem: Cliff Effects</w:t>
      </w:r>
    </w:p>
    <w:p>
      <w:pPr>
        <w:spacing w:after="160"/>
      </w:pPr>
      <w:r>
        <w:rPr>
          <w:rFonts w:ascii="Arial" w:cs="Arial" w:eastAsia="Arial" w:hAnsi="Arial"/>
          <w:sz w:val="22"/>
          <w:szCs w:val="22"/>
        </w:rPr>
        <w:t xml:space="preserve">Three real examples from the current watchlist illustrate why binary gates fail:</w:t>
      </w:r>
    </w:p>
    <w:p>
      <w:pPr>
        <w:pStyle w:val="ListParagraph"/>
        <w:numPr>
          <w:ilvl w:val="0"/>
          <w:numId w:val="2"/>
        </w:numPr>
        <w:spacing w:after="80"/>
      </w:pPr>
      <w:r>
        <w:rPr>
          <w:rFonts w:ascii="Arial" w:cs="Arial" w:eastAsia="Arial" w:hAnsi="Arial"/>
          <w:b/>
          <w:bCs/>
          <w:sz w:val="22"/>
          <w:szCs w:val="22"/>
        </w:rPr>
        <w:t xml:space="preserve">AMD ($332 → should be ~$500+): </w:t>
      </w:r>
      <w:r>
        <w:rPr>
          <w:rFonts w:ascii="Arial" w:cs="Arial" w:eastAsia="Arial" w:hAnsi="Arial"/>
          <w:sz w:val="22"/>
          <w:szCs w:val="22"/>
        </w:rPr>
        <w:t xml:space="preserve">AMD had no guided_op_margin in its forward drivers, so the margin expansion guard (requiring guided_op &gt; 15%) failed. AMD fell into the P/S transition zone with 36% P/S blending, even though the engine’s own computed EBITDA margin target was 33%. A binary gate blocked context the engine already possessed.</w:t>
      </w:r>
    </w:p>
    <w:p>
      <w:pPr>
        <w:pStyle w:val="ListParagraph"/>
        <w:numPr>
          <w:ilvl w:val="0"/>
          <w:numId w:val="2"/>
        </w:numPr>
        <w:spacing w:after="80"/>
      </w:pPr>
      <w:r>
        <w:rPr>
          <w:rFonts w:ascii="Arial" w:cs="Arial" w:eastAsia="Arial" w:hAnsi="Arial"/>
          <w:b/>
          <w:bCs/>
          <w:sz w:val="22"/>
          <w:szCs w:val="22"/>
        </w:rPr>
        <w:t xml:space="preserve">LITE ($629 → should be ~$1,200+): </w:t>
      </w:r>
      <w:r>
        <w:rPr>
          <w:rFonts w:ascii="Arial" w:cs="Arial" w:eastAsia="Arial" w:hAnsi="Arial"/>
          <w:sz w:val="22"/>
          <w:szCs w:val="22"/>
        </w:rPr>
        <w:t xml:space="preserve">Same root cause. LITE’s forward drivers lacked the specific guided_op_margin field, despite management explicitly guiding to strong operating margins. The gate demanded a specific data format rather than evaluating the underlying signal.</w:t>
      </w:r>
    </w:p>
    <w:p>
      <w:pPr>
        <w:pStyle w:val="ListParagraph"/>
        <w:numPr>
          <w:ilvl w:val="0"/>
          <w:numId w:val="2"/>
        </w:numPr>
        <w:spacing w:after="80"/>
      </w:pPr>
      <w:r>
        <w:rPr>
          <w:rFonts w:ascii="Arial" w:cs="Arial" w:eastAsia="Arial" w:hAnsi="Arial"/>
          <w:b/>
          <w:bCs/>
          <w:sz w:val="22"/>
          <w:szCs w:val="22"/>
        </w:rPr>
        <w:t xml:space="preserve">AEHR ($9 → should be ~$25+): </w:t>
      </w:r>
      <w:r>
        <w:rPr>
          <w:rFonts w:ascii="Arial" w:cs="Arial" w:eastAsia="Arial" w:hAnsi="Arial"/>
          <w:sz w:val="22"/>
          <w:szCs w:val="22"/>
        </w:rPr>
        <w:t xml:space="preserve">AEHR is a cyclical semi-equipment company at the bottom of its cycle. TTM EBITDA ≤ 0 triggered the “pre-profit” P/S routing, which is designed for companies like early Snowflake or Palantir that have never been profitable. AEHR has been profitable in 5 of the last 8 years. The binary “EBITDA ≤ 0 → P/S” gate doesn’t distinguish structural pre-profit from cyclical trough.</w:t>
      </w:r>
    </w:p>
    <w:p>
      <w:pPr>
        <w:spacing w:after="160"/>
      </w:pPr>
      <w:r>
        <w:rPr>
          <w:rFonts w:ascii="Arial" w:cs="Arial" w:eastAsia="Arial" w:hAnsi="Arial"/>
          <w:sz w:val="22"/>
          <w:szCs w:val="22"/>
        </w:rPr>
        <w:t xml:space="preserve">Each of these bugs was fixed with a specific patch. But the patches added more gates on top of gates, making the system increasingly brittle. The next edge case will produce the same kind of failure unless the architecture changes.</w:t>
      </w:r>
    </w:p>
    <w:p>
      <w:r>
        <w:br w:type="page"/>
      </w:r>
    </w:p>
    <w:p>
      <w:pPr>
        <w:pStyle w:val="Heading1"/>
        <w:spacing w:after="160" w:before="360"/>
      </w:pPr>
      <w:r>
        <w:rPr>
          <w:rFonts w:ascii="Arial" w:cs="Arial" w:eastAsia="Arial" w:hAnsi="Arial"/>
        </w:rPr>
        <w:t xml:space="preserve">Section 1: Hard Criteria (Must Stay Binary)</w:t>
      </w:r>
    </w:p>
    <w:p>
      <w:pPr>
        <w:spacing w:after="160"/>
      </w:pPr>
      <w:r>
        <w:rPr>
          <w:rFonts w:ascii="Arial" w:cs="Arial" w:eastAsia="Arial" w:hAnsi="Arial"/>
          <w:sz w:val="22"/>
          <w:szCs w:val="22"/>
        </w:rPr>
        <w:t xml:space="preserve">These 10 thresholds are non-negotiable. They protect against data corruption, mathematical impossibilities, and economic absurdities. No amount of company-specific context changes their validity.</w:t>
      </w:r>
    </w:p>
    <w:p>
      <w:pPr>
        <w:spacing w:after="160"/>
      </w:pPr>
      <w:r>
        <w:rPr>
          <w:rFonts w:ascii="Arial" w:cs="Arial" w:eastAsia="Arial" w:hAnsi="Arial"/>
          <w:sz w:val="22"/>
          <w:szCs w:val="22"/>
        </w:rPr>
        <w:t xml:space="preserve">The organizing principle: a threshold is “hard” if violating it means the model’s output is not merely wrong but meaningless. A target price computed from negative revenue is not “inaccurate”—it’s 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760"/>
        <w:gridCol w:w="400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1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It Must Stay Hard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Terminal growth cap</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g_term ≤ 2.5%</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7F8C8D"/>
                <w:sz w:val="20"/>
                <w:szCs w:val="20"/>
              </w:rPr>
              <w:t xml:space="preserve">target_engine.py:48</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Exceeding risk-free rate implies company grows larger than the global economy. No company-specific context changes this constraint.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Revenue None/NaN hard-fail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Raise ValueError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7F8C8D"/>
                <w:sz w:val="20"/>
                <w:szCs w:val="20"/>
              </w:rPr>
              <w:t xml:space="preserve">target_engine.py:1802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Without revenue, every downstream calculation is meaningless. There is no “reasonable estimate” for revenue—the model must refuse to run.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Shares None/NaN hard-fail</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Raise ValueError</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7F8C8D"/>
                <w:sz w:val="20"/>
                <w:szCs w:val="20"/>
              </w:rPr>
              <w:t xml:space="preserve">target_engine.py:1813</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Division by zero in per-share price. Mathematically impossible to proceed.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Revenue &gt; $5T absurdity gate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 reject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7F8C8D"/>
                <w:sz w:val="20"/>
                <w:szCs w:val="20"/>
              </w:rPr>
              <w:t xml:space="preserve">target_engine.py:1806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public company has revenue above $1T. A $5T value is a data-source bug, not a growth story. Cannot be “flexible.”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Negative revenue hard-fail</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Raise ValueError</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7F8C8D"/>
                <w:sz w:val="20"/>
                <w:szCs w:val="20"/>
              </w:rPr>
              <w:t xml:space="preserve">target_engine.py:1804</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 revenue is a data error, never a real business condition for the companies we track.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FCF-SBC ≤ EBITDA invariant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fcf_sbc_margin &lt; ebitda_margin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7F8C8D"/>
                <w:sz w:val="20"/>
                <w:szCs w:val="20"/>
              </w:rPr>
              <w:t xml:space="preserve">target_engine.py:581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Accounting identity: FCF = EBITDA minus capex, SBC, and working capital. Violating this means the model’s internal consistency is broken.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WACC constant across scenarios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discount_rate for all 3</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7F8C8D"/>
                <w:sz w:val="20"/>
                <w:szCs w:val="20"/>
              </w:rPr>
              <w:t xml:space="preserve">target_engine.py:113-118</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Varying WACC by scenario double-counts risk. Bear cash flows already reflect the downside; discounting them harder penalizes twice.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Event single-cap ±10%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MAX_SINGLE_EVENT_PCT = 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7F8C8D"/>
                <w:sz w:val="20"/>
                <w:szCs w:val="20"/>
              </w:rPr>
              <w:t xml:space="preserve">event_reasoner.py:45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single event shifting a target by more than 10% would require a thesis rewrite, not a price adjustment. This is a safety rail, not a model input.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Event total cap ±15%</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MAX_TOTAL_EVENT_PCT = 15</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7F8C8D"/>
                <w:sz w:val="20"/>
                <w:szCs w:val="20"/>
              </w:rPr>
              <w:t xml:space="preserve">event_reasoner.py:46</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Aggregate event impact beyond 15% means the thesis itself has changed. The correct response is a model rebuild, not an event overlay.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Margin range [−1.0, 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 warning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7F8C8D"/>
                <w:sz w:val="20"/>
                <w:szCs w:val="20"/>
              </w:rPr>
              <w:t xml:space="preserve">target_engine.py:1823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Margins are percentages of revenue. A margin outside [−1, 1] is numerically impossible and indicates corrupt input.</w:t>
            </w:r>
          </w:p>
        </w:tc>
      </w:tr>
    </w:tbl>
    <w:p>
      <w:pPr>
        <w:spacing w:after="200"/>
      </w:pPr>
    </w:p>
    <w:p>
      <w:pPr>
        <w:spacing w:after="160"/>
      </w:pPr>
      <w:r>
        <w:rPr>
          <w:rFonts w:ascii="Arial" w:cs="Arial" w:eastAsia="Arial" w:hAnsi="Arial"/>
          <w:sz w:val="22"/>
          <w:szCs w:val="22"/>
        </w:rPr>
        <w:t xml:space="preserve">These 10 constraints form the “safety floor” of the engine. They should never be weakened, parameterized, or made context-dependent. Every other threshold in the system is a candidate for adaptive scoring.</w:t>
      </w:r>
    </w:p>
    <w:p>
      <w:r>
        <w:br w:type="page"/>
      </w:r>
    </w:p>
    <w:p>
      <w:pPr>
        <w:pStyle w:val="Heading1"/>
        <w:spacing w:after="160" w:before="360"/>
      </w:pPr>
      <w:r>
        <w:rPr>
          <w:rFonts w:ascii="Arial" w:cs="Arial" w:eastAsia="Arial" w:hAnsi="Arial"/>
        </w:rPr>
        <w:t xml:space="preserve">Section 2: Flexible Criteria (Should Become Continuous)</w:t>
      </w:r>
    </w:p>
    <w:p>
      <w:pPr>
        <w:spacing w:after="160"/>
      </w:pPr>
      <w:r>
        <w:rPr>
          <w:rFonts w:ascii="Arial" w:cs="Arial" w:eastAsia="Arial" w:hAnsi="Arial"/>
          <w:sz w:val="22"/>
          <w:szCs w:val="22"/>
        </w:rPr>
        <w:t xml:space="preserve">These 68+ thresholds currently operate as binary or stepped gates but should be replaced with continuous scoring functions. They are ranked by implementation priority based on impact (how many targets are affected) and severity (how large the valuation cliff is).</w:t>
      </w:r>
    </w:p>
    <w:p>
      <w:pPr>
        <w:pStyle w:val="Heading2"/>
        <w:spacing w:after="160" w:before="240"/>
      </w:pPr>
      <w:r>
        <w:rPr>
          <w:rFonts w:ascii="Arial" w:cs="Arial" w:eastAsia="Arial" w:hAnsi="Arial"/>
        </w:rPr>
        <w:t xml:space="preserve">Priority: HIGH — Fix These First</w:t>
      </w:r>
    </w:p>
    <w:p>
      <w:pPr>
        <w:spacing w:after="160"/>
      </w:pPr>
      <w:r>
        <w:rPr>
          <w:rFonts w:ascii="Arial" w:cs="Arial" w:eastAsia="Arial" w:hAnsi="Arial"/>
          <w:sz w:val="22"/>
          <w:szCs w:val="22"/>
        </w:rPr>
        <w:t xml:space="preserve">These produce the largest valuation cliffs and affect the most watchlist stocks. Each has caused a confirmed mis-pricing in the current system.</w:t>
      </w:r>
    </w:p>
    <w:p>
      <w:pPr>
        <w:pStyle w:val="Heading3"/>
        <w:spacing w:after="160" w:before="240"/>
      </w:pPr>
      <w:r>
        <w:rPr>
          <w:rFonts w:ascii="Arial" w:cs="Arial" w:eastAsia="Arial" w:hAnsi="Arial"/>
        </w:rPr>
        <w:t xml:space="preserve">1. Valuation routing (P/S vs EV/EBITDA)</w:t>
      </w:r>
    </w:p>
    <w:p>
      <w:pPr>
        <w:spacing w:after="160"/>
      </w:pPr>
      <w:r>
        <w:rPr>
          <w:rFonts w:ascii="Arial" w:cs="Arial" w:eastAsia="Arial" w:hAnsi="Arial"/>
          <w:b/>
          <w:bCs/>
          <w:sz w:val="22"/>
          <w:szCs w:val="22"/>
        </w:rPr>
        <w:t xml:space="preserve">Current gate: </w:t>
      </w:r>
      <w:r>
        <w:rPr>
          <w:rFonts w:ascii="Arial" w:cs="Arial" w:eastAsia="Arial" w:hAnsi="Arial"/>
          <w:sz w:val="22"/>
          <w:szCs w:val="22"/>
        </w:rPr>
        <w:t xml:space="preserve">EBITDA yield 0.5%–2.0%</w:t>
      </w:r>
    </w:p>
    <w:p>
      <w:pPr>
        <w:spacing w:after="160"/>
      </w:pPr>
      <w:r>
        <w:rPr>
          <w:rFonts w:ascii="Arial" w:cs="Arial" w:eastAsia="Arial" w:hAnsi="Arial"/>
          <w:b/>
          <w:bCs/>
          <w:color w:val="7F8C8D"/>
          <w:sz w:val="22"/>
          <w:szCs w:val="22"/>
        </w:rPr>
        <w:t xml:space="preserve">Location: </w:t>
      </w:r>
      <w:r>
        <w:rPr>
          <w:rFonts w:ascii="Arial" w:cs="Arial" w:eastAsia="Arial" w:hAnsi="Arial"/>
          <w:color w:val="7F8C8D"/>
          <w:sz w:val="22"/>
          <w:szCs w:val="22"/>
        </w:rPr>
        <w:t xml:space="preserve">target_engine.py:1235–1251</w:t>
      </w:r>
    </w:p>
    <w:p>
      <w:pPr>
        <w:spacing w:after="160"/>
      </w:pPr>
      <w:r>
        <w:rPr>
          <w:rFonts w:ascii="Arial" w:cs="Arial" w:eastAsia="Arial" w:hAnsi="Arial"/>
          <w:sz w:val="22"/>
          <w:szCs w:val="22"/>
        </w:rPr>
        <w:t xml:space="preserve">The transition zone uses linear interpolation, which is already partially adaptive. But the 0.5%/2.0% boundaries are arbitrary. A 0.4% yield company is materially different from a 0.6% one only in context of its growth trajectory and margin story.</w:t>
      </w:r>
    </w:p>
    <w:p>
      <w:pPr>
        <w:spacing w:after="160"/>
      </w:pPr>
      <w:r>
        <w:rPr>
          <w:rFonts w:ascii="Arial" w:cs="Arial" w:eastAsia="Arial" w:hAnsi="Arial"/>
          <w:b/>
          <w:bCs/>
          <w:color w:val="27AE60"/>
          <w:sz w:val="22"/>
          <w:szCs w:val="22"/>
        </w:rPr>
        <w:t xml:space="preserve">Proposed replacement: </w:t>
      </w:r>
      <w:r>
        <w:rPr>
          <w:rFonts w:ascii="Arial" w:cs="Arial" w:eastAsia="Arial" w:hAnsi="Arial"/>
          <w:sz w:val="22"/>
          <w:szCs w:val="22"/>
        </w:rPr>
        <w:t xml:space="preserve">Replace fixed boundaries with a continuous sigmoid function parameterized by growth rate and margin trajectory. A high-growth company at 0.4% yield with guided 30% margins should route differently than a declining company at the same yield.</w:t>
      </w:r>
    </w:p>
    <w:p>
      <w:pPr>
        <w:spacing w:after="120"/>
      </w:pPr>
    </w:p>
    <w:p>
      <w:pPr>
        <w:pStyle w:val="Heading3"/>
        <w:spacing w:after="160" w:before="240"/>
      </w:pPr>
      <w:r>
        <w:rPr>
          <w:rFonts w:ascii="Arial" w:cs="Arial" w:eastAsia="Arial" w:hAnsi="Arial"/>
        </w:rPr>
        <w:t xml:space="preserve">2. Margin expansion guard</w:t>
      </w:r>
    </w:p>
    <w:p>
      <w:pPr>
        <w:spacing w:after="160"/>
      </w:pPr>
      <w:r>
        <w:rPr>
          <w:rFonts w:ascii="Arial" w:cs="Arial" w:eastAsia="Arial" w:hAnsi="Arial"/>
          <w:b/>
          <w:bCs/>
          <w:sz w:val="22"/>
          <w:szCs w:val="22"/>
        </w:rPr>
        <w:t xml:space="preserve">Current gate: </w:t>
      </w:r>
      <w:r>
        <w:rPr>
          <w:rFonts w:ascii="Arial" w:cs="Arial" w:eastAsia="Arial" w:hAnsi="Arial"/>
          <w:sz w:val="22"/>
          <w:szCs w:val="22"/>
        </w:rPr>
        <w:t xml:space="preserve">guided_op &gt; 15% OR ebitda_target &gt; 20%</w:t>
      </w:r>
    </w:p>
    <w:p>
      <w:pPr>
        <w:spacing w:after="160"/>
      </w:pPr>
      <w:r>
        <w:rPr>
          <w:rFonts w:ascii="Arial" w:cs="Arial" w:eastAsia="Arial" w:hAnsi="Arial"/>
          <w:b/>
          <w:bCs/>
          <w:color w:val="7F8C8D"/>
          <w:sz w:val="22"/>
          <w:szCs w:val="22"/>
        </w:rPr>
        <w:t xml:space="preserve">Location: </w:t>
      </w:r>
      <w:r>
        <w:rPr>
          <w:rFonts w:ascii="Arial" w:cs="Arial" w:eastAsia="Arial" w:hAnsi="Arial"/>
          <w:color w:val="7F8C8D"/>
          <w:sz w:val="22"/>
          <w:szCs w:val="22"/>
        </w:rPr>
        <w:t xml:space="preserve">target_engine.py:1166–1170</w:t>
      </w:r>
    </w:p>
    <w:p>
      <w:pPr>
        <w:spacing w:after="160"/>
      </w:pPr>
      <w:r>
        <w:rPr>
          <w:rFonts w:ascii="Arial" w:cs="Arial" w:eastAsia="Arial" w:hAnsi="Arial"/>
          <w:sz w:val="22"/>
          <w:szCs w:val="22"/>
        </w:rPr>
        <w:t xml:space="preserve">The 15%/20% cutoffs determine whether a company is recognized as having a “margin expansion story.” AMD and LITE were misrouted because their forward drivers didn’t match this exact pattern. Different industries have structurally different margin profiles.</w:t>
      </w:r>
    </w:p>
    <w:p>
      <w:pPr>
        <w:spacing w:after="160"/>
      </w:pPr>
      <w:r>
        <w:rPr>
          <w:rFonts w:ascii="Arial" w:cs="Arial" w:eastAsia="Arial" w:hAnsi="Arial"/>
          <w:b/>
          <w:bCs/>
          <w:color w:val="27AE60"/>
          <w:sz w:val="22"/>
          <w:szCs w:val="22"/>
        </w:rPr>
        <w:t xml:space="preserve">Proposed replacement: </w:t>
      </w:r>
      <w:r>
        <w:rPr>
          <w:rFonts w:ascii="Arial" w:cs="Arial" w:eastAsia="Arial" w:hAnsi="Arial"/>
          <w:sz w:val="22"/>
          <w:szCs w:val="22"/>
        </w:rPr>
        <w:t xml:space="preserve">Use a margin-trajectory score: (target margin − current margin) / current margin, weighted by the number of independent signals confirming the expansion. A 5pp improvement from 8% to 13% is as significant as 15pp from 40% to 55%.</w:t>
      </w:r>
    </w:p>
    <w:p>
      <w:pPr>
        <w:spacing w:after="120"/>
      </w:pPr>
    </w:p>
    <w:p>
      <w:pPr>
        <w:pStyle w:val="Heading3"/>
        <w:spacing w:after="160" w:before="240"/>
      </w:pPr>
      <w:r>
        <w:rPr>
          <w:rFonts w:ascii="Arial" w:cs="Arial" w:eastAsia="Arial" w:hAnsi="Arial"/>
        </w:rPr>
        <w:t xml:space="preserve">3. Projection score thresholds</w:t>
      </w:r>
    </w:p>
    <w:p>
      <w:pPr>
        <w:spacing w:after="160"/>
      </w:pPr>
      <w:r>
        <w:rPr>
          <w:rFonts w:ascii="Arial" w:cs="Arial" w:eastAsia="Arial" w:hAnsi="Arial"/>
          <w:b/>
          <w:bCs/>
          <w:sz w:val="22"/>
          <w:szCs w:val="22"/>
        </w:rPr>
        <w:t xml:space="preserve">Current gate: </w:t>
      </w:r>
      <w:r>
        <w:rPr>
          <w:rFonts w:ascii="Arial" w:cs="Arial" w:eastAsia="Arial" w:hAnsi="Arial"/>
          <w:sz w:val="22"/>
          <w:szCs w:val="22"/>
        </w:rPr>
        <w:t xml:space="preserve">Fixed deltas: ±0.30/0.20/0.10 etc.</w:t>
      </w:r>
    </w:p>
    <w:p>
      <w:pPr>
        <w:spacing w:after="160"/>
      </w:pPr>
      <w:r>
        <w:rPr>
          <w:rFonts w:ascii="Arial" w:cs="Arial" w:eastAsia="Arial" w:hAnsi="Arial"/>
          <w:b/>
          <w:bCs/>
          <w:color w:val="7F8C8D"/>
          <w:sz w:val="22"/>
          <w:szCs w:val="22"/>
        </w:rPr>
        <w:t xml:space="preserve">Location: </w:t>
      </w:r>
      <w:r>
        <w:rPr>
          <w:rFonts w:ascii="Arial" w:cs="Arial" w:eastAsia="Arial" w:hAnsi="Arial"/>
          <w:color w:val="7F8C8D"/>
          <w:sz w:val="22"/>
          <w:szCs w:val="22"/>
        </w:rPr>
        <w:t xml:space="preserve">target_blend.py:95–104</w:t>
      </w:r>
    </w:p>
    <w:p>
      <w:pPr>
        <w:spacing w:after="160"/>
      </w:pPr>
      <w:r>
        <w:rPr>
          <w:rFonts w:ascii="Arial" w:cs="Arial" w:eastAsia="Arial" w:hAnsi="Arial"/>
          <w:sz w:val="22"/>
          <w:szCs w:val="22"/>
        </w:rPr>
        <w:t xml:space="preserve">Revenue growth of 39% gets +0.20 but 40% gets +0.30—a 1pp difference creates a 50% jump in the contribution. The stepped function creates valuation cliffs at every boundary.</w:t>
      </w:r>
    </w:p>
    <w:p>
      <w:pPr>
        <w:spacing w:after="160"/>
      </w:pPr>
      <w:r>
        <w:rPr>
          <w:rFonts w:ascii="Arial" w:cs="Arial" w:eastAsia="Arial" w:hAnsi="Arial"/>
          <w:b/>
          <w:bCs/>
          <w:color w:val="27AE60"/>
          <w:sz w:val="22"/>
          <w:szCs w:val="22"/>
        </w:rPr>
        <w:t xml:space="preserve">Proposed replacement: </w:t>
      </w:r>
      <w:r>
        <w:rPr>
          <w:rFonts w:ascii="Arial" w:cs="Arial" w:eastAsia="Arial" w:hAnsi="Arial"/>
          <w:sz w:val="22"/>
          <w:szCs w:val="22"/>
        </w:rPr>
        <w:t xml:space="preserve">Replace with continuous piecewise-linear or sigmoid functions. delta = sigmoid_scale × logistic((growth − midpoint) / steepness). No cliffs, smooth transitions, same qualitative behavior.</w:t>
      </w:r>
    </w:p>
    <w:p>
      <w:pPr>
        <w:spacing w:after="120"/>
      </w:pPr>
    </w:p>
    <w:p>
      <w:pPr>
        <w:pStyle w:val="Heading3"/>
        <w:spacing w:after="160" w:before="240"/>
      </w:pPr>
      <w:r>
        <w:rPr>
          <w:rFonts w:ascii="Arial" w:cs="Arial" w:eastAsia="Arial" w:hAnsi="Arial"/>
        </w:rPr>
        <w:t xml:space="preserve">4. Forward PE score thresholds</w:t>
      </w:r>
    </w:p>
    <w:p>
      <w:pPr>
        <w:spacing w:after="160"/>
      </w:pPr>
      <w:r>
        <w:rPr>
          <w:rFonts w:ascii="Arial" w:cs="Arial" w:eastAsia="Arial" w:hAnsi="Arial"/>
          <w:b/>
          <w:bCs/>
          <w:sz w:val="22"/>
          <w:szCs w:val="22"/>
        </w:rPr>
        <w:t xml:space="preserve">Current gate: </w:t>
      </w:r>
      <w:r>
        <w:rPr>
          <w:rFonts w:ascii="Arial" w:cs="Arial" w:eastAsia="Arial" w:hAnsi="Arial"/>
          <w:sz w:val="22"/>
          <w:szCs w:val="22"/>
        </w:rPr>
        <w:t xml:space="preserve">Fixed at 15x/20x/35x/50x</w:t>
      </w:r>
    </w:p>
    <w:p>
      <w:pPr>
        <w:spacing w:after="160"/>
      </w:pPr>
      <w:r>
        <w:rPr>
          <w:rFonts w:ascii="Arial" w:cs="Arial" w:eastAsia="Arial" w:hAnsi="Arial"/>
          <w:b/>
          <w:bCs/>
          <w:color w:val="7F8C8D"/>
          <w:sz w:val="22"/>
          <w:szCs w:val="22"/>
        </w:rPr>
        <w:t xml:space="preserve">Location: </w:t>
      </w:r>
      <w:r>
        <w:rPr>
          <w:rFonts w:ascii="Arial" w:cs="Arial" w:eastAsia="Arial" w:hAnsi="Arial"/>
          <w:color w:val="7F8C8D"/>
          <w:sz w:val="22"/>
          <w:szCs w:val="22"/>
        </w:rPr>
        <w:t xml:space="preserve">target_blend.py:110–118</w:t>
      </w:r>
    </w:p>
    <w:p>
      <w:pPr>
        <w:spacing w:after="160"/>
      </w:pPr>
      <w:r>
        <w:rPr>
          <w:rFonts w:ascii="Arial" w:cs="Arial" w:eastAsia="Arial" w:hAnsi="Arial"/>
          <w:sz w:val="22"/>
          <w:szCs w:val="22"/>
        </w:rPr>
        <w:t xml:space="preserve">Same cliff problem as revenue growth. PE of 49x gets +0.10, PE of 51x gets +0.20.</w:t>
      </w:r>
    </w:p>
    <w:p>
      <w:pPr>
        <w:spacing w:after="160"/>
      </w:pPr>
      <w:r>
        <w:rPr>
          <w:rFonts w:ascii="Arial" w:cs="Arial" w:eastAsia="Arial" w:hAnsi="Arial"/>
          <w:b/>
          <w:bCs/>
          <w:color w:val="27AE60"/>
          <w:sz w:val="22"/>
          <w:szCs w:val="22"/>
        </w:rPr>
        <w:t xml:space="preserve">Proposed replacement: </w:t>
      </w:r>
      <w:r>
        <w:rPr>
          <w:rFonts w:ascii="Arial" w:cs="Arial" w:eastAsia="Arial" w:hAnsi="Arial"/>
          <w:sz w:val="22"/>
          <w:szCs w:val="22"/>
        </w:rPr>
        <w:t xml:space="preserve">Same sigmoid approach. The PE contribution should be a smooth function of PE, not a step function.</w:t>
      </w:r>
    </w:p>
    <w:p>
      <w:pPr>
        <w:spacing w:after="120"/>
      </w:pPr>
    </w:p>
    <w:p>
      <w:pPr>
        <w:pStyle w:val="Heading2"/>
        <w:spacing w:after="160" w:before="240"/>
      </w:pPr>
      <w:r>
        <w:rPr>
          <w:rFonts w:ascii="Arial" w:cs="Arial" w:eastAsia="Arial" w:hAnsi="Arial"/>
        </w:rPr>
        <w:t xml:space="preserve">Priority: MEDIUM — Second Wave</w:t>
      </w:r>
    </w:p>
    <w:p>
      <w:pPr>
        <w:spacing w:after="160"/>
      </w:pPr>
      <w:r>
        <w:rPr>
          <w:rFonts w:ascii="Arial" w:cs="Arial" w:eastAsia="Arial" w:hAnsi="Arial"/>
          <w:sz w:val="22"/>
          <w:szCs w:val="22"/>
        </w:rPr>
        <w:t xml:space="preserve">These create meaningful but less frequent mis-pricings. They compound with the HIGH-priority items.</w:t>
      </w:r>
    </w:p>
    <w:p>
      <w:pPr>
        <w:pStyle w:val="Heading3"/>
        <w:spacing w:after="160" w:before="240"/>
      </w:pPr>
      <w:r>
        <w:rPr>
          <w:rFonts w:ascii="Arial" w:cs="Arial" w:eastAsia="Arial" w:hAnsi="Arial"/>
        </w:rPr>
        <w:t xml:space="preserve">1. Revenue growth Y1 size caps</w:t>
      </w:r>
    </w:p>
    <w:p>
      <w:pPr>
        <w:spacing w:after="160"/>
      </w:pPr>
      <w:r>
        <w:rPr>
          <w:rFonts w:ascii="Arial" w:cs="Arial" w:eastAsia="Arial" w:hAnsi="Arial"/>
          <w:b/>
          <w:bCs/>
          <w:sz w:val="22"/>
          <w:szCs w:val="22"/>
        </w:rPr>
        <w:t xml:space="preserve">Current gate: </w:t>
      </w:r>
      <w:r>
        <w:rPr>
          <w:rFonts w:ascii="Arial" w:cs="Arial" w:eastAsia="Arial" w:hAnsi="Arial"/>
          <w:sz w:val="22"/>
          <w:szCs w:val="22"/>
        </w:rPr>
        <w:t xml:space="preserve">0.20/0.35/0.55/0.80 by revenue band</w:t>
      </w:r>
    </w:p>
    <w:p>
      <w:pPr>
        <w:spacing w:after="160"/>
      </w:pPr>
      <w:r>
        <w:rPr>
          <w:rFonts w:ascii="Arial" w:cs="Arial" w:eastAsia="Arial" w:hAnsi="Arial"/>
          <w:b/>
          <w:bCs/>
          <w:color w:val="7F8C8D"/>
          <w:sz w:val="22"/>
          <w:szCs w:val="22"/>
        </w:rPr>
        <w:t xml:space="preserve">Location: </w:t>
      </w:r>
      <w:r>
        <w:rPr>
          <w:rFonts w:ascii="Arial" w:cs="Arial" w:eastAsia="Arial" w:hAnsi="Arial"/>
          <w:color w:val="7F8C8D"/>
          <w:sz w:val="22"/>
          <w:szCs w:val="22"/>
        </w:rPr>
        <w:t xml:space="preserve">target_engine.py:443–450</w:t>
      </w:r>
    </w:p>
    <w:p>
      <w:pPr>
        <w:spacing w:after="160"/>
      </w:pPr>
      <w:r>
        <w:rPr>
          <w:rFonts w:ascii="Arial" w:cs="Arial" w:eastAsia="Arial" w:hAnsi="Arial"/>
          <w:sz w:val="22"/>
          <w:szCs w:val="22"/>
        </w:rPr>
        <w:t xml:space="preserve">A $200B company can’t sustain 80% growth, but a $40B company might if it’s in AI infrastructure during a capex super-cycle. The fixed bands ignore the TAM-relative position and competitive dynamics.</w:t>
      </w:r>
    </w:p>
    <w:p>
      <w:pPr>
        <w:spacing w:after="160"/>
      </w:pPr>
      <w:r>
        <w:rPr>
          <w:rFonts w:ascii="Arial" w:cs="Arial" w:eastAsia="Arial" w:hAnsi="Arial"/>
          <w:b/>
          <w:bCs/>
          <w:color w:val="27AE60"/>
          <w:sz w:val="22"/>
          <w:szCs w:val="22"/>
        </w:rPr>
        <w:t xml:space="preserve">Proposed replacement: </w:t>
      </w:r>
      <w:r>
        <w:rPr>
          <w:rFonts w:ascii="Arial" w:cs="Arial" w:eastAsia="Arial" w:hAnsi="Arial"/>
          <w:sz w:val="22"/>
          <w:szCs w:val="22"/>
        </w:rPr>
        <w:t xml:space="preserve">Continuous cap = f(revenue_scale, tam_headroom, moat_score). Use a log-scale decay curve anchored to TAM penetration percentage rather than absolute revenue.</w:t>
      </w:r>
    </w:p>
    <w:p>
      <w:pPr>
        <w:spacing w:after="120"/>
      </w:pPr>
    </w:p>
    <w:p>
      <w:pPr>
        <w:pStyle w:val="Heading3"/>
        <w:spacing w:after="160" w:before="240"/>
      </w:pPr>
      <w:r>
        <w:rPr>
          <w:rFonts w:ascii="Arial" w:cs="Arial" w:eastAsia="Arial" w:hAnsi="Arial"/>
        </w:rPr>
        <w:t xml:space="preserve">2. EBITDA margin ramp bands</w:t>
      </w:r>
    </w:p>
    <w:p>
      <w:pPr>
        <w:spacing w:after="160"/>
      </w:pPr>
      <w:r>
        <w:rPr>
          <w:rFonts w:ascii="Arial" w:cs="Arial" w:eastAsia="Arial" w:hAnsi="Arial"/>
          <w:b/>
          <w:bCs/>
          <w:sz w:val="22"/>
          <w:szCs w:val="22"/>
        </w:rPr>
        <w:t xml:space="preserve">Current gate: </w:t>
      </w:r>
      <w:r>
        <w:rPr>
          <w:rFonts w:ascii="Arial" w:cs="Arial" w:eastAsia="Arial" w:hAnsi="Arial"/>
          <w:sz w:val="22"/>
          <w:szCs w:val="22"/>
        </w:rPr>
        <w:t xml:space="preserve">Stepped: &gt;60%, &gt;40%, &gt;15%, &gt;0%, else</w:t>
      </w:r>
    </w:p>
    <w:p>
      <w:pPr>
        <w:spacing w:after="160"/>
      </w:pPr>
      <w:r>
        <w:rPr>
          <w:rFonts w:ascii="Arial" w:cs="Arial" w:eastAsia="Arial" w:hAnsi="Arial"/>
          <w:b/>
          <w:bCs/>
          <w:color w:val="7F8C8D"/>
          <w:sz w:val="22"/>
          <w:szCs w:val="22"/>
        </w:rPr>
        <w:t xml:space="preserve">Location: </w:t>
      </w:r>
      <w:r>
        <w:rPr>
          <w:rFonts w:ascii="Arial" w:cs="Arial" w:eastAsia="Arial" w:hAnsi="Arial"/>
          <w:color w:val="7F8C8D"/>
          <w:sz w:val="22"/>
          <w:szCs w:val="22"/>
        </w:rPr>
        <w:t xml:space="preserve">target_engine.py:527–541</w:t>
      </w:r>
    </w:p>
    <w:p>
      <w:pPr>
        <w:spacing w:after="160"/>
      </w:pPr>
      <w:r>
        <w:rPr>
          <w:rFonts w:ascii="Arial" w:cs="Arial" w:eastAsia="Arial" w:hAnsi="Arial"/>
          <w:sz w:val="22"/>
          <w:szCs w:val="22"/>
        </w:rPr>
        <w:t xml:space="preserve">A company at 14.9% margin gets a fundamentally different treatment than one at 15.1%, despite being economically identical. The banded approach also ignores industry-specific margin ceilings (semis vs. software vs. industrials).</w:t>
      </w:r>
    </w:p>
    <w:p>
      <w:pPr>
        <w:spacing w:after="160"/>
      </w:pPr>
      <w:r>
        <w:rPr>
          <w:rFonts w:ascii="Arial" w:cs="Arial" w:eastAsia="Arial" w:hAnsi="Arial"/>
          <w:b/>
          <w:bCs/>
          <w:color w:val="27AE60"/>
          <w:sz w:val="22"/>
          <w:szCs w:val="22"/>
        </w:rPr>
        <w:t xml:space="preserve">Proposed replacement: </w:t>
      </w:r>
      <w:r>
        <w:rPr>
          <w:rFonts w:ascii="Arial" w:cs="Arial" w:eastAsia="Arial" w:hAnsi="Arial"/>
          <w:sz w:val="22"/>
          <w:szCs w:val="22"/>
        </w:rPr>
        <w:t xml:space="preserve">Replace with a continuous function: expansion_pp = base_expansion + leverage_coefficient × max(0, g1 − peer_growth), where base_expansion and the leverage coefficient are derived from industry-sector margin distributions.</w:t>
      </w:r>
    </w:p>
    <w:p>
      <w:pPr>
        <w:spacing w:after="120"/>
      </w:pPr>
    </w:p>
    <w:p>
      <w:pPr>
        <w:pStyle w:val="Heading3"/>
        <w:spacing w:after="160" w:before="240"/>
      </w:pPr>
      <w:r>
        <w:rPr>
          <w:rFonts w:ascii="Arial" w:cs="Arial" w:eastAsia="Arial" w:hAnsi="Arial"/>
        </w:rPr>
        <w:t xml:space="preserve">3. Terminal multiple caps</w:t>
      </w:r>
    </w:p>
    <w:p>
      <w:pPr>
        <w:spacing w:after="160"/>
      </w:pPr>
      <w:r>
        <w:rPr>
          <w:rFonts w:ascii="Arial" w:cs="Arial" w:eastAsia="Arial" w:hAnsi="Arial"/>
          <w:b/>
          <w:bCs/>
          <w:sz w:val="22"/>
          <w:szCs w:val="22"/>
        </w:rPr>
        <w:t xml:space="preserve">Current gate: </w:t>
      </w:r>
      <w:r>
        <w:rPr>
          <w:rFonts w:ascii="Arial" w:cs="Arial" w:eastAsia="Arial" w:hAnsi="Arial"/>
          <w:sz w:val="22"/>
          <w:szCs w:val="22"/>
        </w:rPr>
        <w:t xml:space="preserve">45x/55x/60x/70x by moat tier</w:t>
      </w:r>
    </w:p>
    <w:p>
      <w:pPr>
        <w:spacing w:after="160"/>
      </w:pPr>
      <w:r>
        <w:rPr>
          <w:rFonts w:ascii="Arial" w:cs="Arial" w:eastAsia="Arial" w:hAnsi="Arial"/>
          <w:b/>
          <w:bCs/>
          <w:color w:val="7F8C8D"/>
          <w:sz w:val="22"/>
          <w:szCs w:val="22"/>
        </w:rPr>
        <w:t xml:space="preserve">Location: </w:t>
      </w:r>
      <w:r>
        <w:rPr>
          <w:rFonts w:ascii="Arial" w:cs="Arial" w:eastAsia="Arial" w:hAnsi="Arial"/>
          <w:color w:val="7F8C8D"/>
          <w:sz w:val="22"/>
          <w:szCs w:val="22"/>
        </w:rPr>
        <w:t xml:space="preserve">target_engine.py:610–636</w:t>
      </w:r>
    </w:p>
    <w:p>
      <w:pPr>
        <w:spacing w:after="160"/>
      </w:pPr>
      <w:r>
        <w:rPr>
          <w:rFonts w:ascii="Arial" w:cs="Arial" w:eastAsia="Arial" w:hAnsi="Arial"/>
          <w:sz w:val="22"/>
          <w:szCs w:val="22"/>
        </w:rPr>
        <w:t xml:space="preserve">The caps create artificial ceilings that don’t account for duration of growth. A company with 15 years of above-GDP growth runway (early-stage AI platform) deserves a different terminal multiple than one with 3 years (mature SaaS).</w:t>
      </w:r>
    </w:p>
    <w:p>
      <w:pPr>
        <w:spacing w:after="160"/>
      </w:pPr>
      <w:r>
        <w:rPr>
          <w:rFonts w:ascii="Arial" w:cs="Arial" w:eastAsia="Arial" w:hAnsi="Arial"/>
          <w:b/>
          <w:bCs/>
          <w:color w:val="27AE60"/>
          <w:sz w:val="22"/>
          <w:szCs w:val="22"/>
        </w:rPr>
        <w:t xml:space="preserve">Proposed replacement: </w:t>
      </w:r>
      <w:r>
        <w:rPr>
          <w:rFonts w:ascii="Arial" w:cs="Arial" w:eastAsia="Arial" w:hAnsi="Arial"/>
          <w:sz w:val="22"/>
          <w:szCs w:val="22"/>
        </w:rPr>
        <w:t xml:space="preserve">Cap = f(moat_durability, tam_growth, revenue_penetration, competitive_concentration). Derive from the implied terminal growth rate: terminal_multiple = 1 / (WACC − g_terminal), naturally bounded by the terminal growth cap.</w:t>
      </w:r>
    </w:p>
    <w:p>
      <w:pPr>
        <w:spacing w:after="120"/>
      </w:pPr>
    </w:p>
    <w:p>
      <w:pPr>
        <w:pStyle w:val="Heading3"/>
        <w:spacing w:after="160" w:before="240"/>
      </w:pPr>
      <w:r>
        <w:rPr>
          <w:rFonts w:ascii="Arial" w:cs="Arial" w:eastAsia="Arial" w:hAnsi="Arial"/>
        </w:rPr>
        <w:t xml:space="preserve">4. Scenario offsets</w:t>
      </w:r>
    </w:p>
    <w:p>
      <w:pPr>
        <w:spacing w:after="160"/>
      </w:pPr>
      <w:r>
        <w:rPr>
          <w:rFonts w:ascii="Arial" w:cs="Arial" w:eastAsia="Arial" w:hAnsi="Arial"/>
          <w:b/>
          <w:bCs/>
          <w:sz w:val="22"/>
          <w:szCs w:val="22"/>
        </w:rPr>
        <w:t xml:space="preserve">Current gate: </w:t>
      </w:r>
      <w:r>
        <w:rPr>
          <w:rFonts w:ascii="Arial" w:cs="Arial" w:eastAsia="Arial" w:hAnsi="Arial"/>
          <w:sz w:val="22"/>
          <w:szCs w:val="22"/>
        </w:rPr>
        <w:t xml:space="preserve">Fixed multipliers (0.88x, 0.75x, etc.)</w:t>
      </w:r>
    </w:p>
    <w:p>
      <w:pPr>
        <w:spacing w:after="160"/>
      </w:pPr>
      <w:r>
        <w:rPr>
          <w:rFonts w:ascii="Arial" w:cs="Arial" w:eastAsia="Arial" w:hAnsi="Arial"/>
          <w:b/>
          <w:bCs/>
          <w:color w:val="7F8C8D"/>
          <w:sz w:val="22"/>
          <w:szCs w:val="22"/>
        </w:rPr>
        <w:t xml:space="preserve">Location: </w:t>
      </w:r>
      <w:r>
        <w:rPr>
          <w:rFonts w:ascii="Arial" w:cs="Arial" w:eastAsia="Arial" w:hAnsi="Arial"/>
          <w:color w:val="7F8C8D"/>
          <w:sz w:val="22"/>
          <w:szCs w:val="22"/>
        </w:rPr>
        <w:t xml:space="preserve">target_engine.py:120–146</w:t>
      </w:r>
    </w:p>
    <w:p>
      <w:pPr>
        <w:spacing w:after="160"/>
      </w:pPr>
      <w:r>
        <w:rPr>
          <w:rFonts w:ascii="Arial" w:cs="Arial" w:eastAsia="Arial" w:hAnsi="Arial"/>
          <w:sz w:val="22"/>
          <w:szCs w:val="22"/>
        </w:rPr>
        <w:t xml:space="preserve">The offsets were calibrated against a single sell-side model. They don’t adapt to company-specific volatility, industry cyclicality, or the confidence level of the base case.</w:t>
      </w:r>
    </w:p>
    <w:p>
      <w:pPr>
        <w:spacing w:after="160"/>
      </w:pPr>
      <w:r>
        <w:rPr>
          <w:rFonts w:ascii="Arial" w:cs="Arial" w:eastAsia="Arial" w:hAnsi="Arial"/>
          <w:b/>
          <w:bCs/>
          <w:color w:val="27AE60"/>
          <w:sz w:val="22"/>
          <w:szCs w:val="22"/>
        </w:rPr>
        <w:t xml:space="preserve">Proposed replacement: </w:t>
      </w:r>
      <w:r>
        <w:rPr>
          <w:rFonts w:ascii="Arial" w:cs="Arial" w:eastAsia="Arial" w:hAnsi="Arial"/>
          <w:sz w:val="22"/>
          <w:szCs w:val="22"/>
        </w:rPr>
        <w:t xml:space="preserve">Derive scenario widths from: (a) historical earnings surprise distribution for this company, (b) implied volatility of the stock, (c) archetype-specific patterns (cyclicals need wider down-scenarios than compounders).</w:t>
      </w:r>
    </w:p>
    <w:p>
      <w:pPr>
        <w:spacing w:after="120"/>
      </w:pPr>
    </w:p>
    <w:p>
      <w:pPr>
        <w:pStyle w:val="Heading2"/>
        <w:spacing w:after="160" w:before="240"/>
      </w:pPr>
      <w:r>
        <w:rPr>
          <w:rFonts w:ascii="Arial" w:cs="Arial" w:eastAsia="Arial" w:hAnsi="Arial"/>
        </w:rPr>
        <w:t xml:space="preserve">Priority: LOW — Calibrate With Data</w:t>
      </w:r>
    </w:p>
    <w:p>
      <w:pPr>
        <w:spacing w:after="160"/>
      </w:pPr>
      <w:r>
        <w:rPr>
          <w:rFonts w:ascii="Arial" w:cs="Arial" w:eastAsia="Arial" w:hAnsi="Arial"/>
          <w:sz w:val="22"/>
          <w:szCs w:val="22"/>
        </w:rPr>
        <w:t xml:space="preserve">These thresholds are reasonable approximations today but should be refined once the feedback loop accumulates 6+ months of prediction-vs-outcome data.</w:t>
      </w:r>
    </w:p>
    <w:p>
      <w:pPr>
        <w:pStyle w:val="Heading3"/>
        <w:spacing w:after="160" w:before="240"/>
      </w:pPr>
      <w:r>
        <w:rPr>
          <w:rFonts w:ascii="Arial" w:cs="Arial" w:eastAsia="Arial" w:hAnsi="Arial"/>
        </w:rPr>
        <w:t xml:space="preserve">1. Cyclical history detection</w:t>
      </w:r>
    </w:p>
    <w:p>
      <w:pPr>
        <w:spacing w:after="160"/>
      </w:pPr>
      <w:r>
        <w:rPr>
          <w:rFonts w:ascii="Arial" w:cs="Arial" w:eastAsia="Arial" w:hAnsi="Arial"/>
          <w:b/>
          <w:bCs/>
          <w:sz w:val="22"/>
          <w:szCs w:val="22"/>
        </w:rPr>
        <w:t xml:space="preserve">Current gate: </w:t>
      </w:r>
      <w:r>
        <w:rPr>
          <w:rFonts w:ascii="Arial" w:cs="Arial" w:eastAsia="Arial" w:hAnsi="Arial"/>
          <w:sz w:val="22"/>
          <w:szCs w:val="22"/>
        </w:rPr>
        <w:t xml:space="preserve">≥3 of 10 years with &gt;5% op margin</w:t>
      </w:r>
    </w:p>
    <w:p>
      <w:pPr>
        <w:spacing w:after="160"/>
      </w:pPr>
      <w:r>
        <w:rPr>
          <w:rFonts w:ascii="Arial" w:cs="Arial" w:eastAsia="Arial" w:hAnsi="Arial"/>
          <w:b/>
          <w:bCs/>
          <w:color w:val="7F8C8D"/>
          <w:sz w:val="22"/>
          <w:szCs w:val="22"/>
        </w:rPr>
        <w:t xml:space="preserve">Location: </w:t>
      </w:r>
      <w:r>
        <w:rPr>
          <w:rFonts w:ascii="Arial" w:cs="Arial" w:eastAsia="Arial" w:hAnsi="Arial"/>
          <w:color w:val="7F8C8D"/>
          <w:sz w:val="22"/>
          <w:szCs w:val="22"/>
        </w:rPr>
        <w:t xml:space="preserve">target_engine.py:1100–1110</w:t>
      </w:r>
    </w:p>
    <w:p>
      <w:pPr>
        <w:spacing w:after="160"/>
      </w:pPr>
      <w:r>
        <w:rPr>
          <w:rFonts w:ascii="Arial" w:cs="Arial" w:eastAsia="Arial" w:hAnsi="Arial"/>
          <w:sz w:val="22"/>
          <w:szCs w:val="22"/>
        </w:rPr>
        <w:t xml:space="preserve">The 3-of-10 and 5% thresholds are reasonable but brittle for companies with exactly 3 years of profitability or those transitioning from cyclical to secular growth.</w:t>
      </w:r>
    </w:p>
    <w:p>
      <w:pPr>
        <w:spacing w:after="160"/>
      </w:pPr>
      <w:r>
        <w:rPr>
          <w:rFonts w:ascii="Arial" w:cs="Arial" w:eastAsia="Arial" w:hAnsi="Arial"/>
          <w:b/>
          <w:bCs/>
          <w:color w:val="27AE60"/>
          <w:sz w:val="22"/>
          <w:szCs w:val="22"/>
        </w:rPr>
        <w:t xml:space="preserve">Proposed replacement: </w:t>
      </w:r>
      <w:r>
        <w:rPr>
          <w:rFonts w:ascii="Arial" w:cs="Arial" w:eastAsia="Arial" w:hAnsi="Arial"/>
          <w:sz w:val="22"/>
          <w:szCs w:val="22"/>
        </w:rPr>
        <w:t xml:space="preserve">Use a weighted score: sum of (op_margin / 0.05) for each profitable year, discounted by recency. Recent profitability is stronger evidence than profitability 8 years ago. Output a confidence score rather than boolean.</w:t>
      </w:r>
    </w:p>
    <w:p>
      <w:pPr>
        <w:spacing w:after="120"/>
      </w:pPr>
    </w:p>
    <w:p>
      <w:pPr>
        <w:pStyle w:val="Heading3"/>
        <w:spacing w:after="160" w:before="240"/>
      </w:pPr>
      <w:r>
        <w:rPr>
          <w:rFonts w:ascii="Arial" w:cs="Arial" w:eastAsia="Arial" w:hAnsi="Arial"/>
        </w:rPr>
        <w:t xml:space="preserve">2. Revenue spike detection</w:t>
      </w:r>
    </w:p>
    <w:p>
      <w:pPr>
        <w:spacing w:after="160"/>
      </w:pPr>
      <w:r>
        <w:rPr>
          <w:rFonts w:ascii="Arial" w:cs="Arial" w:eastAsia="Arial" w:hAnsi="Arial"/>
          <w:b/>
          <w:bCs/>
          <w:sz w:val="22"/>
          <w:szCs w:val="22"/>
        </w:rPr>
        <w:t xml:space="preserve">Current gate: </w:t>
      </w:r>
      <w:r>
        <w:rPr>
          <w:rFonts w:ascii="Arial" w:cs="Arial" w:eastAsia="Arial" w:hAnsi="Arial"/>
          <w:sz w:val="22"/>
          <w:szCs w:val="22"/>
        </w:rPr>
        <w:t xml:space="preserve">2x/3x/5x by market cap tier</w:t>
      </w:r>
    </w:p>
    <w:p>
      <w:pPr>
        <w:spacing w:after="160"/>
      </w:pPr>
      <w:r>
        <w:rPr>
          <w:rFonts w:ascii="Arial" w:cs="Arial" w:eastAsia="Arial" w:hAnsi="Arial"/>
          <w:b/>
          <w:bCs/>
          <w:color w:val="7F8C8D"/>
          <w:sz w:val="22"/>
          <w:szCs w:val="22"/>
        </w:rPr>
        <w:t xml:space="preserve">Location: </w:t>
      </w:r>
      <w:r>
        <w:rPr>
          <w:rFonts w:ascii="Arial" w:cs="Arial" w:eastAsia="Arial" w:hAnsi="Arial"/>
          <w:color w:val="7F8C8D"/>
          <w:sz w:val="22"/>
          <w:szCs w:val="22"/>
        </w:rPr>
        <w:t xml:space="preserve">finance_data.py:162–167</w:t>
      </w:r>
    </w:p>
    <w:p>
      <w:pPr>
        <w:spacing w:after="160"/>
      </w:pPr>
      <w:r>
        <w:rPr>
          <w:rFonts w:ascii="Arial" w:cs="Arial" w:eastAsia="Arial" w:hAnsi="Arial"/>
          <w:sz w:val="22"/>
          <w:szCs w:val="22"/>
        </w:rPr>
        <w:t xml:space="preserve">The size tiers capture the general principle (micro-caps are lumpier) but the boundaries ($100M/$500M) and thresholds (2x/3x/5x) are guesses that can’t adapt to industry norms.</w:t>
      </w:r>
    </w:p>
    <w:p>
      <w:pPr>
        <w:spacing w:after="160"/>
      </w:pPr>
      <w:r>
        <w:rPr>
          <w:rFonts w:ascii="Arial" w:cs="Arial" w:eastAsia="Arial" w:hAnsi="Arial"/>
          <w:b/>
          <w:bCs/>
          <w:color w:val="27AE60"/>
          <w:sz w:val="22"/>
          <w:szCs w:val="22"/>
        </w:rPr>
        <w:t xml:space="preserve">Proposed replacement: </w:t>
      </w:r>
      <w:r>
        <w:rPr>
          <w:rFonts w:ascii="Arial" w:cs="Arial" w:eastAsia="Arial" w:hAnsi="Arial"/>
          <w:sz w:val="22"/>
          <w:szCs w:val="22"/>
        </w:rPr>
        <w:t xml:space="preserve">Train a per-sector distribution of quarterly revenue variance from historical data. Flag based on z-score relative to sector, not absolute multiples.</w:t>
      </w:r>
    </w:p>
    <w:p>
      <w:pPr>
        <w:spacing w:after="120"/>
      </w:pPr>
    </w:p>
    <w:p>
      <w:pPr>
        <w:pStyle w:val="Heading3"/>
        <w:spacing w:after="160" w:before="240"/>
      </w:pPr>
      <w:r>
        <w:rPr>
          <w:rFonts w:ascii="Arial" w:cs="Arial" w:eastAsia="Arial" w:hAnsi="Arial"/>
        </w:rPr>
        <w:t xml:space="preserve">3. Guided growth weight scaling</w:t>
      </w:r>
    </w:p>
    <w:p>
      <w:pPr>
        <w:spacing w:after="160"/>
      </w:pPr>
      <w:r>
        <w:rPr>
          <w:rFonts w:ascii="Arial" w:cs="Arial" w:eastAsia="Arial" w:hAnsi="Arial"/>
          <w:b/>
          <w:bCs/>
          <w:sz w:val="22"/>
          <w:szCs w:val="22"/>
        </w:rPr>
        <w:t xml:space="preserve">Current gate: </w:t>
      </w:r>
      <w:r>
        <w:rPr>
          <w:rFonts w:ascii="Arial" w:cs="Arial" w:eastAsia="Arial" w:hAnsi="Arial"/>
          <w:sz w:val="22"/>
          <w:szCs w:val="22"/>
        </w:rPr>
        <w:t xml:space="preserve">3.0–7.0 based on quality_factor</w:t>
      </w:r>
    </w:p>
    <w:p>
      <w:pPr>
        <w:spacing w:after="160"/>
      </w:pPr>
      <w:r>
        <w:rPr>
          <w:rFonts w:ascii="Arial" w:cs="Arial" w:eastAsia="Arial" w:hAnsi="Arial"/>
          <w:b/>
          <w:bCs/>
          <w:color w:val="7F8C8D"/>
          <w:sz w:val="22"/>
          <w:szCs w:val="22"/>
        </w:rPr>
        <w:t xml:space="preserve">Location: </w:t>
      </w:r>
      <w:r>
        <w:rPr>
          <w:rFonts w:ascii="Arial" w:cs="Arial" w:eastAsia="Arial" w:hAnsi="Arial"/>
          <w:color w:val="7F8C8D"/>
          <w:sz w:val="22"/>
          <w:szCs w:val="22"/>
        </w:rPr>
        <w:t xml:space="preserve">target_engine.py:423–430</w:t>
      </w:r>
    </w:p>
    <w:p>
      <w:pPr>
        <w:spacing w:after="160"/>
      </w:pPr>
      <w:r>
        <w:rPr>
          <w:rFonts w:ascii="Arial" w:cs="Arial" w:eastAsia="Arial" w:hAnsi="Arial"/>
          <w:sz w:val="22"/>
          <w:szCs w:val="22"/>
        </w:rPr>
        <w:t xml:space="preserve">The weight range and the quality_factor formula (moat+bq)/20 are reasonable in shape but the constants (3.0 base, 4.0 range, 0.10/0.15 durability adjustments) are uncalibrated.</w:t>
      </w:r>
    </w:p>
    <w:p>
      <w:pPr>
        <w:spacing w:after="160"/>
      </w:pPr>
      <w:r>
        <w:rPr>
          <w:rFonts w:ascii="Arial" w:cs="Arial" w:eastAsia="Arial" w:hAnsi="Arial"/>
          <w:b/>
          <w:bCs/>
          <w:color w:val="27AE60"/>
          <w:sz w:val="22"/>
          <w:szCs w:val="22"/>
        </w:rPr>
        <w:t xml:space="preserve">Proposed replacement: </w:t>
      </w:r>
      <w:r>
        <w:rPr>
          <w:rFonts w:ascii="Arial" w:cs="Arial" w:eastAsia="Arial" w:hAnsi="Arial"/>
          <w:sz w:val="22"/>
          <w:szCs w:val="22"/>
        </w:rPr>
        <w:t xml:space="preserve">After accumulating 6+ months of feedback loop data, calibrate these weights via Bayesian regression: which quality signals actually predict guidance accuracy?</w:t>
      </w:r>
    </w:p>
    <w:p>
      <w:pPr>
        <w:spacing w:after="120"/>
      </w:pPr>
    </w:p>
    <w:p>
      <w:pPr>
        <w:pStyle w:val="Heading3"/>
        <w:spacing w:after="160" w:before="240"/>
      </w:pPr>
      <w:r>
        <w:rPr>
          <w:rFonts w:ascii="Arial" w:cs="Arial" w:eastAsia="Arial" w:hAnsi="Arial"/>
        </w:rPr>
        <w:t xml:space="preserve">4. TAM sanity ceiling</w:t>
      </w:r>
    </w:p>
    <w:p>
      <w:pPr>
        <w:spacing w:after="160"/>
      </w:pPr>
      <w:r>
        <w:rPr>
          <w:rFonts w:ascii="Arial" w:cs="Arial" w:eastAsia="Arial" w:hAnsi="Arial"/>
          <w:b/>
          <w:bCs/>
          <w:sz w:val="22"/>
          <w:szCs w:val="22"/>
        </w:rPr>
        <w:t xml:space="preserve">Current gate: </w:t>
      </w:r>
      <w:r>
        <w:rPr>
          <w:rFonts w:ascii="Arial" w:cs="Arial" w:eastAsia="Arial" w:hAnsi="Arial"/>
          <w:sz w:val="22"/>
          <w:szCs w:val="22"/>
        </w:rPr>
        <w:t xml:space="preserve">60%/35% max share by moat</w:t>
      </w:r>
    </w:p>
    <w:p>
      <w:pPr>
        <w:spacing w:after="160"/>
      </w:pPr>
      <w:r>
        <w:rPr>
          <w:rFonts w:ascii="Arial" w:cs="Arial" w:eastAsia="Arial" w:hAnsi="Arial"/>
          <w:b/>
          <w:bCs/>
          <w:color w:val="7F8C8D"/>
          <w:sz w:val="22"/>
          <w:szCs w:val="22"/>
        </w:rPr>
        <w:t xml:space="preserve">Location: </w:t>
      </w:r>
      <w:r>
        <w:rPr>
          <w:rFonts w:ascii="Arial" w:cs="Arial" w:eastAsia="Arial" w:hAnsi="Arial"/>
          <w:color w:val="7F8C8D"/>
          <w:sz w:val="22"/>
          <w:szCs w:val="22"/>
        </w:rPr>
        <w:t xml:space="preserve">target_engine.py:491–496</w:t>
      </w:r>
    </w:p>
    <w:p>
      <w:pPr>
        <w:spacing w:after="160"/>
      </w:pPr>
      <w:r>
        <w:rPr>
          <w:rFonts w:ascii="Arial" w:cs="Arial" w:eastAsia="Arial" w:hAnsi="Arial"/>
          <w:sz w:val="22"/>
          <w:szCs w:val="22"/>
        </w:rPr>
        <w:t xml:space="preserve">A 60% TAM share is possible for monopoly-adjacent companies (NVDA in GPU training) but absurd for fragmented markets. The fixed caps don’t account for market structure.</w:t>
      </w:r>
    </w:p>
    <w:p>
      <w:pPr>
        <w:spacing w:after="160"/>
      </w:pPr>
      <w:r>
        <w:rPr>
          <w:rFonts w:ascii="Arial" w:cs="Arial" w:eastAsia="Arial" w:hAnsi="Arial"/>
          <w:b/>
          <w:bCs/>
          <w:color w:val="27AE60"/>
          <w:sz w:val="22"/>
          <w:szCs w:val="22"/>
        </w:rPr>
        <w:t xml:space="preserve">Proposed replacement: </w:t>
      </w:r>
      <w:r>
        <w:rPr>
          <w:rFonts w:ascii="Arial" w:cs="Arial" w:eastAsia="Arial" w:hAnsi="Arial"/>
          <w:sz w:val="22"/>
          <w:szCs w:val="22"/>
        </w:rPr>
        <w:t xml:space="preserve">Max_share = f(herfindahl_index, moat_width, share_trajectory_velocity). Companies in concentrated markets with gaining share can plausibly reach higher penetration.</w:t>
      </w:r>
    </w:p>
    <w:p>
      <w:pPr>
        <w:spacing w:after="120"/>
      </w:pPr>
    </w:p>
    <w:p>
      <w:pPr>
        <w:pStyle w:val="Heading3"/>
        <w:spacing w:after="160" w:before="240"/>
      </w:pPr>
      <w:r>
        <w:rPr>
          <w:rFonts w:ascii="Arial" w:cs="Arial" w:eastAsia="Arial" w:hAnsi="Arial"/>
        </w:rPr>
        <w:t xml:space="preserve">5. Multiple decay factor</w:t>
      </w:r>
    </w:p>
    <w:p>
      <w:pPr>
        <w:spacing w:after="160"/>
      </w:pPr>
      <w:r>
        <w:rPr>
          <w:rFonts w:ascii="Arial" w:cs="Arial" w:eastAsia="Arial" w:hAnsi="Arial"/>
          <w:b/>
          <w:bCs/>
          <w:sz w:val="22"/>
          <w:szCs w:val="22"/>
        </w:rPr>
        <w:t xml:space="preserve">Current gate: </w:t>
      </w:r>
      <w:r>
        <w:rPr>
          <w:rFonts w:ascii="Arial" w:cs="Arial" w:eastAsia="Arial" w:hAnsi="Arial"/>
          <w:sz w:val="22"/>
          <w:szCs w:val="22"/>
        </w:rPr>
        <w:t xml:space="preserve">0–30% based on growth above 10%</w:t>
      </w:r>
    </w:p>
    <w:p>
      <w:pPr>
        <w:spacing w:after="160"/>
      </w:pPr>
      <w:r>
        <w:rPr>
          <w:rFonts w:ascii="Arial" w:cs="Arial" w:eastAsia="Arial" w:hAnsi="Arial"/>
          <w:b/>
          <w:bCs/>
          <w:color w:val="7F8C8D"/>
          <w:sz w:val="22"/>
          <w:szCs w:val="22"/>
        </w:rPr>
        <w:t xml:space="preserve">Location: </w:t>
      </w:r>
      <w:r>
        <w:rPr>
          <w:rFonts w:ascii="Arial" w:cs="Arial" w:eastAsia="Arial" w:hAnsi="Arial"/>
          <w:color w:val="7F8C8D"/>
          <w:sz w:val="22"/>
          <w:szCs w:val="22"/>
        </w:rPr>
        <w:t xml:space="preserve">target_engine.py:596</w:t>
      </w:r>
    </w:p>
    <w:p>
      <w:pPr>
        <w:spacing w:after="160"/>
      </w:pPr>
      <w:r>
        <w:rPr>
          <w:rFonts w:ascii="Arial" w:cs="Arial" w:eastAsia="Arial" w:hAnsi="Arial"/>
          <w:sz w:val="22"/>
          <w:szCs w:val="22"/>
        </w:rPr>
        <w:t xml:space="preserve">The formula min(0.30, max(0.0, (g1 - 0.10) * 1.0)) is a reasonable heuristic but the 10% threshold and 1.0 slope don’t adapt to different re-rating regimes.</w:t>
      </w:r>
    </w:p>
    <w:p>
      <w:pPr>
        <w:spacing w:after="160"/>
      </w:pPr>
      <w:r>
        <w:rPr>
          <w:rFonts w:ascii="Arial" w:cs="Arial" w:eastAsia="Arial" w:hAnsi="Arial"/>
          <w:b/>
          <w:bCs/>
          <w:color w:val="27AE60"/>
          <w:sz w:val="22"/>
          <w:szCs w:val="22"/>
        </w:rPr>
        <w:t xml:space="preserve">Proposed replacement: </w:t>
      </w:r>
      <w:r>
        <w:rPr>
          <w:rFonts w:ascii="Arial" w:cs="Arial" w:eastAsia="Arial" w:hAnsi="Arial"/>
          <w:sz w:val="22"/>
          <w:szCs w:val="22"/>
        </w:rPr>
        <w:t xml:space="preserve">Calibrate against historical multiple compression for companies at similar growth rates and market caps. The relationship between growth and terminal multiple compression is empirically well-studied.</w:t>
      </w:r>
    </w:p>
    <w:p>
      <w:pPr>
        <w:spacing w:after="120"/>
      </w:pPr>
    </w:p>
    <w:p>
      <w:r>
        <w:br w:type="page"/>
      </w:r>
    </w:p>
    <w:p>
      <w:pPr>
        <w:pStyle w:val="Heading1"/>
        <w:spacing w:after="160" w:before="360"/>
      </w:pPr>
      <w:r>
        <w:rPr>
          <w:rFonts w:ascii="Arial" w:cs="Arial" w:eastAsia="Arial" w:hAnsi="Arial"/>
        </w:rPr>
        <w:t xml:space="preserve">Section 3: The Adaptive Architecture</w:t>
      </w:r>
    </w:p>
    <w:p>
      <w:pPr>
        <w:spacing w:after="160"/>
      </w:pPr>
      <w:r>
        <w:rPr>
          <w:rFonts w:ascii="Arial" w:cs="Arial" w:eastAsia="Arial" w:hAnsi="Arial"/>
          <w:sz w:val="22"/>
          <w:szCs w:val="22"/>
        </w:rPr>
        <w:t xml:space="preserve">The replacement architecture has three layers: a continuous scoring layer that replaces binary gates, a context-injection layer that parameterizes the scoring functions, and a calibration layer that learns from outcomes.</w:t>
      </w:r>
    </w:p>
    <w:p>
      <w:pPr>
        <w:pStyle w:val="Heading2"/>
        <w:spacing w:after="160" w:before="240"/>
      </w:pPr>
      <w:r>
        <w:rPr>
          <w:rFonts w:ascii="Arial" w:cs="Arial" w:eastAsia="Arial" w:hAnsi="Arial"/>
        </w:rPr>
        <w:t xml:space="preserve">Layer 1: Continuous Scoring Functions</w:t>
      </w:r>
    </w:p>
    <w:p>
      <w:pPr>
        <w:spacing w:after="160"/>
      </w:pPr>
      <w:r>
        <w:rPr>
          <w:rFonts w:ascii="Arial" w:cs="Arial" w:eastAsia="Arial" w:hAnsi="Arial"/>
          <w:sz w:val="22"/>
          <w:szCs w:val="22"/>
        </w:rPr>
        <w:t xml:space="preserve">Every flexible threshold becomes a smooth function that maps an input metric to a score between 0 and 1. The key primitive is the parameterized sigmoid:</w:t>
      </w:r>
    </w:p>
    <w:p>
      <w:pPr>
        <w:pBdr>
          <w:top w:val="single" w:color="85C1E9" w:sz="1" w:space="4"/>
          <w:bottom w:val="single" w:color="85C1E9" w:sz="1" w:space="4"/>
        </w:pBdr>
        <w:spacing w:after="200" w:before="200"/>
        <w:jc w:val="center"/>
      </w:pPr>
      <w:r>
        <w:rPr>
          <w:rFonts w:ascii="Courier New" w:cs="Courier New" w:eastAsia="Courier New" w:hAnsi="Courier New"/>
          <w:b/>
          <w:bCs/>
          <w:color w:val="1B4F72"/>
          <w:sz w:val="22"/>
          <w:szCs w:val="22"/>
        </w:rPr>
        <w:t xml:space="preserve">score(x) = 1 / (1 + exp(−k × (x − midpoint)))</w:t>
      </w:r>
    </w:p>
    <w:p>
      <w:pPr>
        <w:spacing w:after="160"/>
      </w:pPr>
      <w:r>
        <w:rPr>
          <w:rFonts w:ascii="Arial" w:cs="Arial" w:eastAsia="Arial" w:hAnsi="Arial"/>
          <w:sz w:val="22"/>
          <w:szCs w:val="22"/>
        </w:rPr>
        <w:t xml:space="preserve">Where k controls steepness (how fast the transition happens) and midpoint controls where the transition centers. Unlike a binary gate, this function:</w:t>
      </w:r>
    </w:p>
    <w:p>
      <w:pPr>
        <w:pStyle w:val="ListParagraph"/>
        <w:numPr>
          <w:ilvl w:val="0"/>
          <w:numId w:val="2"/>
        </w:numPr>
        <w:spacing w:after="80"/>
      </w:pPr>
      <w:r>
        <w:rPr>
          <w:rFonts w:ascii="Arial" w:cs="Arial" w:eastAsia="Arial" w:hAnsi="Arial"/>
          <w:sz w:val="22"/>
          <w:szCs w:val="22"/>
        </w:rPr>
        <w:t xml:space="preserve">Never produces a cliff: a 1pp change in the input metric produces a proportionally small change in the output score.</w:t>
      </w:r>
    </w:p>
    <w:p>
      <w:pPr>
        <w:pStyle w:val="ListParagraph"/>
        <w:numPr>
          <w:ilvl w:val="0"/>
          <w:numId w:val="2"/>
        </w:numPr>
        <w:spacing w:after="80"/>
      </w:pPr>
      <w:r>
        <w:rPr>
          <w:rFonts w:ascii="Arial" w:cs="Arial" w:eastAsia="Arial" w:hAnsi="Arial"/>
          <w:sz w:val="22"/>
          <w:szCs w:val="22"/>
        </w:rPr>
        <w:t xml:space="preserve">Approaches the extremes asymptotically: very high or very low inputs still produce near-1 or near-0 scores, preserving strong opinions at the tails.</w:t>
      </w:r>
    </w:p>
    <w:p>
      <w:pPr>
        <w:pStyle w:val="ListParagraph"/>
        <w:numPr>
          <w:ilvl w:val="0"/>
          <w:numId w:val="2"/>
        </w:numPr>
        <w:spacing w:after="80"/>
      </w:pPr>
      <w:r>
        <w:rPr>
          <w:rFonts w:ascii="Arial" w:cs="Arial" w:eastAsia="Arial" w:hAnsi="Arial"/>
          <w:sz w:val="22"/>
          <w:szCs w:val="22"/>
        </w:rPr>
        <w:t xml:space="preserve">Can be tuned per context: k and midpoint can vary by industry, archetype, or company size without changing the function’s shape.</w:t>
      </w:r>
    </w:p>
    <w:p>
      <w:pPr>
        <w:spacing w:after="160"/>
      </w:pPr>
      <w:r>
        <w:rPr>
          <w:rFonts w:ascii="Arial" w:cs="Arial" w:eastAsia="Arial" w:hAnsi="Arial"/>
          <w:sz w:val="22"/>
          <w:szCs w:val="22"/>
        </w:rPr>
        <w:t xml:space="preserve">Three function shapes cover all 68+ flexible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Sigmoid</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Smooth transition between two regimes (P/S vs EV/EBITDA routing, margin expansion recognition, projection score contributions)</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Valuation routing: sigmoid(ebitda_yield, midpoint=1.2%, k=400) replaces the 0.5%–2.0% linear interpolation with a smoother curve centered at the empirical break-even yield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Log-decay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Size-dependent caps where the constraint tightens with scale (growth caps, multiple compression, TAM penetration limits)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Growth cap: g1_max = 0.80 × exp(−0.005 × rev_billions) + 0.15. A $1B company caps at ~79%, a $100B company at ~46%, a $500B company at ~22%—continuously, with no bands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Sector z-score</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validation where “suspicious” depends on what’s normal for this type of company (revenue spike detection, multiple sanity, margin outliers)</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Revenue spike: flag when quarterly revenue &gt; mean + 3σ for this sector’s historical quarterly variance, not when it exceeds a fixed 2x/3x/5x multiple</w:t>
            </w:r>
          </w:p>
        </w:tc>
      </w:tr>
    </w:tbl>
    <w:p>
      <w:pPr>
        <w:spacing w:after="200"/>
      </w:pPr>
    </w:p>
    <w:p>
      <w:pPr>
        <w:pStyle w:val="Heading2"/>
        <w:spacing w:after="160" w:before="240"/>
      </w:pPr>
      <w:r>
        <w:rPr>
          <w:rFonts w:ascii="Arial" w:cs="Arial" w:eastAsia="Arial" w:hAnsi="Arial"/>
        </w:rPr>
        <w:t xml:space="preserve">Layer 2: Context Injection</w:t>
      </w:r>
    </w:p>
    <w:p>
      <w:pPr>
        <w:spacing w:after="160"/>
      </w:pPr>
      <w:r>
        <w:rPr>
          <w:rFonts w:ascii="Arial" w:cs="Arial" w:eastAsia="Arial" w:hAnsi="Arial"/>
          <w:sz w:val="22"/>
          <w:szCs w:val="22"/>
        </w:rPr>
        <w:t xml:space="preserve">The continuous functions alone are not enough. A sigmoid centered at the same midpoint for all companies is just a smoother version of the same one-size-fits-all gate. The critical innovation is that the function parameters (k, midpoint, scale) are derived from the company’s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Context Signal</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Parameterizes</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Archetype</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Routing midpoint, scenario width, margin ramp speed. Cyclicals get wider down-scenarios; compounders get tighter. Transformationals get higher multiple caps.</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generate_model.py archetype classification (GARP, Cyclical, Transformational, Compounder, Special Situation)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Industry sector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Margin targets, multiple ranges, revenue variance baselines. Software margins and semi margins are structurally different; the engine should know this.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Sector tag from watchlist.json or auto-classified. Build sector median tables from historical financials of peer group.</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Revenue scale</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Growth cap curves, TAM ceiling, multiple compression rate. All of these should tighten continuously with scale, not jump at $30B/$150B/$500B.</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TTM revenue from finance_data.py. Already available; just needs to parameterize continuous functions instead of discrete bands.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Moat composite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Terminal multiple cap, growth sustainability, guidance weight. Wide-moat companies sustain above-GDP growth longer—the engine already knows this but implements it via stepped caps instead of smooth functions.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Moat scout (moat_score, moat_type, moat_durability). Future: anchor to observable proxies (gross margin stability, customer concentration, switching costs).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Signal density</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Confidence level of each scoring function. When 3 independent signals agree on margin expansion, the midpoint should shift more aggressively than when only 1 signal is available.</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of confirming sources from forward_drivers.py. Already partially implemented in projection score (Signal 5: data quality penalties).</w:t>
            </w:r>
          </w:p>
        </w:tc>
      </w:tr>
    </w:tbl>
    <w:p>
      <w:pPr>
        <w:spacing w:after="200"/>
      </w:pPr>
    </w:p>
    <w:p>
      <w:pPr>
        <w:pStyle w:val="Heading2"/>
        <w:spacing w:after="160" w:before="240"/>
      </w:pPr>
      <w:r>
        <w:rPr>
          <w:rFonts w:ascii="Arial" w:cs="Arial" w:eastAsia="Arial" w:hAnsi="Arial"/>
        </w:rPr>
        <w:t xml:space="preserve">Layer 3: Feedback Calibration</w:t>
      </w:r>
    </w:p>
    <w:p>
      <w:pPr>
        <w:spacing w:after="160"/>
      </w:pPr>
      <w:r>
        <w:rPr>
          <w:rFonts w:ascii="Arial" w:cs="Arial" w:eastAsia="Arial" w:hAnsi="Arial"/>
          <w:sz w:val="22"/>
          <w:szCs w:val="22"/>
        </w:rPr>
        <w:t xml:space="preserve">The sigmoid parameters (k, midpoint) start with the current heuristic values but update over time based on the feedback loop in feedback_loop.py:</w:t>
      </w:r>
    </w:p>
    <w:p>
      <w:pPr>
        <w:pStyle w:val="ListParagraph"/>
        <w:numPr>
          <w:ilvl w:val="0"/>
          <w:numId w:val="2"/>
        </w:numPr>
        <w:spacing w:after="80"/>
      </w:pPr>
      <w:r>
        <w:rPr>
          <w:rFonts w:ascii="Arial" w:cs="Arial" w:eastAsia="Arial" w:hAnsi="Arial"/>
          <w:b/>
          <w:bCs/>
          <w:sz w:val="22"/>
          <w:szCs w:val="22"/>
        </w:rPr>
        <w:t xml:space="preserve">Prediction tracking: </w:t>
      </w:r>
      <w:r>
        <w:rPr>
          <w:rFonts w:ascii="Arial" w:cs="Arial" w:eastAsia="Arial" w:hAnsi="Arial"/>
          <w:sz w:val="22"/>
          <w:szCs w:val="22"/>
        </w:rPr>
        <w:t xml:space="preserve">For each stock, record the engine’s predicted target at T=0 and the actual price at T+12 months. Over time, this builds a distribution of prediction errors per archetype, sector, and size band.</w:t>
      </w:r>
    </w:p>
    <w:p>
      <w:pPr>
        <w:pStyle w:val="ListParagraph"/>
        <w:numPr>
          <w:ilvl w:val="0"/>
          <w:numId w:val="2"/>
        </w:numPr>
        <w:spacing w:after="80"/>
      </w:pPr>
      <w:r>
        <w:rPr>
          <w:rFonts w:ascii="Arial" w:cs="Arial" w:eastAsia="Arial" w:hAnsi="Arial"/>
          <w:b/>
          <w:bCs/>
          <w:sz w:val="22"/>
          <w:szCs w:val="22"/>
        </w:rPr>
        <w:t xml:space="preserve">Parameter regression: </w:t>
      </w:r>
      <w:r>
        <w:rPr>
          <w:rFonts w:ascii="Arial" w:cs="Arial" w:eastAsia="Arial" w:hAnsi="Arial"/>
          <w:sz w:val="22"/>
          <w:szCs w:val="22"/>
        </w:rPr>
        <w:t xml:space="preserve">Every quarter, fit the sigmoid parameters to minimize the historical prediction error. If the valuation routing sigmoid is consistently too aggressive (sending too many stocks to P/S that should have been EV/EBITDA), the midpoint shifts rightward automatically.</w:t>
      </w:r>
    </w:p>
    <w:p>
      <w:pPr>
        <w:pStyle w:val="ListParagraph"/>
        <w:numPr>
          <w:ilvl w:val="0"/>
          <w:numId w:val="2"/>
        </w:numPr>
        <w:spacing w:after="80"/>
      </w:pPr>
      <w:r>
        <w:rPr>
          <w:rFonts w:ascii="Arial" w:cs="Arial" w:eastAsia="Arial" w:hAnsi="Arial"/>
          <w:b/>
          <w:bCs/>
          <w:sz w:val="22"/>
          <w:szCs w:val="22"/>
        </w:rPr>
        <w:t xml:space="preserve">Guard rails: </w:t>
      </w:r>
      <w:r>
        <w:rPr>
          <w:rFonts w:ascii="Arial" w:cs="Arial" w:eastAsia="Arial" w:hAnsi="Arial"/>
          <w:sz w:val="22"/>
          <w:szCs w:val="22"/>
        </w:rPr>
        <w:t xml:space="preserve">The calibration layer has its own hard constraints—sigmoid parameters cannot move more than 20% per quarter, and the system alerts when a recalibration would change &gt;3 stocks’ primary valuation method. This prevents data-overfit and ensures human oversight.</w:t>
      </w:r>
    </w:p>
    <w:p>
      <w:pPr>
        <w:spacing w:after="160"/>
      </w:pPr>
      <w:r>
        <w:rPr>
          <w:rFonts w:ascii="Arial" w:cs="Arial" w:eastAsia="Arial" w:hAnsi="Arial"/>
          <w:sz w:val="22"/>
          <w:szCs w:val="22"/>
        </w:rPr>
        <w:t xml:space="preserve">This is the long-term vision. The immediate implementation (HIGH-priority items) uses hand-tuned sigmoid parameters derived from the current heuristic values. Calibration kicks in once 6+ months of feedback data accumulates.</w:t>
      </w:r>
    </w:p>
    <w:p>
      <w:r>
        <w:br w:type="page"/>
      </w:r>
    </w:p>
    <w:p>
      <w:pPr>
        <w:pStyle w:val="Heading1"/>
        <w:spacing w:after="160" w:before="360"/>
      </w:pPr>
      <w:r>
        <w:rPr>
          <w:rFonts w:ascii="Arial" w:cs="Arial" w:eastAsia="Arial" w:hAnsi="Arial"/>
        </w:rPr>
        <w:t xml:space="preserve">Section 4: Implementation Plan</w:t>
      </w:r>
    </w:p>
    <w:p>
      <w:pPr>
        <w:pStyle w:val="Heading2"/>
        <w:spacing w:after="160" w:before="240"/>
      </w:pPr>
      <w:r>
        <w:rPr>
          <w:rFonts w:ascii="Arial" w:cs="Arial" w:eastAsia="Arial" w:hAnsi="Arial"/>
        </w:rPr>
        <w:t xml:space="preserve">Phase 1: Projection Score (1 session)</w:t>
      </w:r>
    </w:p>
    <w:p>
      <w:pPr>
        <w:spacing w:after="160"/>
      </w:pPr>
      <w:r>
        <w:rPr>
          <w:rFonts w:ascii="Arial" w:cs="Arial" w:eastAsia="Arial" w:hAnsi="Arial"/>
          <w:sz w:val="22"/>
          <w:szCs w:val="22"/>
        </w:rPr>
        <w:t xml:space="preserve">Replace the stepped contribution deltas in target_blend.py with continuous sigmoid functions. This is the safest starting point because the projection score is already designed as a continuous 0–1 spectrum—the only problem is the internal step functions feeding it.</w:t>
      </w:r>
    </w:p>
    <w:p>
      <w:pPr>
        <w:spacing w:after="160"/>
      </w:pPr>
      <w:r>
        <w:rPr>
          <w:rFonts w:ascii="Arial" w:cs="Arial" w:eastAsia="Arial" w:hAnsi="Arial"/>
          <w:b/>
          <w:bCs/>
          <w:sz w:val="22"/>
          <w:szCs w:val="22"/>
        </w:rPr>
        <w:t xml:space="preserve">Files: </w:t>
      </w:r>
      <w:r>
        <w:rPr>
          <w:rFonts w:ascii="Arial" w:cs="Arial" w:eastAsia="Arial" w:hAnsi="Arial"/>
          <w:sz w:val="22"/>
          <w:szCs w:val="22"/>
        </w:rPr>
        <w:t xml:space="preserve">target_blend.py (compute_projection_score)</w:t>
      </w:r>
    </w:p>
    <w:p>
      <w:pPr>
        <w:spacing w:after="160"/>
      </w:pPr>
      <w:r>
        <w:rPr>
          <w:rFonts w:ascii="Arial" w:cs="Arial" w:eastAsia="Arial" w:hAnsi="Arial"/>
          <w:b/>
          <w:bCs/>
          <w:sz w:val="22"/>
          <w:szCs w:val="22"/>
        </w:rPr>
        <w:t xml:space="preserve">Test: </w:t>
      </w:r>
      <w:r>
        <w:rPr>
          <w:rFonts w:ascii="Arial" w:cs="Arial" w:eastAsia="Arial" w:hAnsi="Arial"/>
          <w:sz w:val="22"/>
          <w:szCs w:val="22"/>
        </w:rPr>
        <w:t xml:space="preserve">Before/after projection scores for all 9 watchlist stocks. Verify no score changes by more than 0.15 from current values (continuity guarantee).</w:t>
      </w:r>
    </w:p>
    <w:p>
      <w:pPr>
        <w:pStyle w:val="Heading2"/>
        <w:spacing w:after="160" w:before="240"/>
      </w:pPr>
      <w:r>
        <w:rPr>
          <w:rFonts w:ascii="Arial" w:cs="Arial" w:eastAsia="Arial" w:hAnsi="Arial"/>
        </w:rPr>
        <w:t xml:space="preserve">Phase 2: Valuation Routing (1–2 sessions)</w:t>
      </w:r>
    </w:p>
    <w:p>
      <w:pPr>
        <w:spacing w:after="160"/>
      </w:pPr>
      <w:r>
        <w:rPr>
          <w:rFonts w:ascii="Arial" w:cs="Arial" w:eastAsia="Arial" w:hAnsi="Arial"/>
          <w:sz w:val="22"/>
          <w:szCs w:val="22"/>
        </w:rPr>
        <w:t xml:space="preserve">Replace the EBITDA yield transition zone and the margin expansion guard with a single routing score. This is the highest-impact change—it’s the fix that would have prevented the AMD, LITE, and AEHR mis-pricings.</w:t>
      </w:r>
    </w:p>
    <w:p>
      <w:pPr>
        <w:spacing w:after="160"/>
      </w:pPr>
      <w:r>
        <w:rPr>
          <w:rFonts w:ascii="Arial" w:cs="Arial" w:eastAsia="Arial" w:hAnsi="Arial"/>
          <w:b/>
          <w:bCs/>
          <w:sz w:val="22"/>
          <w:szCs w:val="22"/>
        </w:rPr>
        <w:t xml:space="preserve">Files: </w:t>
      </w:r>
      <w:r>
        <w:rPr>
          <w:rFonts w:ascii="Arial" w:cs="Arial" w:eastAsia="Arial" w:hAnsi="Arial"/>
          <w:sz w:val="22"/>
          <w:szCs w:val="22"/>
        </w:rPr>
        <w:t xml:space="preserve">target_engine.py (_should_use_revenue_multiple, compute_smart_defaults)</w:t>
      </w:r>
    </w:p>
    <w:p>
      <w:pPr>
        <w:spacing w:after="160"/>
      </w:pPr>
      <w:r>
        <w:rPr>
          <w:rFonts w:ascii="Arial" w:cs="Arial" w:eastAsia="Arial" w:hAnsi="Arial"/>
          <w:b/>
          <w:bCs/>
          <w:sz w:val="22"/>
          <w:szCs w:val="22"/>
        </w:rPr>
        <w:t xml:space="preserve">Key design: </w:t>
      </w:r>
      <w:r>
        <w:rPr>
          <w:rFonts w:ascii="Arial" w:cs="Arial" w:eastAsia="Arial" w:hAnsi="Arial"/>
          <w:sz w:val="22"/>
          <w:szCs w:val="22"/>
        </w:rPr>
        <w:t xml:space="preserve">The routing function returns a continuous P/S weight (0.0–1.0) for all companies, not just those in the transition zone. A company at 5% EBITDA yield still gets a tiny P/S weight (~0.02) rather than exactly 0.0. This eliminates the cliff at yield = 2.0%.</w:t>
      </w:r>
    </w:p>
    <w:p>
      <w:pPr>
        <w:spacing w:after="160"/>
      </w:pPr>
      <w:r>
        <w:rPr>
          <w:rFonts w:ascii="Arial" w:cs="Arial" w:eastAsia="Arial" w:hAnsi="Arial"/>
          <w:b/>
          <w:bCs/>
          <w:sz w:val="22"/>
          <w:szCs w:val="22"/>
        </w:rPr>
        <w:t xml:space="preserve">Test: </w:t>
      </w:r>
      <w:r>
        <w:rPr>
          <w:rFonts w:ascii="Arial" w:cs="Arial" w:eastAsia="Arial" w:hAnsi="Arial"/>
          <w:sz w:val="22"/>
          <w:szCs w:val="22"/>
        </w:rPr>
        <w:t xml:space="preserve">Run build_target() for all 9 watchlist stocks with both old and new routing. Verify: (a) AMD and LITE produce higher targets, (b) NVDA and APP produce similar targets, (c) AEHR routes to cyclical, not P/S.</w:t>
      </w:r>
    </w:p>
    <w:p>
      <w:pPr>
        <w:pStyle w:val="Heading2"/>
        <w:spacing w:after="160" w:before="240"/>
      </w:pPr>
      <w:r>
        <w:rPr>
          <w:rFonts w:ascii="Arial" w:cs="Arial" w:eastAsia="Arial" w:hAnsi="Arial"/>
        </w:rPr>
        <w:t xml:space="preserve">Phase 3: Margin and Multiple Scoring (1–2 sessions)</w:t>
      </w:r>
    </w:p>
    <w:p>
      <w:pPr>
        <w:spacing w:after="160"/>
      </w:pPr>
      <w:r>
        <w:rPr>
          <w:rFonts w:ascii="Arial" w:cs="Arial" w:eastAsia="Arial" w:hAnsi="Arial"/>
          <w:sz w:val="22"/>
          <w:szCs w:val="22"/>
        </w:rPr>
        <w:t xml:space="preserve">Replace the banded margin ramp (&gt;60%/&gt;40%/&gt;15%/&gt;0%) and stepped multiple caps (45x/55x/60x/70x) with continuous functions parameterized by archetype and sector.</w:t>
      </w:r>
    </w:p>
    <w:p>
      <w:pPr>
        <w:spacing w:after="160"/>
      </w:pPr>
      <w:r>
        <w:rPr>
          <w:rFonts w:ascii="Arial" w:cs="Arial" w:eastAsia="Arial" w:hAnsi="Arial"/>
          <w:b/>
          <w:bCs/>
          <w:sz w:val="22"/>
          <w:szCs w:val="22"/>
        </w:rPr>
        <w:t xml:space="preserve">Files: </w:t>
      </w:r>
      <w:r>
        <w:rPr>
          <w:rFonts w:ascii="Arial" w:cs="Arial" w:eastAsia="Arial" w:hAnsi="Arial"/>
          <w:sz w:val="22"/>
          <w:szCs w:val="22"/>
        </w:rPr>
        <w:t xml:space="preserve">target_engine.py (compute_smart_defaults—margin target and multiple sections)</w:t>
      </w:r>
    </w:p>
    <w:p>
      <w:pPr>
        <w:spacing w:after="160"/>
      </w:pPr>
      <w:r>
        <w:rPr>
          <w:rFonts w:ascii="Arial" w:cs="Arial" w:eastAsia="Arial" w:hAnsi="Arial"/>
          <w:b/>
          <w:bCs/>
          <w:sz w:val="22"/>
          <w:szCs w:val="22"/>
        </w:rPr>
        <w:t xml:space="preserve">Key design: </w:t>
      </w:r>
      <w:r>
        <w:rPr>
          <w:rFonts w:ascii="Arial" w:cs="Arial" w:eastAsia="Arial" w:hAnsi="Arial"/>
          <w:sz w:val="22"/>
          <w:szCs w:val="22"/>
        </w:rPr>
        <w:t xml:space="preserve">Margin expansion = continuous_expansion(current_margin, growth_rate, sector_median). Multiple cap = continuous_cap(moat_composite, tam_growth, revenue_scale). Both are smooth functions with no bands.</w:t>
      </w:r>
    </w:p>
    <w:p>
      <w:pPr>
        <w:pStyle w:val="Heading2"/>
        <w:spacing w:after="160" w:before="240"/>
      </w:pPr>
      <w:r>
        <w:rPr>
          <w:rFonts w:ascii="Arial" w:cs="Arial" w:eastAsia="Arial" w:hAnsi="Arial"/>
        </w:rPr>
        <w:t xml:space="preserve">Phase 4: Scenario Width Adaptation (1 session)</w:t>
      </w:r>
    </w:p>
    <w:p>
      <w:pPr>
        <w:spacing w:after="160"/>
      </w:pPr>
      <w:r>
        <w:rPr>
          <w:rFonts w:ascii="Arial" w:cs="Arial" w:eastAsia="Arial" w:hAnsi="Arial"/>
          <w:sz w:val="22"/>
          <w:szCs w:val="22"/>
        </w:rPr>
        <w:t xml:space="preserve">Replace fixed SCENARIO_OFFSETS with company-specific widths derived from historical earnings surprise distributions and implied volatility.</w:t>
      </w:r>
    </w:p>
    <w:p>
      <w:pPr>
        <w:spacing w:after="160"/>
      </w:pPr>
      <w:r>
        <w:rPr>
          <w:rFonts w:ascii="Arial" w:cs="Arial" w:eastAsia="Arial" w:hAnsi="Arial"/>
          <w:b/>
          <w:bCs/>
          <w:sz w:val="22"/>
          <w:szCs w:val="22"/>
        </w:rPr>
        <w:t xml:space="preserve">Files: </w:t>
      </w:r>
      <w:r>
        <w:rPr>
          <w:rFonts w:ascii="Arial" w:cs="Arial" w:eastAsia="Arial" w:hAnsi="Arial"/>
          <w:sz w:val="22"/>
          <w:szCs w:val="22"/>
        </w:rPr>
        <w:t xml:space="preserve">target_engine.py (SCENARIO_OFFSETS section, build_target scenario loop)</w:t>
      </w:r>
    </w:p>
    <w:p>
      <w:pPr>
        <w:spacing w:after="160"/>
      </w:pPr>
      <w:r>
        <w:rPr>
          <w:rFonts w:ascii="Arial" w:cs="Arial" w:eastAsia="Arial" w:hAnsi="Arial"/>
          <w:b/>
          <w:bCs/>
          <w:sz w:val="22"/>
          <w:szCs w:val="22"/>
        </w:rPr>
        <w:t xml:space="preserve">Prerequisite: </w:t>
      </w:r>
      <w:r>
        <w:rPr>
          <w:rFonts w:ascii="Arial" w:cs="Arial" w:eastAsia="Arial" w:hAnsi="Arial"/>
          <w:sz w:val="22"/>
          <w:szCs w:val="22"/>
        </w:rPr>
        <w:t xml:space="preserve">Finance data provider must support historical earnings surprise data (EODHD does; yfinance does not reliably).</w:t>
      </w:r>
    </w:p>
    <w:p>
      <w:pPr>
        <w:pStyle w:val="Heading2"/>
        <w:spacing w:after="160" w:before="240"/>
      </w:pPr>
      <w:r>
        <w:rPr>
          <w:rFonts w:ascii="Arial" w:cs="Arial" w:eastAsia="Arial" w:hAnsi="Arial"/>
        </w:rPr>
        <w:t xml:space="preserve">Phase 5: Feedback Calibration (2–3 sessions, after 6 months of data)</w:t>
      </w:r>
    </w:p>
    <w:p>
      <w:pPr>
        <w:spacing w:after="160"/>
      </w:pPr>
      <w:r>
        <w:rPr>
          <w:rFonts w:ascii="Arial" w:cs="Arial" w:eastAsia="Arial" w:hAnsi="Arial"/>
          <w:sz w:val="22"/>
          <w:szCs w:val="22"/>
        </w:rPr>
        <w:t xml:space="preserve">Build the calibration layer that regresses sigmoid parameters against actual prediction outcomes. This is the long-term goal and depends on having enough historical predictions to fit against.</w:t>
      </w:r>
    </w:p>
    <w:p>
      <w:pPr>
        <w:spacing w:after="160"/>
      </w:pPr>
      <w:r>
        <w:rPr>
          <w:rFonts w:ascii="Arial" w:cs="Arial" w:eastAsia="Arial" w:hAnsi="Arial"/>
          <w:b/>
          <w:bCs/>
          <w:sz w:val="22"/>
          <w:szCs w:val="22"/>
        </w:rPr>
        <w:t xml:space="preserve">Files: </w:t>
      </w:r>
      <w:r>
        <w:rPr>
          <w:rFonts w:ascii="Arial" w:cs="Arial" w:eastAsia="Arial" w:hAnsi="Arial"/>
          <w:sz w:val="22"/>
          <w:szCs w:val="22"/>
        </w:rPr>
        <w:t xml:space="preserve">New file: scripts/adaptive_calibration.py. Integrates with feedback_loop.py.</w:t>
      </w:r>
    </w:p>
    <w:p>
      <w:r>
        <w:br w:type="page"/>
      </w:r>
    </w:p>
    <w:p>
      <w:pPr>
        <w:pStyle w:val="Heading1"/>
        <w:spacing w:after="160" w:before="360"/>
      </w:pPr>
      <w:r>
        <w:rPr>
          <w:rFonts w:ascii="Arial" w:cs="Arial" w:eastAsia="Arial" w:hAnsi="Arial"/>
        </w:rPr>
        <w:t xml:space="preserve">Section 5: Expected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530"/>
        <w:gridCol w:w="253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 System</w:t>
            </w:r>
          </w:p>
        </w:tc>
        <w:tc>
          <w:tcPr>
            <w:tcW w:type="dxa" w:w="25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After Phase 1–3</w:t>
            </w:r>
          </w:p>
        </w:tc>
        <w:tc>
          <w:tcPr>
            <w:tcW w:type="dxa" w:w="25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After Phase 5</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Valuation cliffs</w:t>
            </w:r>
          </w:p>
        </w:tc>
        <w:tc>
          <w:tcPr>
            <w:tcW w:type="dxa" w:w="2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C0392B"/>
                <w:sz w:val="20"/>
                <w:szCs w:val="20"/>
              </w:rPr>
              <w:t xml:space="preserve">1pp input change can swing target 30%+</w:t>
            </w:r>
          </w:p>
        </w:tc>
        <w:tc>
          <w:tcPr>
            <w:tcW w:type="dxa" w:w="25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7AE60"/>
                <w:sz w:val="20"/>
                <w:szCs w:val="20"/>
              </w:rPr>
              <w:t xml:space="preserve">Max target swing per 1pp input: &lt; 5%</w:t>
            </w:r>
          </w:p>
        </w:tc>
        <w:tc>
          <w:tcPr>
            <w:tcW w:type="dxa" w:w="25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7AE60"/>
                <w:sz w:val="20"/>
                <w:szCs w:val="20"/>
              </w:rPr>
              <w:t xml:space="preserve">Empirically minimized via calibration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Mis-routing rate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3 of 9 stocks (33%) had confirmed routing errors</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~0% (routing is continuous, no wrong bin)</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~0% with ongoing auto-correction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Manual patches needed</w:t>
            </w:r>
          </w:p>
        </w:tc>
        <w:tc>
          <w:tcPr>
            <w:tcW w:type="dxa" w:w="2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C0392B"/>
                <w:sz w:val="20"/>
                <w:szCs w:val="20"/>
              </w:rPr>
              <w:t xml:space="preserve">Each edge case requires a new if/else branch</w:t>
            </w:r>
          </w:p>
        </w:tc>
        <w:tc>
          <w:tcPr>
            <w:tcW w:type="dxa" w:w="25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7AE60"/>
                <w:sz w:val="20"/>
                <w:szCs w:val="20"/>
              </w:rPr>
              <w:t xml:space="preserve">System adapts; patches become parameter tuning</w:t>
            </w:r>
          </w:p>
        </w:tc>
        <w:tc>
          <w:tcPr>
            <w:tcW w:type="dxa" w:w="25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7AE60"/>
                <w:sz w:val="20"/>
                <w:szCs w:val="20"/>
              </w:rPr>
              <w:t xml:space="preserve">Parameters auto-tune from outcomes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Hardcoded thresholds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78+ across 8 files</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~10 hard + ~15 sigmoid params</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~10 hard + auto-calibrated params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New stock onboarding</w:t>
            </w:r>
          </w:p>
        </w:tc>
        <w:tc>
          <w:tcPr>
            <w:tcW w:type="dxa" w:w="2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C0392B"/>
                <w:sz w:val="20"/>
                <w:szCs w:val="20"/>
              </w:rPr>
              <w:t xml:space="preserve">May mis-route until manually debugged</w:t>
            </w:r>
          </w:p>
        </w:tc>
        <w:tc>
          <w:tcPr>
            <w:tcW w:type="dxa" w:w="25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7AE60"/>
                <w:sz w:val="20"/>
                <w:szCs w:val="20"/>
              </w:rPr>
              <w:t xml:space="preserve">Context-aware routing works on day 1</w:t>
            </w:r>
          </w:p>
        </w:tc>
        <w:tc>
          <w:tcPr>
            <w:tcW w:type="dxa" w:w="25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7AE60"/>
                <w:sz w:val="20"/>
                <w:szCs w:val="20"/>
              </w:rPr>
              <w:t xml:space="preserve">Routing quality improves with each stock added</w:t>
            </w:r>
          </w:p>
        </w:tc>
      </w:tr>
    </w:tbl>
    <w:p>
      <w:pPr>
        <w:spacing w:after="300"/>
      </w:pPr>
    </w:p>
    <w:p>
      <w:pPr>
        <w:pStyle w:val="Heading2"/>
        <w:spacing w:after="160" w:before="240"/>
      </w:pPr>
      <w:r>
        <w:rPr>
          <w:rFonts w:ascii="Arial" w:cs="Arial" w:eastAsia="Arial" w:hAnsi="Arial"/>
        </w:rPr>
        <w:t xml:space="preserve">Design Principle</w:t>
      </w:r>
    </w:p>
    <w:p>
      <w:pPr>
        <w:pBdr>
          <w:top w:val="single" w:color="85C1E9" w:sz="2" w:space="8"/>
          <w:bottom w:val="single" w:color="85C1E9" w:sz="2" w:space="8"/>
          <w:left w:val="single" w:color="85C1E9" w:sz="2" w:space="8"/>
          <w:right w:val="single" w:color="85C1E9" w:sz="2" w:space="8"/>
        </w:pBdr>
        <w:spacing w:after="200" w:before="200"/>
        <w:jc w:val="center"/>
      </w:pPr>
      <w:r>
        <w:rPr>
          <w:rFonts w:ascii="Arial" w:cs="Arial" w:eastAsia="Arial" w:hAnsi="Arial"/>
          <w:i/>
          <w:iCs/>
          <w:color w:val="1B4F72"/>
          <w:sz w:val="26"/>
          <w:szCs w:val="26"/>
        </w:rPr>
        <w:t xml:space="preserve">“Flexible as water, bending to what deserves more attention.”</w:t>
      </w:r>
    </w:p>
    <w:p>
      <w:pPr>
        <w:spacing w:after="160"/>
      </w:pPr>
      <w:r>
        <w:rPr>
          <w:rFonts w:ascii="Arial" w:cs="Arial" w:eastAsia="Arial" w:hAnsi="Arial"/>
          <w:sz w:val="22"/>
          <w:szCs w:val="22"/>
        </w:rPr>
        <w:t xml:space="preserve">The hard criteria are the riverbanks. They define the boundaries of what is physically possible and mathematically valid. Everything between the banks flows adaptively—the water finds the shape of the terrain it encounters, not the shape we assumed it would have when we built the channel.</w:t>
      </w:r>
    </w:p>
    <w:p>
      <w:pPr>
        <w:spacing w:after="160"/>
      </w:pPr>
      <w:r>
        <w:rPr>
          <w:rFonts w:ascii="Arial" w:cs="Arial" w:eastAsia="Arial" w:hAnsi="Arial"/>
          <w:sz w:val="22"/>
          <w:szCs w:val="22"/>
        </w:rPr>
        <w:t xml:space="preserve">The goal is not to remove all thresholds. It is to ensure that every threshold that remains is there because the universe demands it, not because we were too lazy to build a continuous function.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rFonts w:ascii="Arial" w:cs="Arial" w:eastAsia="Arial" w:hAnsi="Arial"/>
        <w:b/>
        <w:bCs/>
        <w:color w:val="1B4F72"/>
        <w:sz w:val="18"/>
        <w:szCs w:val="18"/>
      </w:rPr>
      <w:t xml:space="preserve">Stock Radar</w:t>
    </w:r>
    <w:r>
      <w:rPr>
        <w:rFonts w:ascii="Arial" w:cs="Arial" w:eastAsia="Arial" w:hAnsi="Arial"/>
        <w:color w:val="7F8C8D"/>
        <w:sz w:val="18"/>
        <w:szCs w:val="18"/>
      </w:rPr>
      <w:t xml:space="preserve">  |  Adaptive Routing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4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2026-04-24T00:27:54.293Z</dcterms:created>
  <dcterms:modified xsi:type="dcterms:W3CDTF">2026-04-24T00:27:54.294Z</dcterms:modified>
</cp:coreProperties>
</file>

<file path=docProps/custom.xml><?xml version="1.0" encoding="utf-8"?>
<Properties xmlns="http://schemas.openxmlformats.org/officeDocument/2006/custom-properties" xmlns:vt="http://schemas.openxmlformats.org/officeDocument/2006/docPropsVTypes"/>
</file>