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300"/>
        <w:jc w:val="center"/>
      </w:pPr>
      <w:r>
        <w:rPr>
          <w:rFonts w:ascii="Arial" w:cs="Arial" w:eastAsia="Arial" w:hAnsi="Arial"/>
          <w:caps/>
          <w:color w:val="666666"/>
          <w:sz w:val="20"/>
          <w:szCs w:val="20"/>
        </w:rPr>
        <w:t xml:space="preserve">LEVERAGE THINKING</w:t>
      </w:r>
    </w:p>
    <w:p>
      <w:pPr>
        <w:spacing w:after="200" w:before="0" w:line="300"/>
        <w:jc w:val="center"/>
      </w:pPr>
      <w:r>
        <w:rPr>
          <w:rFonts w:ascii="Arial" w:cs="Arial" w:eastAsia="Arial" w:hAnsi="Arial"/>
          <w:b/>
          <w:bCs/>
          <w:color w:val="1F3A5F"/>
          <w:sz w:val="72"/>
          <w:szCs w:val="72"/>
        </w:rPr>
        <w:t xml:space="preserve">GOAL FIRST</w:t>
      </w:r>
    </w:p>
    <w:p>
      <w:pPr>
        <w:spacing w:after="600" w:before="0" w:line="300"/>
        <w:jc w:val="center"/>
      </w:pPr>
      <w:r>
        <w:rPr>
          <w:rFonts w:ascii="Arial" w:cs="Arial" w:eastAsia="Arial" w:hAnsi="Arial"/>
          <w:color w:val="666666"/>
          <w:sz w:val="28"/>
          <w:szCs w:val="28"/>
        </w:rPr>
        <w:t xml:space="preserve">ERST DAS ZIEL, DANN DIE AKTIEN.</w:t>
      </w:r>
    </w:p>
    <w:p>
      <w:pPr>
        <w:spacing w:after="2000" w:before="0" w:line="300"/>
        <w:jc w:val="center"/>
      </w:pPr>
      <w:r>
        <w:rPr>
          <w:rFonts w:ascii="Arial" w:cs="Arial" w:eastAsia="Arial" w:hAnsi="Arial"/>
          <w:i/>
          <w:iCs/>
          <w:sz w:val="24"/>
          <w:szCs w:val="24"/>
        </w:rPr>
        <w:t xml:space="preserve">Ein Framework für Anleger, deren Portfolio tatsächlich funktionieren muss.</w:t>
      </w:r>
    </w:p>
    <w:p>
      <w:pPr>
        <w:spacing w:after="200" w:before="0" w:line="300"/>
        <w:jc w:val="center"/>
      </w:pPr>
      <w:r>
        <w:rPr>
          <w:rFonts w:ascii="Arial" w:cs="Arial" w:eastAsia="Arial" w:hAnsi="Arial"/>
          <w:b/>
          <w:bCs/>
          <w:color w:val="666666"/>
          <w:sz w:val="40"/>
          <w:szCs w:val="40"/>
        </w:rPr>
        <w:t xml:space="preserve">1</w:t>
      </w:r>
    </w:p>
    <w:p>
      <w:pPr>
        <w:spacing w:after="160" w:before="0" w:line="300"/>
        <w:jc w:val="center"/>
      </w:pPr>
      <w:r>
        <w:rPr>
          <w:rFonts w:ascii="Arial" w:cs="Arial" w:eastAsia="Arial" w:hAnsi="Arial"/>
          <w:color w:val="666666"/>
          <w:sz w:val="20"/>
          <w:szCs w:val="20"/>
        </w:rPr>
        <w:t xml:space="preserve">Leverage Thinking · Laura Kruse-Stecher</w:t>
      </w:r>
    </w:p>
    <w:p>
      <w:pPr>
        <w:pageBreakBefore/>
        <w:pStyle w:val="Heading1"/>
        <w:spacing w:after="240" w:before="0"/>
      </w:pPr>
      <w:r>
        <w:rPr>
          <w:rFonts w:ascii="Arial" w:cs="Arial" w:eastAsia="Arial" w:hAnsi="Arial"/>
          <w:b/>
          <w:bCs/>
          <w:color w:val="1F3A5F"/>
          <w:sz w:val="40"/>
          <w:szCs w:val="40"/>
        </w:rPr>
        <w:t xml:space="preserve">Inhalt</w:t>
      </w:r>
    </w:p>
    <w:p>
      <w:pPr>
        <w:spacing w:after="20" w:before="0" w:line="300"/>
      </w:pPr>
      <w:r>
        <w:rPr>
          <w:rFonts w:ascii="Arial" w:cs="Arial" w:eastAsia="Arial" w:hAnsi="Arial"/>
          <w:b/>
          <w:bCs/>
          <w:sz w:val="22"/>
          <w:szCs w:val="22"/>
        </w:rPr>
        <w:t xml:space="preserve">Einleitung</w:t>
      </w:r>
    </w:p>
    <w:p>
      <w:pPr>
        <w:spacing w:after="140" w:before="0" w:line="300"/>
        <w:ind w:left="567"/>
      </w:pPr>
      <w:r>
        <w:rPr>
          <w:rFonts w:ascii="Arial" w:cs="Arial" w:eastAsia="Arial" w:hAnsi="Arial"/>
          <w:color w:val="666666"/>
          <w:sz w:val="20"/>
          <w:szCs w:val="20"/>
        </w:rPr>
        <w:t xml:space="preserve">Die Einschränkung, die alles schärft</w:t>
      </w:r>
    </w:p>
    <w:p>
      <w:pPr>
        <w:spacing w:after="20" w:before="0" w:line="300"/>
      </w:pPr>
      <w:r>
        <w:rPr>
          <w:rFonts w:ascii="Arial" w:cs="Arial" w:eastAsia="Arial" w:hAnsi="Arial"/>
          <w:b/>
          <w:bCs/>
          <w:sz w:val="22"/>
          <w:szCs w:val="22"/>
        </w:rPr>
        <w:t xml:space="preserve">Teil 1 — Warum Screening scheitert</w:t>
      </w:r>
    </w:p>
    <w:p>
      <w:pPr>
        <w:spacing w:after="140" w:before="0" w:line="300"/>
        <w:ind w:left="567"/>
      </w:pPr>
      <w:r>
        <w:rPr>
          <w:rFonts w:ascii="Arial" w:cs="Arial" w:eastAsia="Arial" w:hAnsi="Arial"/>
          <w:color w:val="666666"/>
          <w:sz w:val="20"/>
          <w:szCs w:val="20"/>
        </w:rPr>
        <w:t xml:space="preserve">Die Falle der Multi-Kriterien-Optimierung</w:t>
      </w:r>
    </w:p>
    <w:p>
      <w:pPr>
        <w:spacing w:after="20" w:before="0" w:line="300"/>
      </w:pPr>
      <w:r>
        <w:rPr>
          <w:rFonts w:ascii="Arial" w:cs="Arial" w:eastAsia="Arial" w:hAnsi="Arial"/>
          <w:b/>
          <w:bCs/>
          <w:sz w:val="22"/>
          <w:szCs w:val="22"/>
        </w:rPr>
        <w:t xml:space="preserve">Teil 2 — Die Methode</w:t>
      </w:r>
    </w:p>
    <w:p>
      <w:pPr>
        <w:spacing w:after="140" w:before="0" w:line="300"/>
        <w:ind w:left="567"/>
      </w:pPr>
      <w:r>
        <w:rPr>
          <w:rFonts w:ascii="Arial" w:cs="Arial" w:eastAsia="Arial" w:hAnsi="Arial"/>
          <w:color w:val="666666"/>
          <w:sz w:val="20"/>
          <w:szCs w:val="20"/>
        </w:rPr>
        <w:t xml:space="preserve">Ziel zuerst. Constraints danach.</w:t>
      </w:r>
    </w:p>
    <w:p>
      <w:pPr>
        <w:spacing w:after="20" w:before="0" w:line="300"/>
      </w:pPr>
      <w:r>
        <w:rPr>
          <w:rFonts w:ascii="Arial" w:cs="Arial" w:eastAsia="Arial" w:hAnsi="Arial"/>
          <w:b/>
          <w:bCs/>
          <w:sz w:val="22"/>
          <w:szCs w:val="22"/>
        </w:rPr>
        <w:t xml:space="preserve">    Strategie 1: Outperformance</w:t>
      </w:r>
    </w:p>
    <w:p>
      <w:pPr>
        <w:spacing w:after="140" w:before="0" w:line="300"/>
        <w:ind w:left="567"/>
      </w:pPr>
      <w:r>
        <w:rPr>
          <w:rFonts w:ascii="Arial" w:cs="Arial" w:eastAsia="Arial" w:hAnsi="Arial"/>
          <w:color w:val="666666"/>
          <w:sz w:val="20"/>
          <w:szCs w:val="20"/>
        </w:rPr>
        <w:t xml:space="preserve">Konsistenz statt Größe</w:t>
      </w:r>
    </w:p>
    <w:p>
      <w:pPr>
        <w:spacing w:after="20" w:before="0" w:line="300"/>
      </w:pPr>
      <w:r>
        <w:rPr>
          <w:rFonts w:ascii="Arial" w:cs="Arial" w:eastAsia="Arial" w:hAnsi="Arial"/>
          <w:b/>
          <w:bCs/>
          <w:sz w:val="22"/>
          <w:szCs w:val="22"/>
        </w:rPr>
        <w:t xml:space="preserve">    Strategie 2: Dividenden</w:t>
      </w:r>
    </w:p>
    <w:p>
      <w:pPr>
        <w:spacing w:after="140" w:before="0" w:line="300"/>
        <w:ind w:left="567"/>
      </w:pPr>
      <w:r>
        <w:rPr>
          <w:rFonts w:ascii="Arial" w:cs="Arial" w:eastAsia="Arial" w:hAnsi="Arial"/>
          <w:color w:val="666666"/>
          <w:sz w:val="20"/>
          <w:szCs w:val="20"/>
        </w:rPr>
        <w:t xml:space="preserve">Eine Rendite, die nicht lügt</w:t>
      </w:r>
    </w:p>
    <w:p>
      <w:pPr>
        <w:spacing w:after="20" w:before="0" w:line="300"/>
      </w:pPr>
      <w:r>
        <w:rPr>
          <w:rFonts w:ascii="Arial" w:cs="Arial" w:eastAsia="Arial" w:hAnsi="Arial"/>
          <w:b/>
          <w:bCs/>
          <w:sz w:val="22"/>
          <w:szCs w:val="22"/>
        </w:rPr>
        <w:t xml:space="preserve">Teil 3 — Auf eigene Ziele anwenden</w:t>
      </w:r>
    </w:p>
    <w:p>
      <w:pPr>
        <w:spacing w:after="20" w:before="0" w:line="300"/>
      </w:pPr>
      <w:r>
        <w:rPr>
          <w:rFonts w:ascii="Arial" w:cs="Arial" w:eastAsia="Arial" w:hAnsi="Arial"/>
          <w:b/>
          <w:bCs/>
          <w:sz w:val="22"/>
          <w:szCs w:val="22"/>
        </w:rPr>
        <w:t xml:space="preserve">    Low Volatility</w:t>
      </w:r>
    </w:p>
    <w:p>
      <w:pPr>
        <w:spacing w:after="140" w:before="0" w:line="300"/>
        <w:ind w:left="567"/>
      </w:pPr>
      <w:r>
        <w:rPr>
          <w:rFonts w:ascii="Arial" w:cs="Arial" w:eastAsia="Arial" w:hAnsi="Arial"/>
          <w:color w:val="666666"/>
          <w:sz w:val="20"/>
          <w:szCs w:val="20"/>
        </w:rPr>
        <w:t xml:space="preserve">Das Portfolio, das du tatsächlich hältst</w:t>
      </w:r>
    </w:p>
    <w:p>
      <w:pPr>
        <w:spacing w:after="20" w:before="0" w:line="300"/>
      </w:pPr>
      <w:r>
        <w:rPr>
          <w:rFonts w:ascii="Arial" w:cs="Arial" w:eastAsia="Arial" w:hAnsi="Arial"/>
          <w:b/>
          <w:bCs/>
          <w:sz w:val="22"/>
          <w:szCs w:val="22"/>
        </w:rPr>
        <w:t xml:space="preserve">    Strategie 3: Value</w:t>
      </w:r>
    </w:p>
    <w:p>
      <w:pPr>
        <w:spacing w:after="140" w:before="0" w:line="300"/>
        <w:ind w:left="567"/>
      </w:pPr>
      <w:r>
        <w:rPr>
          <w:rFonts w:ascii="Arial" w:cs="Arial" w:eastAsia="Arial" w:hAnsi="Arial"/>
          <w:color w:val="666666"/>
          <w:sz w:val="20"/>
          <w:szCs w:val="20"/>
        </w:rPr>
        <w:t xml:space="preserve">Billig, und billig aus gutem Grund</w:t>
      </w:r>
    </w:p>
    <w:p>
      <w:pPr>
        <w:spacing w:after="20" w:before="0" w:line="300"/>
      </w:pPr>
      <w:r>
        <w:rPr>
          <w:rFonts w:ascii="Arial" w:cs="Arial" w:eastAsia="Arial" w:hAnsi="Arial"/>
          <w:b/>
          <w:bCs/>
          <w:sz w:val="22"/>
          <w:szCs w:val="22"/>
        </w:rPr>
        <w:t xml:space="preserve">    Portfoliozusammensetzung</w:t>
      </w:r>
    </w:p>
    <w:p>
      <w:pPr>
        <w:spacing w:after="140" w:before="0" w:line="300"/>
        <w:ind w:left="567"/>
      </w:pPr>
      <w:r>
        <w:rPr>
          <w:rFonts w:ascii="Arial" w:cs="Arial" w:eastAsia="Arial" w:hAnsi="Arial"/>
          <w:color w:val="666666"/>
          <w:sz w:val="20"/>
          <w:szCs w:val="20"/>
        </w:rPr>
        <w:t xml:space="preserve">Der Schritt, den die meisten überspringen</w:t>
      </w:r>
    </w:p>
    <w:p>
      <w:pPr>
        <w:spacing w:after="20" w:before="0" w:line="300"/>
      </w:pPr>
      <w:r>
        <w:rPr>
          <w:rFonts w:ascii="Arial" w:cs="Arial" w:eastAsia="Arial" w:hAnsi="Arial"/>
          <w:b/>
          <w:bCs/>
          <w:sz w:val="22"/>
          <w:szCs w:val="22"/>
        </w:rPr>
        <w:t xml:space="preserve">Fazit</w:t>
      </w:r>
    </w:p>
    <w:p>
      <w:pPr>
        <w:spacing w:after="140" w:before="0" w:line="300"/>
        <w:ind w:left="567"/>
      </w:pPr>
      <w:r>
        <w:rPr>
          <w:rFonts w:ascii="Arial" w:cs="Arial" w:eastAsia="Arial" w:hAnsi="Arial"/>
          <w:color w:val="666666"/>
          <w:sz w:val="20"/>
          <w:szCs w:val="20"/>
        </w:rPr>
        <w:t xml:space="preserve">Die Frage hinter der Frage</w:t>
      </w:r>
    </w:p>
    <w:p>
      <w:pPr>
        <w:spacing w:after="20" w:before="0" w:line="300"/>
      </w:pPr>
      <w:r>
        <w:rPr>
          <w:rFonts w:ascii="Arial" w:cs="Arial" w:eastAsia="Arial" w:hAnsi="Arial"/>
          <w:b/>
          <w:bCs/>
          <w:sz w:val="22"/>
          <w:szCs w:val="22"/>
        </w:rPr>
        <w:t xml:space="preserve">Glossar</w:t>
      </w:r>
    </w:p>
    <w:p>
      <w:pPr>
        <w:spacing w:after="20" w:before="0" w:line="300"/>
      </w:pPr>
      <w:r>
        <w:rPr>
          <w:rFonts w:ascii="Arial" w:cs="Arial" w:eastAsia="Arial" w:hAnsi="Arial"/>
          <w:b/>
          <w:bCs/>
          <w:sz w:val="22"/>
          <w:szCs w:val="22"/>
        </w:rPr>
        <w:t xml:space="preserve">Über die Autorin · Code &amp; Updates · Impressum</w:t>
      </w:r>
    </w:p>
    <w:p>
      <w:pPr>
        <w:pageBreakBefore/>
        <w:pStyle w:val="Heading1"/>
        <w:spacing w:after="240" w:before="0"/>
      </w:pPr>
      <w:r>
        <w:rPr>
          <w:rFonts w:ascii="Arial" w:cs="Arial" w:eastAsia="Arial" w:hAnsi="Arial"/>
          <w:b/>
          <w:bCs/>
          <w:color w:val="1F3A5F"/>
          <w:sz w:val="40"/>
          <w:szCs w:val="40"/>
        </w:rPr>
        <w:t xml:space="preserve">Disclaimer</w:t>
      </w:r>
    </w:p>
    <w:p>
      <w:pPr>
        <w:pStyle w:val="Heading3"/>
        <w:keepNext/>
        <w:spacing w:after="120" w:before="240"/>
      </w:pPr>
      <w:r>
        <w:rPr>
          <w:rFonts w:ascii="Arial" w:cs="Arial" w:eastAsia="Arial" w:hAnsi="Arial"/>
          <w:b/>
          <w:bCs/>
          <w:sz w:val="24"/>
          <w:szCs w:val="24"/>
        </w:rPr>
        <w:t xml:space="preserve">Keine Anlageberatung</w:t>
      </w:r>
    </w:p>
    <w:p>
      <w:pPr>
        <w:spacing w:after="160" w:before="0" w:line="300"/>
      </w:pPr>
      <w:r>
        <w:rPr>
          <w:rFonts w:ascii="Arial" w:cs="Arial" w:eastAsia="Arial" w:hAnsi="Arial"/>
          <w:sz w:val="22"/>
          <w:szCs w:val="22"/>
        </w:rPr>
        <w:t xml:space="preserve">Diese Publikation dient ausschließlich Informations- und Bildungszwecken. Sie ist keine Anlageberatung und keine Finanzanalyse im Sinne des Wertpapierhandelsgesetzes, keine Empfehlung zum Kauf oder Verkauf eines Wertpapiers und keine Aufforderung irgendeiner Art. Sie stellt eine Methode vor; Anlageentscheidungen triffst du selbst.</w:t>
      </w:r>
    </w:p>
    <w:p>
      <w:pPr>
        <w:pStyle w:val="Heading3"/>
        <w:keepNext/>
        <w:spacing w:after="120" w:before="240"/>
      </w:pPr>
      <w:r>
        <w:rPr>
          <w:rFonts w:ascii="Arial" w:cs="Arial" w:eastAsia="Arial" w:hAnsi="Arial"/>
          <w:b/>
          <w:bCs/>
          <w:sz w:val="24"/>
          <w:szCs w:val="24"/>
        </w:rPr>
        <w:t xml:space="preserve">Eigenverantwortung</w:t>
      </w:r>
    </w:p>
    <w:p>
      <w:pPr>
        <w:spacing w:after="160" w:before="0" w:line="300"/>
      </w:pPr>
      <w:r>
        <w:rPr>
          <w:rFonts w:ascii="Arial" w:cs="Arial" w:eastAsia="Arial" w:hAnsi="Arial"/>
          <w:sz w:val="22"/>
          <w:szCs w:val="22"/>
        </w:rPr>
        <w:t xml:space="preserve">Alle Anlageentscheidungen liegen allein in deiner Verantwortung. Die in diesem Guide beschriebene Kapitalallokation, Strategieauswahl und Gewichtung von Portfoliobestandteilen sind illustrative Rahmen – keine Vorgaben. Deine finanzielle Situation, deine Risikotoleranz und deine Anlageziele sind individuell und können von jedem hier gezeigten Beispiel erheblich abweichen.</w:t>
      </w:r>
    </w:p>
    <w:p>
      <w:pPr>
        <w:pStyle w:val="Heading3"/>
        <w:keepNext/>
        <w:spacing w:after="120" w:before="240"/>
      </w:pPr>
      <w:r>
        <w:rPr>
          <w:rFonts w:ascii="Arial" w:cs="Arial" w:eastAsia="Arial" w:hAnsi="Arial"/>
          <w:b/>
          <w:bCs/>
          <w:sz w:val="24"/>
          <w:szCs w:val="24"/>
        </w:rPr>
        <w:t xml:space="preserve">Risikohinweis</w:t>
      </w:r>
    </w:p>
    <w:p>
      <w:pPr>
        <w:spacing w:after="160" w:before="0" w:line="300"/>
      </w:pPr>
      <w:r>
        <w:rPr>
          <w:rFonts w:ascii="Arial" w:cs="Arial" w:eastAsia="Arial" w:hAnsi="Arial"/>
          <w:sz w:val="22"/>
          <w:szCs w:val="22"/>
        </w:rPr>
        <w:t xml:space="preserve">Aktienanlagen sind mit Risiken verbunden, bis hin zum Verlust des eingesetzten Kapitals. Vergangene Wertentwicklung – einschließlich aller historischen Beispiele in diesem Guide – ist kein Indikator für zukünftige Ergebnisse.</w:t>
      </w:r>
    </w:p>
    <w:p>
      <w:pPr>
        <w:pStyle w:val="Heading3"/>
        <w:keepNext/>
        <w:spacing w:after="120" w:before="240"/>
      </w:pPr>
      <w:r>
        <w:rPr>
          <w:rFonts w:ascii="Arial" w:cs="Arial" w:eastAsia="Arial" w:hAnsi="Arial"/>
          <w:b/>
          <w:bCs/>
          <w:sz w:val="24"/>
          <w:szCs w:val="24"/>
        </w:rPr>
        <w:t xml:space="preserve">Beispiele und Daten</w:t>
      </w:r>
    </w:p>
    <w:p>
      <w:pPr>
        <w:spacing w:after="160" w:before="0" w:line="300"/>
      </w:pPr>
      <w:r>
        <w:rPr>
          <w:rFonts w:ascii="Arial" w:cs="Arial" w:eastAsia="Arial" w:hAnsi="Arial"/>
          <w:sz w:val="22"/>
          <w:szCs w:val="22"/>
        </w:rPr>
        <w:t xml:space="preserve">Die in diesem Guide genannten Unternehmen, darunter AT&amp;T und Snap, dienen ausschließlich als Fallbeispiele zur Veranschaulichung methodischer Prinzipien. Sie stellen keine aktuellen Empfehlungen oder Meinungen zu diesen Wertpapieren dar. Kurs- und Renditeangaben sind eigene Berechnungen auf Basis öffentlich verfügbarer Kursdaten, gerundet; Stand bei Erstellung des Guides. Abweichungen je nach Datenquelle und Berechnungsmethode sind möglich.</w:t>
      </w:r>
    </w:p>
    <w:p>
      <w:pPr>
        <w:pStyle w:val="Heading3"/>
        <w:keepNext/>
        <w:spacing w:after="120" w:before="240"/>
      </w:pPr>
      <w:r>
        <w:rPr>
          <w:rFonts w:ascii="Arial" w:cs="Arial" w:eastAsia="Arial" w:hAnsi="Arial"/>
          <w:b/>
          <w:bCs/>
          <w:sz w:val="24"/>
          <w:szCs w:val="24"/>
        </w:rPr>
        <w:t xml:space="preserve">Eigene Positionen</w:t>
      </w:r>
    </w:p>
    <w:p>
      <w:pPr>
        <w:spacing w:after="160" w:before="0" w:line="300"/>
      </w:pPr>
      <w:r>
        <w:rPr>
          <w:rFonts w:ascii="Arial" w:cs="Arial" w:eastAsia="Arial" w:hAnsi="Arial"/>
          <w:sz w:val="22"/>
          <w:szCs w:val="22"/>
        </w:rPr>
        <w:t xml:space="preserve">Die Autorin handelt selbst Aktien und kann in einzelnen der genannten Werte investiert sein oder gewesen sein. Die Auswahl der Beispiele erfolgte nach ihrer Eignung zur Veranschaulichung, nicht nach eigenen Positionen.</w:t>
      </w:r>
    </w:p>
    <w:p>
      <w:pPr>
        <w:pStyle w:val="Heading3"/>
        <w:keepNext/>
        <w:spacing w:after="120" w:before="240"/>
      </w:pPr>
      <w:r>
        <w:rPr>
          <w:rFonts w:ascii="Arial" w:cs="Arial" w:eastAsia="Arial" w:hAnsi="Arial"/>
          <w:b/>
          <w:bCs/>
          <w:sz w:val="24"/>
          <w:szCs w:val="24"/>
        </w:rPr>
        <w:t xml:space="preserve">Haftung</w:t>
      </w:r>
    </w:p>
    <w:p>
      <w:pPr>
        <w:spacing w:after="160" w:before="0" w:line="300"/>
      </w:pPr>
      <w:r>
        <w:rPr>
          <w:rFonts w:ascii="Arial" w:cs="Arial" w:eastAsia="Arial" w:hAnsi="Arial"/>
          <w:sz w:val="22"/>
          <w:szCs w:val="22"/>
        </w:rPr>
        <w:t xml:space="preserve">Die Autorin übernimmt, soweit gesetzlich zulässig, keine Haftung für Entscheidungen, die auf Grundlage dieses Guides oder der darin enthaltenen Beispiele, Daten und Codebeispiele getroffen werden.</w:t>
      </w:r>
    </w:p>
    <w:p>
      <w:pPr>
        <w:pStyle w:val="Heading3"/>
        <w:keepNext/>
        <w:spacing w:after="120" w:before="240"/>
      </w:pPr>
      <w:r>
        <w:rPr>
          <w:rFonts w:ascii="Arial" w:cs="Arial" w:eastAsia="Arial" w:hAnsi="Arial"/>
          <w:b/>
          <w:bCs/>
          <w:sz w:val="24"/>
          <w:szCs w:val="24"/>
        </w:rPr>
        <w:t xml:space="preserve">Angaben zur Autorin</w:t>
      </w:r>
    </w:p>
    <w:p>
      <w:pPr>
        <w:spacing w:after="160" w:before="0" w:line="300"/>
      </w:pPr>
      <w:r>
        <w:rPr>
          <w:rFonts w:ascii="Arial" w:cs="Arial" w:eastAsia="Arial" w:hAnsi="Arial"/>
          <w:sz w:val="22"/>
          <w:szCs w:val="22"/>
        </w:rPr>
        <w:t xml:space="preserve">Die Autorin ist in keiner Jurisdiktion als Finanzberaterin, Anlageberaterin oder Broker-Dealer zugelassen.</w:t>
      </w:r>
    </w:p>
    <w:p>
      <w:pPr>
        <w:pageBreakBefore/>
        <w:pStyle w:val="Heading1"/>
        <w:spacing w:after="240" w:before="0"/>
      </w:pPr>
      <w:r>
        <w:rPr>
          <w:rFonts w:ascii="Arial" w:cs="Arial" w:eastAsia="Arial" w:hAnsi="Arial"/>
          <w:b/>
          <w:bCs/>
          <w:color w:val="1F3A5F"/>
          <w:sz w:val="40"/>
          <w:szCs w:val="40"/>
        </w:rPr>
        <w:t xml:space="preserve">Einleitung</w:t>
      </w:r>
    </w:p>
    <w:p>
      <w:pPr>
        <w:spacing w:after="160" w:before="0" w:line="300"/>
      </w:pPr>
      <w:r>
        <w:rPr>
          <w:rFonts w:ascii="Arial" w:cs="Arial" w:eastAsia="Arial" w:hAnsi="Arial"/>
          <w:sz w:val="22"/>
          <w:szCs w:val="22"/>
        </w:rPr>
        <w:t xml:space="preserve">Die meisten Anlagetipps setzen voraus, dass du Zeit hast. Zeit zu recherchieren. Zeit, ein schlechtes Jahr auszusitzen. Zeit, „Kurs zu halten", während dein Portfolio etwas Unangenehmes tut. Das gesamte Gedankengebäude des langfristigen Investierens ruht stillschweigend auf der Annahme, dass in deinem Leben gerade nichts Dringendes passiert.</w:t>
      </w:r>
    </w:p>
    <w:p>
      <w:pPr>
        <w:spacing w:after="160" w:before="0" w:line="300"/>
      </w:pPr>
      <w:r>
        <w:rPr>
          <w:rFonts w:ascii="Arial" w:cs="Arial" w:eastAsia="Arial" w:hAnsi="Arial"/>
          <w:sz w:val="22"/>
          <w:szCs w:val="22"/>
        </w:rPr>
        <w:t xml:space="preserve">Bei mir hielt diese Annahme nicht.</w:t>
      </w:r>
    </w:p>
    <w:p>
      <w:pPr>
        <w:spacing w:after="160" w:before="0" w:line="300"/>
      </w:pPr>
      <w:r>
        <w:rPr>
          <w:rFonts w:ascii="Arial" w:cs="Arial" w:eastAsia="Arial" w:hAnsi="Arial"/>
          <w:sz w:val="22"/>
          <w:szCs w:val="22"/>
        </w:rPr>
        <w:t xml:space="preserve">2020 trug ich die wirtschaftliche Verantwortung für eine geerbte Arztpraxis – mitten in der Pandemie. Gehälter und Fixkosten liefen weiter, der Umsatz nicht. Das Portfolio war ab diesem Punkt kein Vermögensaufbau mehr. Es musste den Markt schlagen – und Gewinne abwerfen, die ich entnehmen konnte, ohne die Substanz anzugreifen.</w:t>
      </w:r>
    </w:p>
    <w:p>
      <w:pPr>
        <w:shd w:fill="F2F4F7" w:val="clear"/>
        <w:spacing w:after="240" w:before="120" w:line="300"/>
        <w:ind w:left="284" w:right="284"/>
      </w:pPr>
      <w:r>
        <w:rPr>
          <w:rFonts w:ascii="Arial" w:cs="Arial" w:eastAsia="Arial" w:hAnsi="Arial"/>
          <w:sz w:val="22"/>
          <w:szCs w:val="22"/>
        </w:rPr>
        <w:t xml:space="preserve">Diese Kombination – laufende Entnahmen bei intakter Substanz – entpuppt sich als erstaunlich guter Filter für schlechte Ideen.</w:t>
      </w:r>
    </w:p>
    <w:p>
      <w:pPr>
        <w:spacing w:after="160" w:before="0" w:line="300"/>
      </w:pPr>
      <w:r>
        <w:rPr>
          <w:rFonts w:ascii="Arial" w:cs="Arial" w:eastAsia="Arial" w:hAnsi="Arial"/>
          <w:sz w:val="22"/>
          <w:szCs w:val="22"/>
        </w:rPr>
        <w:t xml:space="preserve">Was ich unter Bedingungen herausfand, die ich niemandem empfehlen würde: Die meisten Rahmenwerke zur Aktienauswahl sind nicht für echte Einschränkungen gebaut. Sie sind für Optimierung gebaut. Für Leute, die das bestmögliche Ergebnis über sieben Kriterien gleichzeitig wollen.</w:t>
      </w:r>
    </w:p>
    <w:p>
      <w:pPr>
        <w:spacing w:after="160" w:before="0" w:line="300"/>
      </w:pPr>
      <w:r>
        <w:rPr>
          <w:rFonts w:ascii="Arial" w:cs="Arial" w:eastAsia="Arial" w:hAnsi="Arial"/>
          <w:sz w:val="22"/>
          <w:szCs w:val="22"/>
        </w:rPr>
        <w:t xml:space="preserve">Das Problem, wenn man alles optimiert: Am Ende hat man nichts Bestimmtes.</w:t>
      </w:r>
    </w:p>
    <w:p>
      <w:pPr>
        <w:spacing w:after="160" w:before="0" w:line="300"/>
      </w:pPr>
      <w:r>
        <w:rPr>
          <w:rFonts w:ascii="Arial" w:cs="Arial" w:eastAsia="Arial" w:hAnsi="Arial"/>
          <w:sz w:val="22"/>
          <w:szCs w:val="22"/>
        </w:rPr>
        <w:t xml:space="preserve">Dieser Guide beschreibt einen anderen Ansatz. Das Framework stützt sich auf Entscheidungstheorie und Verhaltensökonomie – aber du brauchst keins von beidem, um es anzuwenden. Es geht um die Logik, nicht um das Vokabular.</w:t>
      </w:r>
    </w:p>
    <w:p>
      <w:pPr>
        <w:spacing w:after="160" w:before="0" w:line="300"/>
      </w:pPr>
      <w:r>
        <w:rPr>
          <w:rFonts w:ascii="Arial" w:cs="Arial" w:eastAsia="Arial" w:hAnsi="Arial"/>
          <w:b/>
          <w:bCs/>
          <w:sz w:val="22"/>
          <w:szCs w:val="22"/>
        </w:rPr>
        <w:t xml:space="preserve">Ziel zuerst. Constraints danach.</w:t>
      </w:r>
    </w:p>
    <w:p>
      <w:pPr>
        <w:spacing w:after="160" w:before="0" w:line="300"/>
      </w:pPr>
      <w:r>
        <w:rPr>
          <w:rFonts w:ascii="Arial" w:cs="Arial" w:eastAsia="Arial" w:hAnsi="Arial"/>
          <w:sz w:val="22"/>
          <w:szCs w:val="22"/>
        </w:rPr>
        <w:t xml:space="preserve">Klingt offensichtlich. Fast niemand macht es.</w:t>
      </w:r>
    </w:p>
    <w:p>
      <w:pPr>
        <w:pageBreakBefore/>
        <w:spacing w:after="200" w:before="0" w:line="300"/>
      </w:pPr>
      <w:r>
        <w:rPr>
          <w:rFonts w:ascii="Arial" w:cs="Arial" w:eastAsia="Arial" w:hAnsi="Arial"/>
          <w:i/>
          <w:iCs/>
          <w:color w:val="666666"/>
          <w:sz w:val="20"/>
          <w:szCs w:val="20"/>
        </w:rPr>
        <w:t xml:space="preserve">Teil 1</w:t>
      </w:r>
    </w:p>
    <w:p>
      <w:pPr>
        <w:pStyle w:val="Heading1"/>
        <w:spacing w:after="240" w:before="0"/>
      </w:pPr>
      <w:r>
        <w:rPr>
          <w:rFonts w:ascii="Arial" w:cs="Arial" w:eastAsia="Arial" w:hAnsi="Arial"/>
          <w:b/>
          <w:bCs/>
          <w:color w:val="1F3A5F"/>
          <w:sz w:val="40"/>
          <w:szCs w:val="40"/>
        </w:rPr>
        <w:t xml:space="preserve">Warum Screening scheitert</w:t>
      </w:r>
    </w:p>
    <w:p>
      <w:pPr>
        <w:spacing w:after="160" w:before="0" w:line="300"/>
      </w:pPr>
      <w:r>
        <w:rPr>
          <w:rFonts w:ascii="Arial" w:cs="Arial" w:eastAsia="Arial" w:hAnsi="Arial"/>
          <w:sz w:val="22"/>
          <w:szCs w:val="22"/>
        </w:rPr>
        <w:t xml:space="preserve">Öffne irgendeinen Aktien-Screener. Setz ein paar Filter: Dividendenrendite über 4 %, KGV unter 20, positives Gewinnwachstum, niedrige Verschuldung, vielleicht noch einen Momentum-Indikator, sicherheitshalber. Klick auf Start. Schau, was rauskommt.</w:t>
      </w:r>
    </w:p>
    <w:p>
      <w:pPr>
        <w:spacing w:after="160" w:before="0" w:line="300"/>
      </w:pPr>
      <w:r>
        <w:rPr>
          <w:rFonts w:ascii="Arial" w:cs="Arial" w:eastAsia="Arial" w:hAnsi="Arial"/>
          <w:sz w:val="22"/>
          <w:szCs w:val="22"/>
        </w:rPr>
        <w:t xml:space="preserve">Es fühlt sich rigoros an. Es sieht aus wie ein Prozess. Es ist keiner.</w:t>
      </w:r>
    </w:p>
    <w:p>
      <w:pPr>
        <w:spacing w:after="160" w:before="0" w:line="300"/>
      </w:pPr>
      <w:r>
        <w:rPr>
          <w:rFonts w:ascii="Arial" w:cs="Arial" w:eastAsia="Arial" w:hAnsi="Arial"/>
          <w:sz w:val="22"/>
          <w:szCs w:val="22"/>
        </w:rPr>
        <w:t xml:space="preserve">Was du gebaut hast, ist ein Schönheitswettbewerb ohne Siegerkategorie. Du verlangst vom Screener eine Aktie, die gleichzeitig billig, profitabel, wachsend, finanziell stabil und im Aufwärtstrend ist. Diese Kriterien zeigen nicht in dieselbe Richtung. Eine Aktie mit hoher Dividendenrendite ist oft aus gutem Grund billig. Du filterst nicht – du verhandelst mit dir selbst.</w:t>
      </w:r>
    </w:p>
    <w:p>
      <w:pPr>
        <w:spacing w:after="160" w:before="0" w:line="300"/>
      </w:pPr>
      <w:r>
        <w:rPr>
          <w:rFonts w:ascii="Arial" w:cs="Arial" w:eastAsia="Arial" w:hAnsi="Arial"/>
          <w:sz w:val="22"/>
          <w:szCs w:val="22"/>
        </w:rPr>
        <w:t xml:space="preserve">Das ist das Kernproblem der Multi-Kriterien-Optimierung ohne Hierarchie: Mathematisch liefert sie die am wenigsten schlechte Option, nicht die beste. Jedes weitere Kriterium, das du hinzufügst, ohne es zu gewichten, verengt das Feld – und sagt nichts darüber, was du eigentlich willst.</w:t>
      </w:r>
    </w:p>
    <w:p>
      <w:pPr>
        <w:shd w:fill="F2F4F7" w:val="clear"/>
        <w:spacing w:after="240" w:before="120" w:line="300"/>
        <w:ind w:left="284" w:right="284"/>
      </w:pPr>
      <w:r>
        <w:rPr>
          <w:rFonts w:ascii="Arial" w:cs="Arial" w:eastAsia="Arial" w:hAnsi="Arial"/>
          <w:sz w:val="22"/>
          <w:szCs w:val="22"/>
        </w:rPr>
        <w:t xml:space="preserve">Es ist dieselbe Logik wie bei der Suche nach einer Wohnung, die groß, günstig, zentral und ruhig ist. Irgendwann suchst du nicht mehr die richtige Wohnung, sondern die am wenigsten enttäuschende.</w:t>
      </w:r>
    </w:p>
    <w:p>
      <w:pPr>
        <w:spacing w:after="160" w:before="0" w:line="300"/>
      </w:pPr>
      <w:r>
        <w:rPr>
          <w:rFonts w:ascii="Arial" w:cs="Arial" w:eastAsia="Arial" w:hAnsi="Arial"/>
          <w:sz w:val="22"/>
          <w:szCs w:val="22"/>
        </w:rPr>
        <w:t xml:space="preserve">Das Ergebnis sind Portfolios, die diversifiziert aussehen, in Wahrheit aber nur unentschlossen sind.</w:t>
      </w:r>
    </w:p>
    <w:p>
      <w:pPr>
        <w:pStyle w:val="Heading2"/>
        <w:keepNext/>
        <w:spacing w:after="160" w:before="320"/>
      </w:pPr>
      <w:r>
        <w:rPr>
          <w:rFonts w:ascii="Arial" w:cs="Arial" w:eastAsia="Arial" w:hAnsi="Arial"/>
          <w:b/>
          <w:bCs/>
          <w:color w:val="1F3A5F"/>
          <w:sz w:val="28"/>
          <w:szCs w:val="28"/>
        </w:rPr>
        <w:t xml:space="preserve">Die psychologische Falle</w:t>
      </w:r>
    </w:p>
    <w:p>
      <w:pPr>
        <w:spacing w:after="160" w:before="0" w:line="300"/>
      </w:pPr>
      <w:r>
        <w:rPr>
          <w:rFonts w:ascii="Arial" w:cs="Arial" w:eastAsia="Arial" w:hAnsi="Arial"/>
          <w:sz w:val="22"/>
          <w:szCs w:val="22"/>
        </w:rPr>
        <w:t xml:space="preserve">Es gibt einen Grund, warum dieser Ansatz so verbreitet ist: Er fühlt sich sicher an. Mehr Kriterien bedeuten mehr Recherche bedeuten mehr Kontrolle – oder zumindest das Gefühl davon. Verhaltensökonomen nennen das die Validitätsillusion. Der Prozess sieht gründlich aus, also muss das Ergebnis solide sein. Ist es selten.</w:t>
      </w:r>
    </w:p>
    <w:p>
      <w:pPr>
        <w:spacing w:after="160" w:before="0" w:line="300"/>
      </w:pPr>
      <w:r>
        <w:rPr>
          <w:rFonts w:ascii="Arial" w:cs="Arial" w:eastAsia="Arial" w:hAnsi="Arial"/>
          <w:sz w:val="22"/>
          <w:szCs w:val="22"/>
        </w:rPr>
        <w:t xml:space="preserve">Das andere Problem: Screener belohnen, was leicht zu messen ist. Rendite, KGV, Verschuldungsgrad – verfügbar, standardisiert, vergleichbar. Was sie nicht erfassen, ist die Richtung. Eine Dividendenrendite von 7 % sieht im Screener gleich aus, ob die Aktie stabil ist oder im freien Fall. Die Zahl ist dieselbe. Die Situation ist eine völlig andere.</w:t>
      </w:r>
    </w:p>
    <w:p>
      <w:pPr>
        <w:spacing w:after="160" w:before="0" w:line="300"/>
      </w:pPr>
      <w:r>
        <w:rPr>
          <w:rFonts w:ascii="Arial" w:cs="Arial" w:eastAsia="Arial" w:hAnsi="Arial"/>
          <w:sz w:val="22"/>
          <w:szCs w:val="22"/>
        </w:rPr>
        <w:t xml:space="preserve">Womit wir bei zwei Aktien wären, die jahrelang in fast jedem Screener auftauchten.</w:t>
      </w:r>
    </w:p>
    <w:p>
      <w:pPr>
        <w:pStyle w:val="Heading2"/>
        <w:keepNext/>
        <w:spacing w:after="160" w:before="320"/>
      </w:pPr>
      <w:r>
        <w:rPr>
          <w:rFonts w:ascii="Arial" w:cs="Arial" w:eastAsia="Arial" w:hAnsi="Arial"/>
          <w:b/>
          <w:bCs/>
          <w:color w:val="1F3A5F"/>
          <w:sz w:val="28"/>
          <w:szCs w:val="28"/>
        </w:rPr>
        <w:t xml:space="preserve">Wie eine Dividendenfalle aussieht: AT&amp;T</w:t>
      </w:r>
    </w:p>
    <w:p>
      <w:pPr>
        <w:spacing w:after="160" w:before="0" w:line="300"/>
      </w:pPr>
      <w:r>
        <w:rPr>
          <w:rFonts w:ascii="Arial" w:cs="Arial" w:eastAsia="Arial" w:hAnsi="Arial"/>
          <w:sz w:val="22"/>
          <w:szCs w:val="22"/>
        </w:rPr>
        <w:t xml:space="preserve">AT&amp;T wies zwischen 2017 und 2021 eine Dividendenrendite von 5–8 % aus. Die Aktie lag in dividendenorientierten Portfolios überall. Die Rendite war echt, die Historie lang, und das Unternehmen war schließlich ein Name, den jeder kannte.</w:t>
      </w:r>
    </w:p>
    <w:p>
      <w:pPr>
        <w:spacing w:after="160" w:before="0" w:line="300"/>
      </w:pPr>
      <w:r>
        <w:rPr>
          <w:rFonts w:ascii="Arial" w:cs="Arial" w:eastAsia="Arial" w:hAnsi="Arial"/>
          <w:sz w:val="22"/>
          <w:szCs w:val="22"/>
        </w:rPr>
        <w:t xml:space="preserve">Hier ist, was im selben Zeitraum passierte: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3260"/>
      </w:tblGrid>
      <w:tr>
        <w:trPr>
          <w:tblHeader/>
        </w:trPr>
        <w:tc>
          <w:tcPr>
            <w:tcW w:type="dxa" w:w="1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Jahr</w:t>
            </w:r>
          </w:p>
        </w:tc>
        <w:tc>
          <w:tcPr>
            <w:tcW w:type="dxa" w:w="2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Dividendenrendite</w:t>
            </w:r>
          </w:p>
        </w:tc>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Kurs (ca.)</w:t>
            </w:r>
          </w:p>
        </w:tc>
        <w:tc>
          <w:tcPr>
            <w:tcW w:type="dxa" w:w="32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Jahresrendite inkl. Dividende</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2017</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5,1 %</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39 $</w:t>
            </w:r>
          </w:p>
        </w:tc>
        <w:tc>
          <w:tcPr>
            <w:tcW w:type="dxa" w:w="3260"/>
            <w:tcMar>
              <w:top w:type="dxa" w:w="80"/>
              <w:left w:type="dxa" w:w="100"/>
              <w:bottom w:type="dxa" w:w="80"/>
              <w:right w:type="dxa" w:w="100"/>
            </w:tcMar>
          </w:tcPr>
          <w:p>
            <w:pPr>
              <w:spacing w:after="0"/>
            </w:pPr>
            <w:r>
              <w:rPr>
                <w:rFonts w:ascii="Arial" w:cs="Arial" w:eastAsia="Arial" w:hAnsi="Arial"/>
                <w:b w:val="false"/>
                <w:bCs w:val="false"/>
                <w:sz w:val="19"/>
                <w:szCs w:val="19"/>
              </w:rPr>
              <w:t xml:space="preserve">−2 %</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2018</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7,0 %</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29 $</w:t>
            </w:r>
          </w:p>
        </w:tc>
        <w:tc>
          <w:tcPr>
            <w:tcW w:type="dxa" w:w="3260"/>
            <w:tcMar>
              <w:top w:type="dxa" w:w="80"/>
              <w:left w:type="dxa" w:w="100"/>
              <w:bottom w:type="dxa" w:w="80"/>
              <w:right w:type="dxa" w:w="100"/>
            </w:tcMar>
          </w:tcPr>
          <w:p>
            <w:pPr>
              <w:spacing w:after="0"/>
            </w:pPr>
            <w:r>
              <w:rPr>
                <w:rFonts w:ascii="Arial" w:cs="Arial" w:eastAsia="Arial" w:hAnsi="Arial"/>
                <w:b w:val="false"/>
                <w:bCs w:val="false"/>
                <w:sz w:val="19"/>
                <w:szCs w:val="19"/>
              </w:rPr>
              <w:t xml:space="preserve">−21 %</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2019</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5,2 %</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39 $</w:t>
            </w:r>
          </w:p>
        </w:tc>
        <w:tc>
          <w:tcPr>
            <w:tcW w:type="dxa" w:w="3260"/>
            <w:tcMar>
              <w:top w:type="dxa" w:w="80"/>
              <w:left w:type="dxa" w:w="100"/>
              <w:bottom w:type="dxa" w:w="80"/>
              <w:right w:type="dxa" w:w="100"/>
            </w:tcMar>
          </w:tcPr>
          <w:p>
            <w:pPr>
              <w:spacing w:after="0"/>
            </w:pPr>
            <w:r>
              <w:rPr>
                <w:rFonts w:ascii="Arial" w:cs="Arial" w:eastAsia="Arial" w:hAnsi="Arial"/>
                <w:b w:val="false"/>
                <w:bCs w:val="false"/>
                <w:sz w:val="19"/>
                <w:szCs w:val="19"/>
              </w:rPr>
              <w:t xml:space="preserve">+48 %</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2020</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7,2 %</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29 $</w:t>
            </w:r>
          </w:p>
        </w:tc>
        <w:tc>
          <w:tcPr>
            <w:tcW w:type="dxa" w:w="3260"/>
            <w:tcMar>
              <w:top w:type="dxa" w:w="80"/>
              <w:left w:type="dxa" w:w="100"/>
              <w:bottom w:type="dxa" w:w="80"/>
              <w:right w:type="dxa" w:w="100"/>
            </w:tcMar>
          </w:tcPr>
          <w:p>
            <w:pPr>
              <w:spacing w:after="0"/>
            </w:pPr>
            <w:r>
              <w:rPr>
                <w:rFonts w:ascii="Arial" w:cs="Arial" w:eastAsia="Arial" w:hAnsi="Arial"/>
                <w:b w:val="false"/>
                <w:bCs w:val="false"/>
                <w:sz w:val="19"/>
                <w:szCs w:val="19"/>
              </w:rPr>
              <w:t xml:space="preserve">−20 %</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2021</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8,5 %</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25 $</w:t>
            </w:r>
          </w:p>
        </w:tc>
        <w:tc>
          <w:tcPr>
            <w:tcW w:type="dxa" w:w="3260"/>
            <w:tcMar>
              <w:top w:type="dxa" w:w="80"/>
              <w:left w:type="dxa" w:w="100"/>
              <w:bottom w:type="dxa" w:w="80"/>
              <w:right w:type="dxa" w:w="100"/>
            </w:tcMar>
          </w:tcPr>
          <w:p>
            <w:pPr>
              <w:spacing w:after="0"/>
            </w:pPr>
            <w:r>
              <w:rPr>
                <w:rFonts w:ascii="Arial" w:cs="Arial" w:eastAsia="Arial" w:hAnsi="Arial"/>
                <w:b w:val="false"/>
                <w:bCs w:val="false"/>
                <w:sz w:val="19"/>
                <w:szCs w:val="19"/>
              </w:rPr>
              <w:t xml:space="preserve">−6 %</w:t>
            </w:r>
          </w:p>
        </w:tc>
      </w:tr>
    </w:tbl>
    <w:p>
      <w:pPr>
        <w:spacing w:after="240" w:before="0" w:line="300"/>
      </w:pPr>
      <w:r>
        <w:rPr>
          <w:rFonts w:ascii="Arial" w:cs="Arial" w:eastAsia="Arial" w:hAnsi="Arial"/>
          <w:i/>
          <w:iCs/>
          <w:color w:val="666666"/>
          <w:sz w:val="18"/>
          <w:szCs w:val="18"/>
        </w:rPr>
        <w:t xml:space="preserve">AT&amp;T, Gesamtrendite 2017–2021; Dividendenrendite = Jahresdividende ÷ Jahresschlusskurs. Dividende 2022 um ca. 47 % gekürzt (0,52 → 0,2775 $ je Quartal). Eigene Berechnung auf Basis öffentlich verfügbarer Kursdaten (Jahresschlusskurse, Gesamtrendite mit reinvestierten Dividenden), gerundet; Stand 18.10.2026.</w:t>
      </w:r>
    </w:p>
    <w:p>
      <w:pPr>
        <w:spacing w:after="160" w:before="0" w:line="300"/>
      </w:pPr>
      <w:r>
        <w:rPr>
          <w:rFonts w:ascii="Arial" w:cs="Arial" w:eastAsia="Arial" w:hAnsi="Arial"/>
          <w:sz w:val="22"/>
          <w:szCs w:val="22"/>
        </w:rPr>
        <w:t xml:space="preserve">Wer AT&amp;T von 2017 bis 2022 hielt und die Dividenden kassierte, erhielt etwa 11 $ je Aktie an Ausschüttungen. Und sah zu, wie der Kurs von 39 $ auf rund 21 $ fiel (bereinigt um die Abspaltung von WarnerMedia 2022). Die Rendite sah aus wie Einkommen. Sie war zum großen Teil eine Kapitalrückzahlung im Kostüm einer Belohnung.</w:t>
      </w:r>
    </w:p>
    <w:p>
      <w:pPr>
        <w:pBdr>
          <w:left w:val="single" w:color="1F3A5F" w:sz="18" w:space="12"/>
        </w:pBdr>
        <w:spacing w:after="240" w:before="200" w:line="300"/>
        <w:ind w:left="567"/>
      </w:pPr>
      <w:r>
        <w:rPr>
          <w:rFonts w:ascii="Arial" w:cs="Arial" w:eastAsia="Arial" w:hAnsi="Arial"/>
          <w:i/>
          <w:iCs/>
          <w:color w:val="1F3A5F"/>
          <w:sz w:val="24"/>
          <w:szCs w:val="24"/>
        </w:rPr>
        <w:t xml:space="preserve">„Eine hohe Rendite auf eine fallende Aktie ist kein Einkommen. Es ist eine Liquidation in Zeitlupe."</w:t>
      </w:r>
    </w:p>
    <w:p>
      <w:pPr>
        <w:pStyle w:val="Heading2"/>
        <w:keepNext/>
        <w:spacing w:after="160" w:before="320"/>
      </w:pPr>
      <w:r>
        <w:rPr>
          <w:rFonts w:ascii="Arial" w:cs="Arial" w:eastAsia="Arial" w:hAnsi="Arial"/>
          <w:b/>
          <w:bCs/>
          <w:color w:val="1F3A5F"/>
          <w:sz w:val="28"/>
          <w:szCs w:val="28"/>
        </w:rPr>
        <w:t xml:space="preserve">Wie eine Achterbahn aussieht: Snap</w:t>
      </w:r>
    </w:p>
    <w:p>
      <w:pPr>
        <w:spacing w:after="160" w:before="0" w:line="300"/>
      </w:pPr>
      <w:r>
        <w:rPr>
          <w:rFonts w:ascii="Arial" w:cs="Arial" w:eastAsia="Arial" w:hAnsi="Arial"/>
          <w:sz w:val="22"/>
          <w:szCs w:val="22"/>
        </w:rPr>
        <w:t xml:space="preserve">Snap ist eine andere Art von Scheitern – und in gewisser Weise die lehrreichere, weil die Aktie nicht einfach fiel. Sie flog erst.</w:t>
      </w:r>
    </w:p>
    <w:p>
      <w:pPr>
        <w:spacing w:after="160" w:before="0" w:line="300"/>
      </w:pPr>
      <w:r>
        <w:rPr>
          <w:rFonts w:ascii="Arial" w:cs="Arial" w:eastAsia="Arial" w:hAnsi="Arial"/>
          <w:sz w:val="22"/>
          <w:szCs w:val="22"/>
        </w:rPr>
        <w:t xml:space="preserve">Snap ging 2017 zu 17 $ an die Börse. Bis Ende 2018 hatte sie zwei Drittel ihres Ausgabepreises verloren. Dann erholte sie sich. Dann stieg sie in der Pandemie dramatisch – auf über 80 $ im September 2021. Dann brach sie ein, auf unter 10 $ bis Ende 2022. Wer langfristig dabei war, hätte das niemandem erklären können.</w:t>
      </w:r>
    </w:p>
    <w:p>
      <w:pPr>
        <w:spacing w:after="160" w:before="0" w:line="300"/>
      </w:pPr>
      <w:r>
        <w:rPr>
          <w:rFonts w:ascii="Arial" w:cs="Arial" w:eastAsia="Arial" w:hAnsi="Arial"/>
          <w:sz w:val="22"/>
          <w:szCs w:val="22"/>
        </w:rPr>
        <w:t xml:space="preserve">Das ist keine Aktie, die leise gescheitert ist. Sie brachte enorme Gewinne für Anleger, die das Timing trafen – und enorme Verluste für alle, die es nicht trafen. Das sind die meisten.</w:t>
      </w:r>
    </w:p>
    <w:p>
      <w:pPr>
        <w:spacing w:after="160" w:before="0" w:line="300"/>
      </w:pPr>
      <w:r>
        <w:rPr>
          <w:rFonts w:ascii="Arial" w:cs="Arial" w:eastAsia="Arial" w:hAnsi="Arial"/>
          <w:sz w:val="22"/>
          <w:szCs w:val="22"/>
        </w:rPr>
        <w:t xml:space="preserve">Das Muster hat einen Namen: narrativgetriebene Volatilität. Die Geschichte des Unternehmens änderte sich immer wieder, und der Kurs folgte der Geschichte, nicht den Fundamentaldaten. Jede Erholung fühlte sich an wie eine Bestätigung. Jeder Absturz wie eine Anomalie.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900"/>
        <w:gridCol w:w="2760"/>
      </w:tblGrid>
      <w:tr>
        <w:trPr>
          <w:tblHeader/>
        </w:trPr>
        <w:tc>
          <w:tcPr>
            <w:tcW w:type="dxa" w:w="1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Jahr</w:t>
            </w:r>
          </w:p>
        </w:tc>
        <w:tc>
          <w:tcPr>
            <w:tcW w:type="dxa" w:w="3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Kursspanne (ca.)</w:t>
            </w:r>
          </w:p>
        </w:tc>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Jahresrendite</w:t>
            </w:r>
          </w:p>
        </w:tc>
        <w:tc>
          <w:tcPr>
            <w:tcW w:type="dxa" w:w="27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Anmerkung</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2017</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17 $ (IPO) → 15 $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−14 %</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IPO-Jahr</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2018</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15 $ → 6 $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−62 %</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Erster Einbruch</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2019</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6 $ → 16 $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+196 %</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Erholung</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2020</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16 $ → 50 $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+207 %</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Pandemie-Rallye</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2021</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50 $ → 47 $ (Hoch 83 $)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−6 %</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Hoch im September, dann Rückgang</w:t>
            </w:r>
          </w:p>
        </w:tc>
      </w:tr>
      <w:tr>
        <w:tc>
          <w:tcPr>
            <w:tcW w:type="dxa" w:w="14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2022</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47 $ → 9 $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−81 %</w:t>
            </w:r>
          </w:p>
        </w:tc>
        <w:tc>
          <w:tcPr>
            <w:tcW w:type="dxa" w:w="2760"/>
            <w:tcMar>
              <w:top w:type="dxa" w:w="80"/>
              <w:left w:type="dxa" w:w="100"/>
              <w:bottom w:type="dxa" w:w="80"/>
              <w:right w:type="dxa" w:w="100"/>
            </w:tcMar>
          </w:tcPr>
          <w:p>
            <w:pPr>
              <w:spacing w:after="0"/>
            </w:pPr>
            <w:r>
              <w:rPr>
                <w:rFonts w:ascii="Arial" w:cs="Arial" w:eastAsia="Arial" w:hAnsi="Arial"/>
                <w:b w:val="false"/>
                <w:bCs w:val="false"/>
                <w:sz w:val="19"/>
                <w:szCs w:val="19"/>
              </w:rPr>
              <w:t xml:space="preserve">Komplette Abwicklung</w:t>
            </w:r>
          </w:p>
        </w:tc>
      </w:tr>
    </w:tbl>
    <w:p>
      <w:pPr>
        <w:spacing w:after="240" w:before="0" w:line="300"/>
      </w:pPr>
      <w:r>
        <w:rPr>
          <w:rFonts w:ascii="Arial" w:cs="Arial" w:eastAsia="Arial" w:hAnsi="Arial"/>
          <w:i/>
          <w:iCs/>
          <w:color w:val="666666"/>
          <w:sz w:val="18"/>
          <w:szCs w:val="18"/>
        </w:rPr>
        <w:t xml:space="preserve">Snap (SNAP), Jahresschlusskurse; 2017 ab Ausgabepreis. Chartmuster: rauf, Crash, rauf, Crash. Eigene Berechnung auf Basis öffentlich verfügbarer Kursdaten (Jahresschlusskurse, Gesamtrendite mit reinvestierten Dividenden), gerundet; Stand 18.10.2026.</w:t>
      </w:r>
    </w:p>
    <w:p>
      <w:pPr>
        <w:shd w:fill="F2F4F7" w:val="clear"/>
        <w:spacing w:after="240" w:before="120" w:line="300"/>
        <w:ind w:left="284" w:right="284"/>
      </w:pPr>
      <w:r>
        <w:rPr>
          <w:rFonts w:ascii="Arial" w:cs="Arial" w:eastAsia="Arial" w:hAnsi="Arial"/>
          <w:sz w:val="22"/>
          <w:szCs w:val="22"/>
        </w:rPr>
        <w:t xml:space="preserve">Das Problem mit Achterbahnaktien ist nicht, dass sie fallen. Es ist, dass die Fahrt nach oben sich wie Können anfühlt.</w:t>
      </w:r>
    </w:p>
    <w:p>
      <w:pPr>
        <w:spacing w:after="160" w:before="0" w:line="300"/>
      </w:pPr>
      <w:r>
        <w:rPr>
          <w:rFonts w:ascii="Arial" w:cs="Arial" w:eastAsia="Arial" w:hAnsi="Arial"/>
          <w:sz w:val="22"/>
          <w:szCs w:val="22"/>
        </w:rPr>
        <w:t xml:space="preserve">Eine Auswahlmethode, die nur auf Spitzenperformance schaut – oder auf ein kurzes Zeitfenster, das zufällig eine gute Phase erwischt –, würde Snap ohne Zögern aufnehmen. Eine Methode, die 20 Jahre Benchmark-Vergleich betrachtet und zählt, in wie vielen Jahren die Aktie den Index tatsächlich geschlagen hat, erzählt eine völlig andere Geschichte. Und genau dahin gehen wir jetzt.</w:t>
      </w:r>
    </w:p>
    <w:p>
      <w:pPr>
        <w:pageBreakBefore/>
        <w:spacing w:after="200" w:before="0" w:line="300"/>
      </w:pPr>
      <w:r>
        <w:rPr>
          <w:rFonts w:ascii="Arial" w:cs="Arial" w:eastAsia="Arial" w:hAnsi="Arial"/>
          <w:i/>
          <w:iCs/>
          <w:color w:val="666666"/>
          <w:sz w:val="20"/>
          <w:szCs w:val="20"/>
        </w:rPr>
        <w:t xml:space="preserve">Teil 2</w:t>
      </w:r>
    </w:p>
    <w:p>
      <w:pPr>
        <w:pStyle w:val="Heading1"/>
        <w:spacing w:after="240" w:before="0"/>
      </w:pPr>
      <w:r>
        <w:rPr>
          <w:rFonts w:ascii="Arial" w:cs="Arial" w:eastAsia="Arial" w:hAnsi="Arial"/>
          <w:b/>
          <w:bCs/>
          <w:color w:val="1F3A5F"/>
          <w:sz w:val="40"/>
          <w:szCs w:val="40"/>
        </w:rPr>
        <w:t xml:space="preserve">Die Methode: Ziel zuerst, Constraints danach</w:t>
      </w:r>
    </w:p>
    <w:p>
      <w:pPr>
        <w:spacing w:after="160" w:before="0" w:line="300"/>
      </w:pPr>
      <w:r>
        <w:rPr>
          <w:rFonts w:ascii="Arial" w:cs="Arial" w:eastAsia="Arial" w:hAnsi="Arial"/>
          <w:sz w:val="22"/>
          <w:szCs w:val="22"/>
        </w:rPr>
        <w:t xml:space="preserve">Das Framework hat drei Schritte. Sie klingen einfach, weil sie es sind. Die Schwierigkeit liegt nicht darin, sie zu verstehen – sondern darin, der Versuchung zu widerstehen, den ersten zu überspringen.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Schritt</w:t>
            </w:r>
          </w:p>
        </w:tc>
        <w:tc>
          <w:tcPr>
            <w:tcW w:type="dxa" w:w="3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Aktion</w:t>
            </w:r>
          </w:p>
        </w:tc>
        <w:tc>
          <w:tcPr>
            <w:tcW w:type="dxa" w:w="44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Wirkung</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1</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Ein einziges Hauptziel definieren</w:t>
            </w:r>
          </w:p>
        </w:tc>
        <w:tc>
          <w:tcPr>
            <w:tcW w:type="dxa" w:w="4460"/>
            <w:tcMar>
              <w:top w:type="dxa" w:w="80"/>
              <w:left w:type="dxa" w:w="100"/>
              <w:bottom w:type="dxa" w:w="80"/>
              <w:right w:type="dxa" w:w="100"/>
            </w:tcMar>
          </w:tcPr>
          <w:p>
            <w:pPr>
              <w:spacing w:after="0"/>
            </w:pPr>
            <w:r>
              <w:rPr>
                <w:rFonts w:ascii="Arial" w:cs="Arial" w:eastAsia="Arial" w:hAnsi="Arial"/>
                <w:b w:val="false"/>
                <w:bCs w:val="false"/>
                <w:sz w:val="19"/>
                <w:szCs w:val="19"/>
              </w:rPr>
              <w:t xml:space="preserve">Legt das Sortierkriterium fest – alles andere ist nachrangig</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2</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Constraints als K.-o.-Kriterien setzen</w:t>
            </w:r>
          </w:p>
        </w:tc>
        <w:tc>
          <w:tcPr>
            <w:tcW w:type="dxa" w:w="4460"/>
            <w:tcMar>
              <w:top w:type="dxa" w:w="80"/>
              <w:left w:type="dxa" w:w="100"/>
              <w:bottom w:type="dxa" w:w="80"/>
              <w:right w:type="dxa" w:w="100"/>
            </w:tcMar>
          </w:tcPr>
          <w:p>
            <w:pPr>
              <w:spacing w:after="0"/>
            </w:pPr>
            <w:r>
              <w:rPr>
                <w:rFonts w:ascii="Arial" w:cs="Arial" w:eastAsia="Arial" w:hAnsi="Arial"/>
                <w:b w:val="false"/>
                <w:bCs w:val="false"/>
                <w:sz w:val="19"/>
                <w:szCs w:val="19"/>
              </w:rPr>
              <w:t xml:space="preserve">Eliminiert Kandidaten, die dein Ziel untergraben würden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Den Rest rangieren</w:t>
            </w:r>
          </w:p>
        </w:tc>
        <w:tc>
          <w:tcPr>
            <w:tcW w:type="dxa" w:w="4460"/>
            <w:tcMar>
              <w:top w:type="dxa" w:w="80"/>
              <w:left w:type="dxa" w:w="100"/>
              <w:bottom w:type="dxa" w:w="80"/>
              <w:right w:type="dxa" w:w="100"/>
            </w:tcMar>
          </w:tcPr>
          <w:p>
            <w:pPr>
              <w:spacing w:after="0"/>
            </w:pPr>
            <w:r>
              <w:rPr>
                <w:rFonts w:ascii="Arial" w:cs="Arial" w:eastAsia="Arial" w:hAnsi="Arial"/>
                <w:b w:val="false"/>
                <w:bCs w:val="false"/>
                <w:sz w:val="19"/>
                <w:szCs w:val="19"/>
              </w:rPr>
              <w:t xml:space="preserve">Zeigt die besten Optionen innerhalb eines sauberen Kandidatenfelds</w:t>
            </w:r>
          </w:p>
        </w:tc>
      </w:tr>
    </w:tbl>
    <w:p>
      <w:pPr>
        <w:spacing w:after="120" w:before="0" w:line="300"/>
      </w:pPr>
      <w:r>
        <w:rPr>
          <w:rFonts w:ascii="Arial" w:cs="Arial" w:eastAsia="Arial" w:hAnsi="Arial"/>
          <w:sz w:val="22"/>
          <w:szCs w:val="22"/>
        </w:rPr>
        <w:t xml:space="preserve"/>
      </w:r>
    </w:p>
    <w:p>
      <w:pPr>
        <w:shd w:fill="F2F4F7" w:val="clear"/>
        <w:spacing w:after="240" w:before="120" w:line="300"/>
        <w:ind w:left="284" w:right="284"/>
      </w:pPr>
      <w:r>
        <w:rPr>
          <w:rFonts w:ascii="Arial" w:cs="Arial" w:eastAsia="Arial" w:hAnsi="Arial"/>
          <w:sz w:val="22"/>
          <w:szCs w:val="22"/>
        </w:rPr>
        <w:t xml:space="preserve">In der Entscheidungstheorie heißt das lexikografische Präferenz – man optimiert auf eine Sache, und nur unter den Kandidaten, die sie erfüllen, wendet man weitere Kriterien an. Das hat eine lange akademische Geschichte. Und es funktioniert einfach.</w:t>
      </w:r>
    </w:p>
    <w:p>
      <w:pPr>
        <w:pStyle w:val="Heading2"/>
        <w:keepNext/>
        <w:spacing w:after="160" w:before="320"/>
      </w:pPr>
      <w:r>
        <w:rPr>
          <w:rFonts w:ascii="Arial" w:cs="Arial" w:eastAsia="Arial" w:hAnsi="Arial"/>
          <w:b/>
          <w:bCs/>
          <w:color w:val="1F3A5F"/>
          <w:sz w:val="28"/>
          <w:szCs w:val="28"/>
        </w:rPr>
        <w:t xml:space="preserve">Strategie 1 — Outperformance</w:t>
      </w:r>
    </w:p>
    <w:p>
      <w:pPr>
        <w:keepNext/>
        <w:spacing w:after="60" w:before="200" w:line="300"/>
      </w:pPr>
      <w:r>
        <w:rPr>
          <w:rFonts w:ascii="Arial" w:cs="Arial" w:eastAsia="Arial" w:hAnsi="Arial"/>
          <w:b/>
          <w:bCs/>
          <w:caps/>
          <w:color w:val="666666"/>
          <w:sz w:val="18"/>
          <w:szCs w:val="18"/>
        </w:rPr>
        <w:t xml:space="preserve">Das Ziel</w:t>
      </w:r>
    </w:p>
    <w:p>
      <w:pPr>
        <w:spacing w:after="160" w:before="0" w:line="300"/>
      </w:pPr>
      <w:r>
        <w:rPr>
          <w:rFonts w:ascii="Arial" w:cs="Arial" w:eastAsia="Arial" w:hAnsi="Arial"/>
          <w:b/>
          <w:bCs/>
          <w:sz w:val="22"/>
          <w:szCs w:val="22"/>
        </w:rPr>
        <w:t xml:space="preserve">Aktien, die die Benchmark konsistent schlagen.</w:t>
      </w:r>
    </w:p>
    <w:p>
      <w:pPr>
        <w:spacing w:after="160" w:before="0" w:line="300"/>
      </w:pPr>
      <w:r>
        <w:rPr>
          <w:rFonts w:ascii="Arial" w:cs="Arial" w:eastAsia="Arial" w:hAnsi="Arial"/>
          <w:sz w:val="22"/>
          <w:szCs w:val="22"/>
        </w:rPr>
        <w:t xml:space="preserve">Achte auf das Wort konsistent. Hier geht die meiste Outperformance-basierte Auswahl schief. Der übliche Ansatz: Rangfolge nach Gesamtrendite über 3–5 Jahre. Ein einziges außergewöhnliches Jahr kann den gesamten Zeitraum dominieren. Eine Aktie, die 2020 +180 % machte und in jedem anderen Jahr seitwärts lief, sieht aus wie ein Outperformer. Ist sie nicht. Sie hatte einmal Glück, oder sie hat ein Narrativ erwischt, oder beides.</w:t>
      </w:r>
    </w:p>
    <w:p>
      <w:pPr>
        <w:keepNext/>
        <w:spacing w:after="60" w:before="200" w:line="300"/>
      </w:pPr>
      <w:r>
        <w:rPr>
          <w:rFonts w:ascii="Arial" w:cs="Arial" w:eastAsia="Arial" w:hAnsi="Arial"/>
          <w:b/>
          <w:bCs/>
          <w:caps/>
          <w:color w:val="666666"/>
          <w:sz w:val="18"/>
          <w:szCs w:val="18"/>
        </w:rPr>
        <w:t xml:space="preserve">Schritt 1 — Hauptziel: Konsistenz der Outperformance</w:t>
      </w:r>
    </w:p>
    <w:p>
      <w:pPr>
        <w:spacing w:after="160" w:before="0" w:line="300"/>
      </w:pPr>
      <w:r>
        <w:rPr>
          <w:rFonts w:ascii="Arial" w:cs="Arial" w:eastAsia="Arial" w:hAnsi="Arial"/>
          <w:sz w:val="22"/>
          <w:szCs w:val="22"/>
        </w:rPr>
        <w:t xml:space="preserve">Betrachte 20 Jahre Jahresrenditen – oder so weit zurück, wie Daten existieren. Stell für jedes Jahr eine Frage: Hat die Aktie in diesem Jahr die Benchmark geschlagen, ja oder nein? Zähl die Jahre, in denen sie es tat. Diese Quote – sagen wir 14 von 20 – ist dein primäres Sortierkriterium. Nicht die Gesamtrendite. Nicht die Durchschnittsrendite. Wie oft sie gewonnen hat.</w:t>
      </w:r>
    </w:p>
    <w:p>
      <w:pPr>
        <w:shd w:fill="F2F4F7" w:val="clear"/>
        <w:spacing w:after="240" w:before="120" w:line="300"/>
        <w:ind w:left="284" w:right="284"/>
      </w:pPr>
      <w:r>
        <w:rPr>
          <w:rFonts w:ascii="Arial" w:cs="Arial" w:eastAsia="Arial" w:hAnsi="Arial"/>
          <w:sz w:val="22"/>
          <w:szCs w:val="22"/>
        </w:rPr>
        <w:t xml:space="preserve">Zwanzig Jahre sind wichtig, weil sie mehrere Crash-Phasen einschließen: Dotcom, 2008, Covid. Eine Aktie, die in 14 dieser 20 Jahre die Benchmark schlägt, hat das durch Rezessionen, Zinszyklen und Panik hindurch geschafft. Das ist eine andere Aussage als „hat den Index zwischen 2019 und 2023 geschlagen". Hat eine Aktie keine 20 Jahre Historie, ist das kein Grund, sie zu überspringen – aber ein Grund, ehrlich zu sein über das, was du nicht weißt. Dir fehlt mindestens ein ernsthafter Crash. Das sind genau die Jahre, auf die es ankommt.</w:t>
      </w:r>
    </w:p>
    <w:p>
      <w:pPr>
        <w:keepNext/>
        <w:spacing w:after="60" w:before="200" w:line="300"/>
      </w:pPr>
      <w:r>
        <w:rPr>
          <w:rFonts w:ascii="Arial" w:cs="Arial" w:eastAsia="Arial" w:hAnsi="Arial"/>
          <w:b/>
          <w:bCs/>
          <w:caps/>
          <w:color w:val="666666"/>
          <w:sz w:val="18"/>
          <w:szCs w:val="18"/>
        </w:rPr>
        <w:t xml:space="preserve">Schritt 2 — K.-o.-Filter: Verlustjahre</w:t>
      </w:r>
    </w:p>
    <w:p>
      <w:pPr>
        <w:spacing w:after="160" w:before="0" w:line="300"/>
      </w:pPr>
      <w:r>
        <w:rPr>
          <w:rFonts w:ascii="Arial" w:cs="Arial" w:eastAsia="Arial" w:hAnsi="Arial"/>
          <w:sz w:val="22"/>
          <w:szCs w:val="22"/>
        </w:rPr>
        <w:t xml:space="preserve">In wie vielen Jahren hat die Aktie eine negative absolute Rendite verbucht? Leg ein Maximum fest, mit dem du leben kannst – zum Beispiel höchstens 4 Verlustjahre in 20. Eine Aktie kann in einem Jahr hinter der Benchmark zurückbleiben und trotzdem im Plus sein. Eine Aktie, die in 8 von 20 Jahren Geld verliert, ist ein völlig anderes Risiko, unabhängig von ihrer Durchschnittsrendite.</w:t>
      </w:r>
    </w:p>
    <w:p>
      <w:pPr>
        <w:keepNext/>
        <w:spacing w:after="60" w:before="200" w:line="300"/>
      </w:pPr>
      <w:r>
        <w:rPr>
          <w:rFonts w:ascii="Arial" w:cs="Arial" w:eastAsia="Arial" w:hAnsi="Arial"/>
          <w:b/>
          <w:bCs/>
          <w:caps/>
          <w:color w:val="666666"/>
          <w:sz w:val="18"/>
          <w:szCs w:val="18"/>
        </w:rPr>
        <w:t xml:space="preserve">Schritt 3 — Ranking: Durchschnittliche Jahresrendite</w:t>
      </w:r>
    </w:p>
    <w:p>
      <w:pPr>
        <w:spacing w:after="160" w:before="0" w:line="300"/>
      </w:pPr>
      <w:r>
        <w:rPr>
          <w:rFonts w:ascii="Arial" w:cs="Arial" w:eastAsia="Arial" w:hAnsi="Arial"/>
          <w:sz w:val="22"/>
          <w:szCs w:val="22"/>
        </w:rPr>
        <w:t xml:space="preserve">Unter den Kandidaten, die Schritt 1 und 2 bestehen, rangierst du nach durchschnittlicher Jahresrendite. Erst jetzt kommt die Größenordnung ins Spiel.</w:t>
      </w:r>
    </w:p>
    <w:p>
      <w:pPr>
        <w:pStyle w:val="Heading3"/>
        <w:keepNext/>
        <w:spacing w:after="120" w:before="240"/>
      </w:pPr>
      <w:r>
        <w:rPr>
          <w:rFonts w:ascii="Arial" w:cs="Arial" w:eastAsia="Arial" w:hAnsi="Arial"/>
          <w:b/>
          <w:bCs/>
          <w:sz w:val="24"/>
          <w:szCs w:val="24"/>
        </w:rPr>
        <w:t xml:space="preserve">Aktie B vs. Aktie C – was die Methode erwischt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500"/>
        <w:gridCol w:w="1700"/>
        <w:gridCol w:w="2060"/>
      </w:tblGrid>
      <w:tr>
        <w:trPr>
          <w:tblHeader/>
        </w:trPr>
        <w:tc>
          <w:tcPr>
            <w:tcW w:type="dxa" w:w="13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2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Benchmark geschlagen (von 20 Jahren)</w:t>
            </w:r>
          </w:p>
        </w:tc>
        <w:tc>
          <w:tcPr>
            <w:tcW w:type="dxa" w:w="1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Verlustjahre</w:t>
            </w:r>
          </w:p>
        </w:tc>
        <w:tc>
          <w:tcPr>
            <w:tcW w:type="dxa" w:w="17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Ø Jahresrendite</w:t>
            </w:r>
          </w:p>
        </w:tc>
        <w:tc>
          <w:tcPr>
            <w:tcW w:type="dxa" w:w="20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100.000 $ nach 20 Jahren</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B</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14 / 20</w:t>
            </w:r>
          </w:p>
        </w:tc>
        <w:tc>
          <w:tcPr>
            <w:tcW w:type="dxa" w:w="15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+14,2 %</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1.370.000 $</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C</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7 / 20</w:t>
            </w:r>
          </w:p>
        </w:tc>
        <w:tc>
          <w:tcPr>
            <w:tcW w:type="dxa" w:w="1500"/>
            <w:tcMar>
              <w:top w:type="dxa" w:w="80"/>
              <w:left w:type="dxa" w:w="100"/>
              <w:bottom w:type="dxa" w:w="80"/>
              <w:right w:type="dxa" w:w="100"/>
            </w:tcMar>
          </w:tcPr>
          <w:p>
            <w:pPr>
              <w:spacing w:after="0"/>
            </w:pPr>
            <w:r>
              <w:rPr>
                <w:rFonts w:ascii="Arial" w:cs="Arial" w:eastAsia="Arial" w:hAnsi="Arial"/>
                <w:b w:val="false"/>
                <w:bCs w:val="false"/>
                <w:sz w:val="19"/>
                <w:szCs w:val="19"/>
              </w:rPr>
              <w:t xml:space="preserve">9</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+11,8 %</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850.000 $</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Aktie C hat eine niedrigere Durchschnittsrendite und eine schlechtere Konsistenz – weil die Verlustjahre den Zinseszinseffekt zerstören. Die letzte Spalte macht es konkret: gleicher Startpunkt, knapp 520.000 $ Unterschied nach 20 Jahren. Aktie C hat nicht dramatisch verloren. Sie hat den Zinseszins nur oft genug unterbrochen, dass es zählt.</w:t>
      </w:r>
    </w:p>
    <w:p>
      <w:pPr>
        <w:pStyle w:val="Heading2"/>
        <w:keepNext/>
        <w:spacing w:after="160" w:before="320"/>
      </w:pPr>
      <w:r>
        <w:rPr>
          <w:rFonts w:ascii="Arial" w:cs="Arial" w:eastAsia="Arial" w:hAnsi="Arial"/>
          <w:b/>
          <w:bCs/>
          <w:color w:val="1F3A5F"/>
          <w:sz w:val="28"/>
          <w:szCs w:val="28"/>
        </w:rPr>
        <w:t xml:space="preserve">Strategie 2 — Dividenden</w:t>
      </w:r>
    </w:p>
    <w:p>
      <w:pPr>
        <w:keepNext/>
        <w:spacing w:after="60" w:before="200" w:line="300"/>
      </w:pPr>
      <w:r>
        <w:rPr>
          <w:rFonts w:ascii="Arial" w:cs="Arial" w:eastAsia="Arial" w:hAnsi="Arial"/>
          <w:b/>
          <w:bCs/>
          <w:caps/>
          <w:color w:val="666666"/>
          <w:sz w:val="18"/>
          <w:szCs w:val="18"/>
        </w:rPr>
        <w:t xml:space="preserve">Das Ziel</w:t>
      </w:r>
    </w:p>
    <w:p>
      <w:pPr>
        <w:spacing w:after="160" w:before="0" w:line="300"/>
      </w:pPr>
      <w:r>
        <w:rPr>
          <w:rFonts w:ascii="Arial" w:cs="Arial" w:eastAsia="Arial" w:hAnsi="Arial"/>
          <w:b/>
          <w:bCs/>
          <w:sz w:val="22"/>
          <w:szCs w:val="22"/>
        </w:rPr>
        <w:t xml:space="preserve">Eine Rendite, die echt ist, stabil, und nicht von einem verfallenden Geschäft finanziert wird.</w:t>
      </w:r>
    </w:p>
    <w:p>
      <w:pPr>
        <w:spacing w:after="160" w:before="0" w:line="300"/>
      </w:pPr>
      <w:r>
        <w:rPr>
          <w:rFonts w:ascii="Arial" w:cs="Arial" w:eastAsia="Arial" w:hAnsi="Arial"/>
          <w:sz w:val="22"/>
          <w:szCs w:val="22"/>
        </w:rPr>
        <w:t xml:space="preserve">Das klingt nach gesundem Menschenverstand. Das AT&amp;T-Beispiel aus Teil 1 zeigt, dass gesunder Menschenverstand und gängige Praxis nicht dasselbe sind.</w:t>
      </w:r>
    </w:p>
    <w:p>
      <w:pPr>
        <w:keepNext/>
        <w:spacing w:after="60" w:before="200" w:line="300"/>
      </w:pPr>
      <w:r>
        <w:rPr>
          <w:rFonts w:ascii="Arial" w:cs="Arial" w:eastAsia="Arial" w:hAnsi="Arial"/>
          <w:b/>
          <w:bCs/>
          <w:caps/>
          <w:color w:val="666666"/>
          <w:sz w:val="18"/>
          <w:szCs w:val="18"/>
        </w:rPr>
        <w:t xml:space="preserve">Schritt 1 — Hauptziel: Renditeschwelle</w:t>
      </w:r>
    </w:p>
    <w:p>
      <w:pPr>
        <w:spacing w:after="160" w:before="0" w:line="300"/>
      </w:pPr>
      <w:r>
        <w:rPr>
          <w:rFonts w:ascii="Arial" w:cs="Arial" w:eastAsia="Arial" w:hAnsi="Arial"/>
          <w:sz w:val="22"/>
          <w:szCs w:val="22"/>
        </w:rPr>
        <w:t xml:space="preserve">Filtere nach Aktien mit einer Dividendenrendite über deinem Minimum – sagen wir 3,5 % oder 4 %. Das ist dein Universum. Rangiere noch nicht nach Rendite. Eine höhere Rendite ist in diesem Stadium nicht besser. Sie ist nur eine Zahl, die verhört werden muss.</w:t>
      </w:r>
    </w:p>
    <w:p>
      <w:pPr>
        <w:keepNext/>
        <w:spacing w:after="60" w:before="200" w:line="300"/>
      </w:pPr>
      <w:r>
        <w:rPr>
          <w:rFonts w:ascii="Arial" w:cs="Arial" w:eastAsia="Arial" w:hAnsi="Arial"/>
          <w:b/>
          <w:bCs/>
          <w:caps/>
          <w:color w:val="666666"/>
          <w:sz w:val="18"/>
          <w:szCs w:val="18"/>
        </w:rPr>
        <w:t xml:space="preserve">Schritt 2 — K.-o.-Filter 1: Verlustjahre</w:t>
      </w:r>
    </w:p>
    <w:p>
      <w:pPr>
        <w:spacing w:after="160" w:before="0" w:line="300"/>
      </w:pPr>
      <w:r>
        <w:rPr>
          <w:rFonts w:ascii="Arial" w:cs="Arial" w:eastAsia="Arial" w:hAnsi="Arial"/>
          <w:sz w:val="22"/>
          <w:szCs w:val="22"/>
        </w:rPr>
        <w:t xml:space="preserve">In wie vielen der letzten 20 Jahre hat die Aktie eine negative Rendite verbucht? Eine Dividende, die jedes Quartal eintrifft, während der Kurs jährlich 15 % verliert, ist keine Dividendenstrategie. Es ist ein langsamer Ausstieg.</w:t>
      </w:r>
    </w:p>
    <w:p>
      <w:pPr>
        <w:keepNext/>
        <w:spacing w:after="60" w:before="200" w:line="300"/>
      </w:pPr>
      <w:r>
        <w:rPr>
          <w:rFonts w:ascii="Arial" w:cs="Arial" w:eastAsia="Arial" w:hAnsi="Arial"/>
          <w:b/>
          <w:bCs/>
          <w:caps/>
          <w:color w:val="666666"/>
          <w:sz w:val="18"/>
          <w:szCs w:val="18"/>
        </w:rPr>
        <w:t xml:space="preserve">Schritt 3 — K.-o.-Filter 2: Ausschüttungsquote und Trend</w:t>
      </w:r>
    </w:p>
    <w:p>
      <w:pPr>
        <w:spacing w:after="160" w:before="0" w:line="300"/>
      </w:pPr>
      <w:r>
        <w:rPr>
          <w:rFonts w:ascii="Arial" w:cs="Arial" w:eastAsia="Arial" w:hAnsi="Arial"/>
          <w:sz w:val="22"/>
          <w:szCs w:val="22"/>
        </w:rPr>
        <w:t xml:space="preserve">Wird die Dividende aus Gewinnen gezahlt – oder aus etwas anderem? Eine Ausschüttungsquote dauerhaft über 90–100 % ist ein Warnsignal. Kombiniert mit einem stagnierenden oder fallenden Kurs heißt das oft: Das Unternehmen gibt Kapital zurück, das es nicht übrig hat.</w:t>
      </w:r>
    </w:p>
    <w:p>
      <w:pPr>
        <w:keepNext/>
        <w:spacing w:after="60" w:before="200" w:line="300"/>
      </w:pPr>
      <w:r>
        <w:rPr>
          <w:rFonts w:ascii="Arial" w:cs="Arial" w:eastAsia="Arial" w:hAnsi="Arial"/>
          <w:b/>
          <w:bCs/>
          <w:caps/>
          <w:color w:val="666666"/>
          <w:sz w:val="18"/>
          <w:szCs w:val="18"/>
        </w:rPr>
        <w:t xml:space="preserve">Schritt 4 — Ranking: Durchschnittliche jährliche Gesamtrendite</w:t>
      </w:r>
    </w:p>
    <w:p>
      <w:pPr>
        <w:spacing w:after="160" w:before="0" w:line="300"/>
      </w:pPr>
      <w:r>
        <w:rPr>
          <w:rFonts w:ascii="Arial" w:cs="Arial" w:eastAsia="Arial" w:hAnsi="Arial"/>
          <w:sz w:val="22"/>
          <w:szCs w:val="22"/>
        </w:rPr>
        <w:t xml:space="preserve">Unter den Kandidaten, die bestehen, rangierst du nach Gesamtrendite – Kursgewinn plus Dividenden. Das ist die Zahl, die tatsächlich auf deinem Konto gelandet ist.</w:t>
      </w:r>
    </w:p>
    <w:p>
      <w:pPr>
        <w:pStyle w:val="Heading3"/>
        <w:keepNext/>
        <w:spacing w:after="120" w:before="240"/>
      </w:pPr>
      <w:r>
        <w:rPr>
          <w:rFonts w:ascii="Arial" w:cs="Arial" w:eastAsia="Arial" w:hAnsi="Arial"/>
          <w:b/>
          <w:bCs/>
          <w:sz w:val="24"/>
          <w:szCs w:val="24"/>
        </w:rPr>
        <w:t xml:space="preserve">AT&amp;T, noch einmal – hätte die Methode es erwischt?</w:t>
      </w:r>
    </w:p>
    <w:p>
      <w:pPr>
        <w:spacing w:after="160" w:before="0" w:line="300"/>
      </w:pPr>
      <w:r>
        <w:rPr>
          <w:rFonts w:ascii="Arial" w:cs="Arial" w:eastAsia="Arial" w:hAnsi="Arial"/>
          <w:sz w:val="22"/>
          <w:szCs w:val="22"/>
        </w:rPr>
        <w:t xml:space="preserve">Ja, in Schritt 2. Zwischen 2017 und 2022 verbuchte AT&amp;T in vier von sechs Jahren eine negative Gesamtrendite – eine Verlustjahrquote von 0,67, weit über jeder vernünftigen Schwelle. Die Rendite sah attraktiv aus. Der Verlustjahr-Filter hätte Alarm geschlagen, bevor die Dividendenkürzung es für alle anderen offensichtlich machte.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700"/>
        <w:gridCol w:w="156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Ø Dividendenrendite</w:t>
            </w:r>
          </w:p>
        </w:tc>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Verlustjahre (2017–2022)</w:t>
            </w:r>
          </w:p>
        </w:tc>
        <w:tc>
          <w:tcPr>
            <w:tcW w:type="dxa" w:w="17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Ø jährliche Gesamtrendite</w:t>
            </w:r>
          </w:p>
        </w:tc>
        <w:tc>
          <w:tcPr>
            <w:tcW w:type="dxa" w:w="15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100.000 $ nach 6 Jahren</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AT&amp;T</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6,5 %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4 / 6</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+1,0 %</w:t>
            </w:r>
          </w:p>
        </w:tc>
        <w:tc>
          <w:tcPr>
            <w:tcW w:type="dxa" w:w="15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92.000 $</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D (illustrativ)</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4,1 %</w:t>
            </w:r>
          </w:p>
        </w:tc>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1 / 6</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+9,3 %</w:t>
            </w:r>
          </w:p>
        </w:tc>
        <w:tc>
          <w:tcPr>
            <w:tcW w:type="dxa" w:w="15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170.000 $</w:t>
            </w:r>
          </w:p>
        </w:tc>
      </w:tr>
    </w:tbl>
    <w:p>
      <w:pPr>
        <w:spacing w:after="240" w:before="0" w:line="300"/>
      </w:pPr>
      <w:r>
        <w:rPr>
          <w:rFonts w:ascii="Arial" w:cs="Arial" w:eastAsia="Arial" w:hAnsi="Arial"/>
          <w:i/>
          <w:iCs/>
          <w:color w:val="666666"/>
          <w:sz w:val="18"/>
          <w:szCs w:val="18"/>
        </w:rPr>
        <w:t xml:space="preserve">AT&amp;T 2017–2022. Eigene Berechnung auf Basis öffentlich verfügbarer Kursdaten (Jahresschlusskurse, Gesamtrendite mit reinvestierten Dividenden), gerundet; Stand 18.10.2026. Aktie D ist ein illustratives Beispiel, keine reale Aktie.</w:t>
      </w:r>
    </w:p>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Aktie D hat eine niedrigere Rendite. Sie hat außerdem tatsächlich Geld verdient.</w:t>
      </w:r>
    </w:p>
    <w:p>
      <w:pPr>
        <w:pBdr>
          <w:left w:val="single" w:color="1F3A5F" w:sz="18" w:space="12"/>
        </w:pBdr>
        <w:spacing w:after="240" w:before="200" w:line="300"/>
        <w:ind w:left="567"/>
      </w:pPr>
      <w:r>
        <w:rPr>
          <w:rFonts w:ascii="Arial" w:cs="Arial" w:eastAsia="Arial" w:hAnsi="Arial"/>
          <w:i/>
          <w:iCs/>
          <w:color w:val="1F3A5F"/>
          <w:sz w:val="24"/>
          <w:szCs w:val="24"/>
        </w:rPr>
        <w:t xml:space="preserve">„Es geht nicht darum, die höchste Rendite zu finden. Sondern eine, die du behalten kannst."</w:t>
      </w:r>
    </w:p>
    <w:p>
      <w:pPr>
        <w:pageBreakBefore/>
        <w:spacing w:after="200" w:before="0" w:line="300"/>
      </w:pPr>
      <w:r>
        <w:rPr>
          <w:rFonts w:ascii="Arial" w:cs="Arial" w:eastAsia="Arial" w:hAnsi="Arial"/>
          <w:i/>
          <w:iCs/>
          <w:color w:val="666666"/>
          <w:sz w:val="20"/>
          <w:szCs w:val="20"/>
        </w:rPr>
        <w:t xml:space="preserve">Teil 3</w:t>
      </w:r>
    </w:p>
    <w:p>
      <w:pPr>
        <w:pStyle w:val="Heading1"/>
        <w:spacing w:after="240" w:before="0"/>
      </w:pPr>
      <w:r>
        <w:rPr>
          <w:rFonts w:ascii="Arial" w:cs="Arial" w:eastAsia="Arial" w:hAnsi="Arial"/>
          <w:b/>
          <w:bCs/>
          <w:color w:val="1F3A5F"/>
          <w:sz w:val="40"/>
          <w:szCs w:val="40"/>
        </w:rPr>
        <w:t xml:space="preserve">Auf eigene Ziele anwenden</w:t>
      </w:r>
    </w:p>
    <w:p>
      <w:pPr>
        <w:spacing w:after="160" w:before="0" w:line="300"/>
      </w:pPr>
      <w:r>
        <w:rPr>
          <w:rFonts w:ascii="Arial" w:cs="Arial" w:eastAsia="Arial" w:hAnsi="Arial"/>
          <w:sz w:val="22"/>
          <w:szCs w:val="22"/>
        </w:rPr>
        <w:t xml:space="preserve">Die beiden Strategien in Teil 2 sind Beispiele, keine Vorschriften. Was zählt, ist die Struktur dahinter – und die funktioniert für jedes Anlageziel, das du haben kannst.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79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Schritt</w:t>
            </w:r>
          </w:p>
        </w:tc>
        <w:tc>
          <w:tcPr>
            <w:tcW w:type="dxa" w:w="79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Aktion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1</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Ein Hauptziel definieren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2</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K.-o.-Filter setzen, die es schützen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Den Rest nach der Kennzahl rangieren, die dein Ziel abbildet</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Die Eingaben ändern sich. Die Logik nicht. Hier zwei weitere Anwendungen.</w:t>
      </w:r>
    </w:p>
    <w:p>
      <w:pPr>
        <w:pStyle w:val="Heading2"/>
        <w:keepNext/>
        <w:spacing w:after="160" w:before="320"/>
      </w:pPr>
      <w:r>
        <w:rPr>
          <w:rFonts w:ascii="Arial" w:cs="Arial" w:eastAsia="Arial" w:hAnsi="Arial"/>
          <w:b/>
          <w:bCs/>
          <w:color w:val="1F3A5F"/>
          <w:sz w:val="28"/>
          <w:szCs w:val="28"/>
        </w:rPr>
        <w:t xml:space="preserve">Low Volatility</w:t>
      </w:r>
    </w:p>
    <w:p>
      <w:pPr>
        <w:spacing w:after="160" w:before="0" w:line="300"/>
      </w:pPr>
      <w:r>
        <w:rPr>
          <w:rFonts w:ascii="Arial" w:cs="Arial" w:eastAsia="Arial" w:hAnsi="Arial"/>
          <w:sz w:val="22"/>
          <w:szCs w:val="22"/>
        </w:rPr>
        <w:t xml:space="preserve">Ein Anleger, der ruhig schläft und in Abschwüngen investiert bleibt, schlägt einen Anleger mit einem theoretisch überlegenen Portfolio, das er im März 2020 in Panik verkauft. Verhaltenskonsistenz ist ein Renditetreiber. Sie taucht nur in keinem Backtest auf.</w:t>
      </w:r>
    </w:p>
    <w:p>
      <w:pPr>
        <w:keepNext/>
        <w:spacing w:after="60" w:before="200" w:line="300"/>
      </w:pPr>
      <w:r>
        <w:rPr>
          <w:rFonts w:ascii="Arial" w:cs="Arial" w:eastAsia="Arial" w:hAnsi="Arial"/>
          <w:b/>
          <w:bCs/>
          <w:caps/>
          <w:color w:val="666666"/>
          <w:sz w:val="18"/>
          <w:szCs w:val="18"/>
        </w:rPr>
        <w:t xml:space="preserve">Hauptziel</w:t>
      </w:r>
    </w:p>
    <w:p>
      <w:pPr>
        <w:spacing w:after="160" w:before="0" w:line="300"/>
      </w:pPr>
      <w:r>
        <w:rPr>
          <w:rFonts w:ascii="Arial" w:cs="Arial" w:eastAsia="Arial" w:hAnsi="Arial"/>
          <w:sz w:val="22"/>
          <w:szCs w:val="22"/>
        </w:rPr>
        <w:t xml:space="preserve">Maximale jährliche Volatilität – Aktien mit einer annualisierten Standardabweichung unter 15 %.</w:t>
      </w:r>
    </w:p>
    <w:p>
      <w:pPr>
        <w:keepNext/>
        <w:spacing w:after="60" w:before="200" w:line="300"/>
      </w:pPr>
      <w:r>
        <w:rPr>
          <w:rFonts w:ascii="Arial" w:cs="Arial" w:eastAsia="Arial" w:hAnsi="Arial"/>
          <w:b/>
          <w:bCs/>
          <w:caps/>
          <w:color w:val="666666"/>
          <w:sz w:val="18"/>
          <w:szCs w:val="18"/>
        </w:rPr>
        <w:t xml:space="preserve">K.-o.-Filter</w:t>
      </w:r>
    </w:p>
    <w:p>
      <w:pPr>
        <w:spacing w:after="160" w:before="0" w:line="300"/>
      </w:pPr>
      <w:r>
        <w:rPr>
          <w:rFonts w:ascii="Arial" w:cs="Arial" w:eastAsia="Arial" w:hAnsi="Arial"/>
          <w:sz w:val="22"/>
          <w:szCs w:val="22"/>
        </w:rPr>
        <w:t xml:space="preserve">Maximaler Drawdown in einem einzelnen Jahr. Anzahl der Jahre mit einem Drawdown über 20 %.</w:t>
      </w:r>
    </w:p>
    <w:p>
      <w:pPr>
        <w:keepNext/>
        <w:spacing w:after="60" w:before="200" w:line="300"/>
      </w:pPr>
      <w:r>
        <w:rPr>
          <w:rFonts w:ascii="Arial" w:cs="Arial" w:eastAsia="Arial" w:hAnsi="Arial"/>
          <w:b/>
          <w:bCs/>
          <w:caps/>
          <w:color w:val="666666"/>
          <w:sz w:val="18"/>
          <w:szCs w:val="18"/>
        </w:rPr>
        <w:t xml:space="preserve">Ranking</w:t>
      </w:r>
    </w:p>
    <w:p>
      <w:pPr>
        <w:spacing w:after="160" w:before="0" w:line="300"/>
      </w:pPr>
      <w:r>
        <w:rPr>
          <w:rFonts w:ascii="Arial" w:cs="Arial" w:eastAsia="Arial" w:hAnsi="Arial"/>
          <w:sz w:val="22"/>
          <w:szCs w:val="22"/>
        </w:rPr>
        <w:t xml:space="preserve">Durchschnittliche Jahresrendite unter den Kandidaten, die bestehen.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1700"/>
        <w:gridCol w:w="2060"/>
      </w:tblGrid>
      <w:tr>
        <w:trPr>
          <w:tblHeader/>
        </w:trPr>
        <w:tc>
          <w:tcPr>
            <w:tcW w:type="dxa" w:w="13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Max. Drawdown (ein Jahr)</w:t>
            </w:r>
          </w:p>
        </w:tc>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Volatilität (annualisiert)</w:t>
            </w:r>
          </w:p>
        </w:tc>
        <w:tc>
          <w:tcPr>
            <w:tcW w:type="dxa" w:w="17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Ø Jahresrendite</w:t>
            </w:r>
          </w:p>
        </w:tc>
        <w:tc>
          <w:tcPr>
            <w:tcW w:type="dxa" w:w="20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100.000 $ nach 20 Jahren</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E</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−12 %</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11 %</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+8,1 %</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475.000 $</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F</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−38 %</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24 %</w:t>
            </w:r>
          </w:p>
        </w:tc>
        <w:tc>
          <w:tcPr>
            <w:tcW w:type="dxa" w:w="1700"/>
            <w:tcMar>
              <w:top w:type="dxa" w:w="80"/>
              <w:left w:type="dxa" w:w="100"/>
              <w:bottom w:type="dxa" w:w="80"/>
              <w:right w:type="dxa" w:w="100"/>
            </w:tcMar>
          </w:tcPr>
          <w:p>
            <w:pPr>
              <w:spacing w:after="0"/>
            </w:pPr>
            <w:r>
              <w:rPr>
                <w:rFonts w:ascii="Arial" w:cs="Arial" w:eastAsia="Arial" w:hAnsi="Arial"/>
                <w:b w:val="false"/>
                <w:bCs w:val="false"/>
                <w:sz w:val="19"/>
                <w:szCs w:val="19"/>
              </w:rPr>
              <w:t xml:space="preserve">+9,4 %</w:t>
            </w:r>
          </w:p>
        </w:tc>
        <w:tc>
          <w:tcPr>
            <w:tcW w:type="dxa" w:w="20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410.000 $</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Aktie F hat die höhere Durchschnittsrendite. Sie ist außerdem in einem einzigen Jahr um 38 % gefallen – was heißt, dass du irgendwann auf einem Verlust saßest, der groß genug war, um jede Überzeugung auf die Probe zu stellen. Die niedrigere Rendite von Aktie E verzinst sich ununterbrochen. Über 20 Jahre gewinnt der ununterbrochene Zinseszins.</w:t>
      </w:r>
    </w:p>
    <w:p>
      <w:pPr>
        <w:pBdr>
          <w:left w:val="single" w:color="1F3A5F" w:sz="18" w:space="12"/>
        </w:pBdr>
        <w:spacing w:after="240" w:before="200" w:line="300"/>
        <w:ind w:left="567"/>
      </w:pPr>
      <w:r>
        <w:rPr>
          <w:rFonts w:ascii="Arial" w:cs="Arial" w:eastAsia="Arial" w:hAnsi="Arial"/>
          <w:i/>
          <w:iCs/>
          <w:color w:val="1F3A5F"/>
          <w:sz w:val="24"/>
          <w:szCs w:val="24"/>
        </w:rPr>
        <w:t xml:space="preserve">„Das beste Portfolio ist nicht das mit der höchsten erwarteten Rendite. Es ist das, das du tatsächlich hältst."</w:t>
      </w:r>
    </w:p>
    <w:p>
      <w:pPr>
        <w:pStyle w:val="Heading2"/>
        <w:keepNext/>
        <w:spacing w:after="160" w:before="320"/>
      </w:pPr>
      <w:r>
        <w:rPr>
          <w:rFonts w:ascii="Arial" w:cs="Arial" w:eastAsia="Arial" w:hAnsi="Arial"/>
          <w:b/>
          <w:bCs/>
          <w:color w:val="1F3A5F"/>
          <w:sz w:val="28"/>
          <w:szCs w:val="28"/>
        </w:rPr>
        <w:t xml:space="preserve">Strategie 3 — Value</w:t>
      </w:r>
    </w:p>
    <w:p>
      <w:pPr>
        <w:spacing w:after="160" w:before="0" w:line="300"/>
      </w:pPr>
      <w:r>
        <w:rPr>
          <w:rFonts w:ascii="Arial" w:cs="Arial" w:eastAsia="Arial" w:hAnsi="Arial"/>
          <w:sz w:val="22"/>
          <w:szCs w:val="22"/>
        </w:rPr>
        <w:t xml:space="preserve">Value-Investing hat einen langen theoretischen Stammbaum. Die Methode ändert daran nichts. Sie macht die Auswahl nur ehrlicher.</w:t>
      </w:r>
    </w:p>
    <w:p>
      <w:pPr>
        <w:keepNext/>
        <w:spacing w:after="60" w:before="200" w:line="300"/>
      </w:pPr>
      <w:r>
        <w:rPr>
          <w:rFonts w:ascii="Arial" w:cs="Arial" w:eastAsia="Arial" w:hAnsi="Arial"/>
          <w:b/>
          <w:bCs/>
          <w:caps/>
          <w:color w:val="666666"/>
          <w:sz w:val="18"/>
          <w:szCs w:val="18"/>
        </w:rPr>
        <w:t xml:space="preserve">Hauptziel</w:t>
      </w:r>
    </w:p>
    <w:p>
      <w:pPr>
        <w:spacing w:after="160" w:before="0" w:line="300"/>
      </w:pPr>
      <w:r>
        <w:rPr>
          <w:rFonts w:ascii="Arial" w:cs="Arial" w:eastAsia="Arial" w:hAnsi="Arial"/>
          <w:sz w:val="22"/>
          <w:szCs w:val="22"/>
        </w:rPr>
        <w:t xml:space="preserve">Bewertung unter einer definierten Schwelle – KGV unter 15 oder KBV unter 1,5. Definiere „billig", bevor du Kandidaten anschaust, nicht danach.</w:t>
      </w:r>
    </w:p>
    <w:p>
      <w:pPr>
        <w:keepNext/>
        <w:spacing w:after="60" w:before="200" w:line="300"/>
      </w:pPr>
      <w:r>
        <w:rPr>
          <w:rFonts w:ascii="Arial" w:cs="Arial" w:eastAsia="Arial" w:hAnsi="Arial"/>
          <w:b/>
          <w:bCs/>
          <w:caps/>
          <w:color w:val="666666"/>
          <w:sz w:val="18"/>
          <w:szCs w:val="18"/>
        </w:rPr>
        <w:t xml:space="preserve">K.-o.-Filter</w:t>
      </w:r>
    </w:p>
    <w:p>
      <w:pPr>
        <w:spacing w:after="160" w:before="0" w:line="300"/>
      </w:pPr>
      <w:r>
        <w:rPr>
          <w:rFonts w:ascii="Arial" w:cs="Arial" w:eastAsia="Arial" w:hAnsi="Arial"/>
          <w:sz w:val="22"/>
          <w:szCs w:val="22"/>
        </w:rPr>
        <w:t xml:space="preserve">Gewinnkonsistenz – wie viele der letzten 20 Jahre waren profitabel? Verschuldung. Dividendenkürzungen oder -aussetzungen als Signal für finanziellen Stress.</w:t>
      </w:r>
    </w:p>
    <w:p>
      <w:pPr>
        <w:keepNext/>
        <w:spacing w:after="60" w:before="200" w:line="300"/>
      </w:pPr>
      <w:r>
        <w:rPr>
          <w:rFonts w:ascii="Arial" w:cs="Arial" w:eastAsia="Arial" w:hAnsi="Arial"/>
          <w:b/>
          <w:bCs/>
          <w:caps/>
          <w:color w:val="666666"/>
          <w:sz w:val="18"/>
          <w:szCs w:val="18"/>
        </w:rPr>
        <w:t xml:space="preserve">Ranking</w:t>
      </w:r>
    </w:p>
    <w:p>
      <w:pPr>
        <w:spacing w:after="160" w:before="0" w:line="300"/>
      </w:pPr>
      <w:r>
        <w:rPr>
          <w:rFonts w:ascii="Arial" w:cs="Arial" w:eastAsia="Arial" w:hAnsi="Arial"/>
          <w:sz w:val="22"/>
          <w:szCs w:val="22"/>
        </w:rPr>
        <w:t xml:space="preserve">Historische Eigenkapitalrendite oder Free-Cashflow-Rendite – etwas, das abbildet, was das Geschäft tatsächlich erwirtschaftet, nicht nur, was der Markt gerade dafür zahlt.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200"/>
        <w:gridCol w:w="2200"/>
        <w:gridCol w:w="2160"/>
      </w:tblGrid>
      <w:tr>
        <w:trPr>
          <w:tblHeader/>
        </w:trPr>
        <w:tc>
          <w:tcPr>
            <w:tcW w:type="dxa" w:w="13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1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KGV</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Profitable Jahre (20 J.)</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Free-Cashflow-Rendite</w:t>
            </w:r>
          </w:p>
        </w:tc>
        <w:tc>
          <w:tcPr>
            <w:tcW w:type="dxa" w:w="21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100.000 $ nach 20 Jahren</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G</w:t>
            </w:r>
          </w:p>
        </w:tc>
        <w:tc>
          <w:tcPr>
            <w:tcW w:type="dxa" w:w="1200"/>
            <w:tcMar>
              <w:top w:type="dxa" w:w="80"/>
              <w:left w:type="dxa" w:w="100"/>
              <w:bottom w:type="dxa" w:w="80"/>
              <w:right w:type="dxa" w:w="100"/>
            </w:tcMar>
          </w:tcPr>
          <w:p>
            <w:pPr>
              <w:spacing w:after="0"/>
            </w:pPr>
            <w:r>
              <w:rPr>
                <w:rFonts w:ascii="Arial" w:cs="Arial" w:eastAsia="Arial" w:hAnsi="Arial"/>
                <w:b w:val="false"/>
                <w:bCs w:val="false"/>
                <w:sz w:val="19"/>
                <w:szCs w:val="19"/>
              </w:rPr>
              <w:t xml:space="preserve">11</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18 / 20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7,2 %</w:t>
            </w:r>
          </w:p>
        </w:tc>
        <w:tc>
          <w:tcPr>
            <w:tcW w:type="dxa" w:w="21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720.000 $</w:t>
            </w:r>
          </w:p>
        </w:tc>
      </w:tr>
      <w:tr>
        <w:tc>
          <w:tcPr>
            <w:tcW w:type="dxa" w:w="13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H</w:t>
            </w:r>
          </w:p>
        </w:tc>
        <w:tc>
          <w:tcPr>
            <w:tcW w:type="dxa" w:w="1200"/>
            <w:tcMar>
              <w:top w:type="dxa" w:w="80"/>
              <w:left w:type="dxa" w:w="100"/>
              <w:bottom w:type="dxa" w:w="80"/>
              <w:right w:type="dxa" w:w="100"/>
            </w:tcMar>
          </w:tcPr>
          <w:p>
            <w:pPr>
              <w:spacing w:after="0"/>
            </w:pPr>
            <w:r>
              <w:rPr>
                <w:rFonts w:ascii="Arial" w:cs="Arial" w:eastAsia="Arial" w:hAnsi="Arial"/>
                <w:b w:val="false"/>
                <w:bCs w:val="false"/>
                <w:sz w:val="19"/>
                <w:szCs w:val="19"/>
              </w:rPr>
              <w:t xml:space="preserve">9</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11 / 20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3,1 %</w:t>
            </w:r>
          </w:p>
        </w:tc>
        <w:tc>
          <w:tcPr>
            <w:tcW w:type="dxa" w:w="2160"/>
            <w:tcMar>
              <w:top w:type="dxa" w:w="80"/>
              <w:left w:type="dxa" w:w="100"/>
              <w:bottom w:type="dxa" w:w="80"/>
              <w:right w:type="dxa" w:w="100"/>
            </w:tcMar>
          </w:tcPr>
          <w:p>
            <w:pPr>
              <w:spacing w:after="0"/>
            </w:pPr>
            <w:r>
              <w:rPr>
                <w:rFonts w:ascii="Arial" w:cs="Arial" w:eastAsia="Arial" w:hAnsi="Arial"/>
                <w:b w:val="false"/>
                <w:bCs w:val="false"/>
                <w:sz w:val="19"/>
                <w:szCs w:val="19"/>
              </w:rPr>
              <w:t xml:space="preserve">ca. 380.000 $</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Aktie H ist nach der Schlagzeilenzahl billiger. Sie war außerdem in fast der Hälfte der betrachteten Jahre unprofitabel. Billig und billig aus gutem Grund sind nicht dasselbe.</w:t>
      </w:r>
    </w:p>
    <w:p>
      <w:pPr>
        <w:pBdr>
          <w:left w:val="single" w:color="1F3A5F" w:sz="18" w:space="12"/>
        </w:pBdr>
        <w:spacing w:after="240" w:before="200" w:line="300"/>
        <w:ind w:left="567"/>
      </w:pPr>
      <w:r>
        <w:rPr>
          <w:rFonts w:ascii="Arial" w:cs="Arial" w:eastAsia="Arial" w:hAnsi="Arial"/>
          <w:i/>
          <w:iCs/>
          <w:color w:val="1F3A5F"/>
          <w:sz w:val="24"/>
          <w:szCs w:val="24"/>
        </w:rPr>
        <w:t xml:space="preserve">„Eine billige Aktie, die billig bleibt, ist kein Value-Investment. Es ist ein Wartezimmer."</w:t>
      </w:r>
    </w:p>
    <w:p>
      <w:pPr>
        <w:pStyle w:val="Heading2"/>
        <w:keepNext/>
        <w:spacing w:after="160" w:before="320"/>
      </w:pPr>
      <w:r>
        <w:rPr>
          <w:rFonts w:ascii="Arial" w:cs="Arial" w:eastAsia="Arial" w:hAnsi="Arial"/>
          <w:b/>
          <w:bCs/>
          <w:color w:val="1F3A5F"/>
          <w:sz w:val="28"/>
          <w:szCs w:val="28"/>
        </w:rPr>
        <w:t xml:space="preserve">Portfoliozusammensetzung – der Schritt, den die meisten überspringen</w:t>
      </w:r>
    </w:p>
    <w:p>
      <w:pPr>
        <w:spacing w:after="160" w:before="0" w:line="300"/>
      </w:pPr>
      <w:r>
        <w:rPr>
          <w:rFonts w:ascii="Arial" w:cs="Arial" w:eastAsia="Arial" w:hAnsi="Arial"/>
          <w:sz w:val="22"/>
          <w:szCs w:val="22"/>
        </w:rPr>
        <w:t xml:space="preserve">Die Auswahl einzelner Aktien ist der sichtbare Teil des Investierens. Die Entscheidung, die alles andere prägt, fällt eine Ebene höher – und die meisten Anleger treffen sie nie ausdrücklich.</w:t>
      </w:r>
    </w:p>
    <w:p>
      <w:pPr>
        <w:spacing w:after="160" w:before="0" w:line="300"/>
      </w:pPr>
      <w:r>
        <w:rPr>
          <w:rFonts w:ascii="Arial" w:cs="Arial" w:eastAsia="Arial" w:hAnsi="Arial"/>
          <w:sz w:val="22"/>
          <w:szCs w:val="22"/>
        </w:rPr>
        <w:t xml:space="preserve">Die meisten Anleger denken in Aktien. Die eigentliche Frage lautet: Was soll mein Portfolio leisten, und in welchem Verhältnis?</w:t>
      </w:r>
    </w:p>
    <w:p>
      <w:pPr>
        <w:spacing w:after="160" w:before="0" w:line="300"/>
      </w:pPr>
      <w:r>
        <w:rPr>
          <w:rFonts w:ascii="Arial" w:cs="Arial" w:eastAsia="Arial" w:hAnsi="Arial"/>
          <w:sz w:val="22"/>
          <w:szCs w:val="22"/>
        </w:rPr>
        <w:t xml:space="preserve">Die meisten bauen ihr Portfolio, wie Leute für eine Reise packen, ohne das Ziel zu kennen. Sie häufen Positionen an, die einzeln zum jeweiligen Zeitpunkt Sinn ergaben, und landen bei etwas ohne erkennbaren Zweck. Zufällige Diversifikation ist keine Strategie. Es ist nur Abwechslung.</w:t>
      </w:r>
    </w:p>
    <w:p>
      <w:pPr>
        <w:spacing w:after="160" w:before="0" w:line="300"/>
      </w:pPr>
      <w:r>
        <w:rPr>
          <w:rFonts w:ascii="Arial" w:cs="Arial" w:eastAsia="Arial" w:hAnsi="Arial"/>
          <w:sz w:val="22"/>
          <w:szCs w:val="22"/>
        </w:rPr>
        <w:t xml:space="preserve">Bevor du eine einzige Aktie auswählst, leg deine Allokation nach Zielen fest: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660"/>
        <w:gridCol w:w="160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Topf</w:t>
            </w:r>
          </w:p>
        </w:tc>
        <w:tc>
          <w:tcPr>
            <w:tcW w:type="dxa" w:w="1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Allokation (Beispiel)</w:t>
            </w:r>
          </w:p>
        </w:tc>
        <w:tc>
          <w:tcPr>
            <w:tcW w:type="dxa" w:w="36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Ziel</w:t>
            </w:r>
          </w:p>
        </w:tc>
        <w:tc>
          <w:tcPr>
            <w:tcW w:type="dxa" w:w="16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Methode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Outperformance</w:t>
            </w:r>
          </w:p>
        </w:tc>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50 %</w:t>
            </w:r>
          </w:p>
        </w:tc>
        <w:tc>
          <w:tcPr>
            <w:tcW w:type="dxa" w:w="3660"/>
            <w:tcMar>
              <w:top w:type="dxa" w:w="80"/>
              <w:left w:type="dxa" w:w="100"/>
              <w:bottom w:type="dxa" w:w="80"/>
              <w:right w:type="dxa" w:w="100"/>
            </w:tcMar>
          </w:tcPr>
          <w:p>
            <w:pPr>
              <w:spacing w:after="0"/>
            </w:pPr>
            <w:r>
              <w:rPr>
                <w:rFonts w:ascii="Arial" w:cs="Arial" w:eastAsia="Arial" w:hAnsi="Arial"/>
                <w:b w:val="false"/>
                <w:bCs w:val="false"/>
                <w:sz w:val="19"/>
                <w:szCs w:val="19"/>
              </w:rPr>
              <w:t xml:space="preserve">Benchmark konsistent schlagen</w:t>
            </w:r>
          </w:p>
        </w:tc>
        <w:tc>
          <w:tcPr>
            <w:tcW w:type="dxa" w:w="1600"/>
            <w:tcMar>
              <w:top w:type="dxa" w:w="80"/>
              <w:left w:type="dxa" w:w="100"/>
              <w:bottom w:type="dxa" w:w="80"/>
              <w:right w:type="dxa" w:w="100"/>
            </w:tcMar>
          </w:tcPr>
          <w:p>
            <w:pPr>
              <w:spacing w:after="0"/>
            </w:pPr>
            <w:r>
              <w:rPr>
                <w:rFonts w:ascii="Arial" w:cs="Arial" w:eastAsia="Arial" w:hAnsi="Arial"/>
                <w:b w:val="false"/>
                <w:bCs w:val="false"/>
                <w:sz w:val="19"/>
                <w:szCs w:val="19"/>
              </w:rPr>
              <w:t xml:space="preserve">Strategie 1</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Dividende</w:t>
            </w:r>
          </w:p>
        </w:tc>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30 %</w:t>
            </w:r>
          </w:p>
        </w:tc>
        <w:tc>
          <w:tcPr>
            <w:tcW w:type="dxa" w:w="3660"/>
            <w:tcMar>
              <w:top w:type="dxa" w:w="80"/>
              <w:left w:type="dxa" w:w="100"/>
              <w:bottom w:type="dxa" w:w="80"/>
              <w:right w:type="dxa" w:w="100"/>
            </w:tcMar>
          </w:tcPr>
          <w:p>
            <w:pPr>
              <w:spacing w:after="0"/>
            </w:pPr>
            <w:r>
              <w:rPr>
                <w:rFonts w:ascii="Arial" w:cs="Arial" w:eastAsia="Arial" w:hAnsi="Arial"/>
                <w:b w:val="false"/>
                <w:bCs w:val="false"/>
                <w:sz w:val="19"/>
                <w:szCs w:val="19"/>
              </w:rPr>
              <w:t xml:space="preserve">Stabiles Einkommen, Kapital intakt</w:t>
            </w:r>
          </w:p>
        </w:tc>
        <w:tc>
          <w:tcPr>
            <w:tcW w:type="dxa" w:w="1600"/>
            <w:tcMar>
              <w:top w:type="dxa" w:w="80"/>
              <w:left w:type="dxa" w:w="100"/>
              <w:bottom w:type="dxa" w:w="80"/>
              <w:right w:type="dxa" w:w="100"/>
            </w:tcMar>
          </w:tcPr>
          <w:p>
            <w:pPr>
              <w:spacing w:after="0"/>
            </w:pPr>
            <w:r>
              <w:rPr>
                <w:rFonts w:ascii="Arial" w:cs="Arial" w:eastAsia="Arial" w:hAnsi="Arial"/>
                <w:b w:val="false"/>
                <w:bCs w:val="false"/>
                <w:sz w:val="19"/>
                <w:szCs w:val="19"/>
              </w:rPr>
              <w:t xml:space="preserve">Strategie 2</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Value</w:t>
            </w:r>
          </w:p>
        </w:tc>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20 %</w:t>
            </w:r>
          </w:p>
        </w:tc>
        <w:tc>
          <w:tcPr>
            <w:tcW w:type="dxa" w:w="3660"/>
            <w:tcMar>
              <w:top w:type="dxa" w:w="80"/>
              <w:left w:type="dxa" w:w="100"/>
              <w:bottom w:type="dxa" w:w="80"/>
              <w:right w:type="dxa" w:w="100"/>
            </w:tcMar>
          </w:tcPr>
          <w:p>
            <w:pPr>
              <w:spacing w:after="0"/>
            </w:pPr>
            <w:r>
              <w:rPr>
                <w:rFonts w:ascii="Arial" w:cs="Arial" w:eastAsia="Arial" w:hAnsi="Arial"/>
                <w:b w:val="false"/>
                <w:bCs w:val="false"/>
                <w:sz w:val="19"/>
                <w:szCs w:val="19"/>
              </w:rPr>
              <w:t xml:space="preserve">Unterbewertete Qualität, langer Horizont</w:t>
            </w:r>
          </w:p>
        </w:tc>
        <w:tc>
          <w:tcPr>
            <w:tcW w:type="dxa" w:w="1600"/>
            <w:tcMar>
              <w:top w:type="dxa" w:w="80"/>
              <w:left w:type="dxa" w:w="100"/>
              <w:bottom w:type="dxa" w:w="80"/>
              <w:right w:type="dxa" w:w="100"/>
            </w:tcMar>
          </w:tcPr>
          <w:p>
            <w:pPr>
              <w:spacing w:after="0"/>
            </w:pPr>
            <w:r>
              <w:rPr>
                <w:rFonts w:ascii="Arial" w:cs="Arial" w:eastAsia="Arial" w:hAnsi="Arial"/>
                <w:b w:val="false"/>
                <w:bCs w:val="false"/>
                <w:sz w:val="19"/>
                <w:szCs w:val="19"/>
              </w:rPr>
              <w:t xml:space="preserve">Strategie 3</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Das sind Beispielzahlen. Deine Allokation hängt von deiner tatsächlichen Situation ab – Einkommensbedarf, Zeithorizont, Toleranz für Schwankungen. Der Punkt ist: Die Allokation kommt zuerst, als bewusste Entscheidung, nicht als Restgröße einzelner Aktienkäufe.</w:t>
      </w:r>
    </w:p>
    <w:p>
      <w:pPr>
        <w:spacing w:after="160" w:before="0" w:line="300"/>
      </w:pPr>
      <w:r>
        <w:rPr>
          <w:rFonts w:ascii="Arial" w:cs="Arial" w:eastAsia="Arial" w:hAnsi="Arial"/>
          <w:sz w:val="22"/>
          <w:szCs w:val="22"/>
        </w:rPr>
        <w:t xml:space="preserve">Sind die Töpfe definiert, wird jeder unabhängig mit seiner eigenen Methode gefüllt. Outperformance-Aktien werden nicht nach Rendite gefiltert. Dividendenaktien werden nicht nach Wachstumspotenzial ausgewählt. Value-Aktien werden nicht nach Trend rangiert. Jeder Topf hat ein Ziel und einen Satz K.-o.-Filter, der zu diesem Ziel passt.</w:t>
      </w:r>
    </w:p>
    <w:p>
      <w:pPr>
        <w:pBdr>
          <w:left w:val="single" w:color="1F3A5F" w:sz="18" w:space="12"/>
        </w:pBdr>
        <w:spacing w:after="240" w:before="200" w:line="300"/>
        <w:ind w:left="567"/>
      </w:pPr>
      <w:r>
        <w:rPr>
          <w:rFonts w:ascii="Arial" w:cs="Arial" w:eastAsia="Arial" w:hAnsi="Arial"/>
          <w:i/>
          <w:iCs/>
          <w:color w:val="1F3A5F"/>
          <w:sz w:val="24"/>
          <w:szCs w:val="24"/>
        </w:rPr>
        <w:t xml:space="preserve">„So wird das Portfolio diversifiziert durch Design statt durch Zufall. Unterschiedliche Ziele ziehen unterschiedliche Aktien an. Diversifikation muss nicht konstruiert werden – sie folgt aus der Struktur."</w:t>
      </w:r>
    </w:p>
    <w:p>
      <w:pPr>
        <w:spacing w:after="160" w:before="0" w:line="300"/>
      </w:pPr>
      <w:r>
        <w:rPr>
          <w:rFonts w:ascii="Arial" w:cs="Arial" w:eastAsia="Arial" w:hAnsi="Arial"/>
          <w:sz w:val="22"/>
          <w:szCs w:val="22"/>
        </w:rPr>
        <w:t xml:space="preserve">Das Ergebnis ist ein Portfolio, bei dem du für jede Position beantworten kannst: Warum ist die hier, und was soll sie tun? Das klingt nach einer niedrigen Hürde. Für die meisten Portfolios ist sie es nicht.</w:t>
      </w:r>
    </w:p>
    <w:p>
      <w:pPr>
        <w:pageBreakBefore/>
        <w:spacing w:after="200" w:before="0" w:line="300"/>
      </w:pPr>
      <w:r>
        <w:rPr>
          <w:rFonts w:ascii="Arial" w:cs="Arial" w:eastAsia="Arial" w:hAnsi="Arial"/>
          <w:i/>
          <w:iCs/>
          <w:color w:val="666666"/>
          <w:sz w:val="20"/>
          <w:szCs w:val="20"/>
        </w:rPr>
        <w:t xml:space="preserve">Fazit</w:t>
      </w:r>
    </w:p>
    <w:p>
      <w:pPr>
        <w:pStyle w:val="Heading1"/>
        <w:spacing w:after="240" w:before="0"/>
      </w:pPr>
      <w:r>
        <w:rPr>
          <w:rFonts w:ascii="Arial" w:cs="Arial" w:eastAsia="Arial" w:hAnsi="Arial"/>
          <w:b/>
          <w:bCs/>
          <w:color w:val="1F3A5F"/>
          <w:sz w:val="40"/>
          <w:szCs w:val="40"/>
        </w:rPr>
        <w:t xml:space="preserve">Die Frage hinter der Frage</w:t>
      </w:r>
    </w:p>
    <w:p>
      <w:pPr>
        <w:spacing w:after="160" w:before="0" w:line="300"/>
      </w:pPr>
      <w:r>
        <w:rPr>
          <w:rFonts w:ascii="Arial" w:cs="Arial" w:eastAsia="Arial" w:hAnsi="Arial"/>
          <w:sz w:val="22"/>
          <w:szCs w:val="22"/>
        </w:rPr>
        <w:t xml:space="preserve">Die meisten Ratschläge zur Aktienauswahl haben die Form von Antworten. Kauf Qualität. Diversifiziere. Such nach Burggräben. Meide hohe Schulden. Die Ratschläge sind nicht falsch. Sie sind nur nicht spezifisch genug, um nützlich zu sein, weil sie die Frage überspringen, die zuerst kommen sollte.</w:t>
      </w:r>
    </w:p>
    <w:p>
      <w:pPr>
        <w:spacing w:after="160" w:before="0" w:line="300"/>
      </w:pPr>
      <w:r>
        <w:rPr>
          <w:rFonts w:ascii="Arial" w:cs="Arial" w:eastAsia="Arial" w:hAnsi="Arial"/>
          <w:b/>
          <w:bCs/>
          <w:sz w:val="22"/>
          <w:szCs w:val="22"/>
        </w:rPr>
        <w:t xml:space="preserve">Was muss dein Portfolio leisten?</w:t>
      </w:r>
    </w:p>
    <w:p>
      <w:pPr>
        <w:spacing w:after="160" w:before="0" w:line="300"/>
      </w:pPr>
      <w:r>
        <w:rPr>
          <w:rFonts w:ascii="Arial" w:cs="Arial" w:eastAsia="Arial" w:hAnsi="Arial"/>
          <w:sz w:val="22"/>
          <w:szCs w:val="22"/>
        </w:rPr>
        <w:t xml:space="preserve">Nicht abstrakt. Nicht „über die Zeit wachsen" oder „die Inflation schlagen". Konkret – muss es in den nächsten drei Jahren Cash erzeugen? Muss es einen Drawdown von 40 % überstehen, ohne dass du verkaufst? Muss es einen Index schlagen, an dem du gemessen wirst, oder muss es dich schlafen lassen?</w:t>
      </w:r>
    </w:p>
    <w:p>
      <w:pPr>
        <w:spacing w:after="160" w:before="0" w:line="300"/>
      </w:pPr>
      <w:r>
        <w:rPr>
          <w:rFonts w:ascii="Arial" w:cs="Arial" w:eastAsia="Arial" w:hAnsi="Arial"/>
          <w:sz w:val="22"/>
          <w:szCs w:val="22"/>
        </w:rPr>
        <w:t xml:space="preserve">Die Antwort auf diese Frage bestimmt alles Weitere. Die Kennzahlen, die zählen. Die Filter, die dich schützen. Die Kandidaten, die auf die Liste kommen.</w:t>
      </w:r>
    </w:p>
    <w:p>
      <w:pPr>
        <w:spacing w:after="160" w:before="0" w:line="300"/>
      </w:pPr>
      <w:r>
        <w:rPr>
          <w:rFonts w:ascii="Arial" w:cs="Arial" w:eastAsia="Arial" w:hAnsi="Arial"/>
          <w:sz w:val="22"/>
          <w:szCs w:val="22"/>
        </w:rPr>
        <w:t xml:space="preserve">Dieser Guide hat ein Framework dafür vorgelegt. Es hat eine Eigenschaft, die den meisten Screening-Ansätzen fehlt: Es zwingt dich zu entscheiden, was du willst, bevor es dich anschauen lässt, was es gibt. Diese Reihenfolge ist wichtiger als jedes einzelne Kriterium.</w:t>
      </w:r>
    </w:p>
    <w:p>
      <w:pPr>
        <w:shd w:fill="F2F4F7" w:val="clear"/>
        <w:spacing w:after="240" w:before="120" w:line="300"/>
        <w:ind w:left="284" w:right="284"/>
      </w:pPr>
      <w:r>
        <w:rPr>
          <w:rFonts w:ascii="Arial" w:cs="Arial" w:eastAsia="Arial" w:hAnsi="Arial"/>
          <w:sz w:val="22"/>
          <w:szCs w:val="22"/>
        </w:rPr>
        <w:t xml:space="preserve">Die meisten Anleger finden eine Aktie, die ihnen gefällt, und reden sich dann ein, dass sie zu ihren Zielen passt. Die Methode hier läuft in die Gegenrichtung.</w:t>
      </w:r>
    </w:p>
    <w:p>
      <w:pPr>
        <w:spacing w:after="160" w:before="0" w:line="300"/>
      </w:pPr>
      <w:r>
        <w:rPr>
          <w:rFonts w:ascii="Arial" w:cs="Arial" w:eastAsia="Arial" w:hAnsi="Arial"/>
          <w:sz w:val="22"/>
          <w:szCs w:val="22"/>
        </w:rPr>
        <w:t xml:space="preserve">Die Negativbeispiele in diesem Guide – AT&amp;T, Snap, die Aktien, die richtig aussahen, bis sie es nicht mehr taten – sind keine Warngeschichten über schlechte Unternehmen. Sie zeigen, was passiert, wenn Auswahlkriterien geborgt statt hergeleitet werden. Wenn Rendite mit Qualität verwechselt wird. Wenn vergangene Performance in einem günstigen Fenster mit Konsistenz verwechselt wird. Wenn die Ausgabe eines Screeners mit einer Entscheidung verwechselt wird.</w:t>
      </w:r>
    </w:p>
    <w:p>
      <w:pPr>
        <w:spacing w:after="160" w:before="0" w:line="300"/>
      </w:pPr>
      <w:r>
        <w:rPr>
          <w:rFonts w:ascii="Arial" w:cs="Arial" w:eastAsia="Arial" w:hAnsi="Arial"/>
          <w:sz w:val="22"/>
          <w:szCs w:val="22"/>
        </w:rPr>
        <w:t xml:space="preserve">Das Framework beseitigt kein Risiko. Nichts tut das. Was es beseitigt, ist das spezifische, vermeidbare Risiko, gar nicht zu wissen, wonach du eigentlich ausgewählt hast.</w:t>
      </w:r>
    </w:p>
    <w:p>
      <w:pPr>
        <w:spacing w:after="160" w:before="0" w:line="300"/>
      </w:pPr>
      <w:r>
        <w:rPr>
          <w:rFonts w:ascii="Arial" w:cs="Arial" w:eastAsia="Arial" w:hAnsi="Arial"/>
          <w:b/>
          <w:bCs/>
          <w:sz w:val="22"/>
          <w:szCs w:val="22"/>
        </w:rPr>
        <w:t xml:space="preserve">Ziel zuerst. Constraints danach. Portfolio durch Design, nicht durch Zufall.</w:t>
      </w:r>
    </w:p>
    <w:p>
      <w:pPr>
        <w:spacing w:after="160" w:before="0" w:line="300"/>
      </w:pPr>
      <w:r>
        <w:rPr>
          <w:rFonts w:ascii="Arial" w:cs="Arial" w:eastAsia="Arial" w:hAnsi="Arial"/>
          <w:sz w:val="22"/>
          <w:szCs w:val="22"/>
        </w:rPr>
        <w:t xml:space="preserve">Der Rest ist Umsetzung.</w:t>
      </w:r>
    </w:p>
    <w:p>
      <w:pPr>
        <w:spacing w:after="120" w:before="0" w:line="300"/>
      </w:pPr>
      <w:r>
        <w:rPr>
          <w:rFonts w:ascii="Arial" w:cs="Arial" w:eastAsia="Arial" w:hAnsi="Arial"/>
          <w:sz w:val="22"/>
          <w:szCs w:val="22"/>
        </w:rPr>
        <w:t xml:space="preserve"/>
      </w:r>
    </w:p>
    <w:p>
      <w:pPr>
        <w:shd w:fill="F2F4F7" w:val="clear"/>
        <w:spacing w:after="240" w:before="120" w:line="300"/>
        <w:ind w:left="284" w:right="284"/>
      </w:pPr>
      <w:r>
        <w:rPr>
          <w:rFonts w:ascii="Arial" w:cs="Arial" w:eastAsia="Arial" w:hAnsi="Arial"/>
          <w:sz w:val="22"/>
          <w:szCs w:val="22"/>
        </w:rPr>
        <w:t xml:space="preserve">Die Methode in diesem Guide funktioniert ohne Werkzeuge. Wenn du sie irgendwann automatisch über Hunderte von Tickern laufen lassen willst – Teil 2 dieser Reihe behandelt die Python-Implementierung desselben Frameworks. Enthalten: eine Datenqualitätsschicht, die schlechte Daten abfängt, bevor sie den Screener erreichen, eine konfigurierbare Kern-Screening-Funktion, drei diagnostische Metriken und Strategievarianten für Dividendeneinkommen und Low Volatility. Die Logik ist identisch. Der Unterschied ist die Skalierung.</w:t>
      </w:r>
    </w:p>
    <w:p>
      <w:pPr>
        <w:spacing w:after="160" w:before="0" w:line="300"/>
      </w:pPr>
      <w:r>
        <w:rPr>
          <w:rFonts w:ascii="Arial" w:cs="Arial" w:eastAsia="Arial" w:hAnsi="Arial"/>
          <w:b/>
          <w:bCs/>
          <w:sz w:val="22"/>
          <w:szCs w:val="22"/>
        </w:rPr>
        <w:t xml:space="preserve">→ Goal First in Python – erhältlich auf Gumroad.</w:t>
      </w:r>
    </w:p>
    <w:p>
      <w:pPr>
        <w:pageBreakBefore/>
        <w:pStyle w:val="Heading1"/>
        <w:spacing w:after="240" w:before="0"/>
      </w:pPr>
      <w:r>
        <w:rPr>
          <w:rFonts w:ascii="Arial" w:cs="Arial" w:eastAsia="Arial" w:hAnsi="Arial"/>
          <w:b/>
          <w:bCs/>
          <w:color w:val="1F3A5F"/>
          <w:sz w:val="40"/>
          <w:szCs w:val="40"/>
        </w:rPr>
        <w:t xml:space="preserve">Glossar</w:t>
      </w:r>
    </w:p>
    <w:p>
      <w:pPr>
        <w:spacing w:after="240" w:before="0" w:line="300"/>
      </w:pPr>
      <w:r>
        <w:rPr>
          <w:rFonts w:ascii="Arial" w:cs="Arial" w:eastAsia="Arial" w:hAnsi="Arial"/>
          <w:color w:val="666666"/>
          <w:sz w:val="20"/>
          <w:szCs w:val="20"/>
        </w:rPr>
        <w:t xml:space="preserve">Die englischen Begriffe in Klammern sind die aus dem Original und aus Goal First in Python. Dort tauchen sie im Code unverändert auf.</w:t>
      </w:r>
    </w:p>
    <w:p>
      <w:pPr>
        <w:keepNext/>
        <w:spacing w:after="40" w:before="0" w:line="300"/>
      </w:pPr>
      <w:r>
        <w:rPr>
          <w:rFonts w:ascii="Arial" w:cs="Arial" w:eastAsia="Arial" w:hAnsi="Arial"/>
          <w:b/>
          <w:bCs/>
          <w:sz w:val="22"/>
          <w:szCs w:val="22"/>
        </w:rPr>
        <w:t xml:space="preserve">Achterbahnaktie (rollercoaster stock)</w:t>
      </w:r>
    </w:p>
    <w:p>
      <w:pPr>
        <w:spacing w:after="200" w:before="0" w:line="300"/>
        <w:ind w:left="284"/>
      </w:pPr>
      <w:r>
        <w:rPr>
          <w:rFonts w:ascii="Arial" w:cs="Arial" w:eastAsia="Arial" w:hAnsi="Arial"/>
          <w:sz w:val="22"/>
          <w:szCs w:val="22"/>
        </w:rPr>
        <w:t xml:space="preserve">Aktie mit extremen Auf- und Abwärtsphasen, deren Kurs der Geschichte folgt statt den Fundamentaldaten. Sieht in kurzen Zeitfenstern wie ein Gewinner aus.</w:t>
      </w:r>
    </w:p>
    <w:p>
      <w:pPr>
        <w:keepNext/>
        <w:spacing w:after="40" w:before="0" w:line="300"/>
      </w:pPr>
      <w:r>
        <w:rPr>
          <w:rFonts w:ascii="Arial" w:cs="Arial" w:eastAsia="Arial" w:hAnsi="Arial"/>
          <w:b/>
          <w:bCs/>
          <w:sz w:val="22"/>
          <w:szCs w:val="22"/>
        </w:rPr>
        <w:t xml:space="preserve">Ausschüttungsquote (payout ratio)</w:t>
      </w:r>
    </w:p>
    <w:p>
      <w:pPr>
        <w:spacing w:after="200" w:before="0" w:line="300"/>
        <w:ind w:left="284"/>
      </w:pPr>
      <w:r>
        <w:rPr>
          <w:rFonts w:ascii="Arial" w:cs="Arial" w:eastAsia="Arial" w:hAnsi="Arial"/>
          <w:sz w:val="22"/>
          <w:szCs w:val="22"/>
        </w:rPr>
        <w:t xml:space="preserve">Anteil des Gewinns, der als Dividende ausgezahlt wird. Dauerhaft über 90–100 %: Die Dividende wird nicht mehr aus dem laufenden Geschäft finanziert.</w:t>
      </w:r>
    </w:p>
    <w:p>
      <w:pPr>
        <w:keepNext/>
        <w:spacing w:after="40" w:before="0" w:line="300"/>
      </w:pPr>
      <w:r>
        <w:rPr>
          <w:rFonts w:ascii="Arial" w:cs="Arial" w:eastAsia="Arial" w:hAnsi="Arial"/>
          <w:b/>
          <w:bCs/>
          <w:sz w:val="22"/>
          <w:szCs w:val="22"/>
        </w:rPr>
        <w:t xml:space="preserve">Benchmark</w:t>
      </w:r>
    </w:p>
    <w:p>
      <w:pPr>
        <w:spacing w:after="200" w:before="0" w:line="300"/>
        <w:ind w:left="284"/>
      </w:pPr>
      <w:r>
        <w:rPr>
          <w:rFonts w:ascii="Arial" w:cs="Arial" w:eastAsia="Arial" w:hAnsi="Arial"/>
          <w:sz w:val="22"/>
          <w:szCs w:val="22"/>
        </w:rPr>
        <w:t xml:space="preserve">Vergleichsmaßstab, hier der S&amp;P 500. „Die Benchmark schlagen" heißt: in einem Kalenderjahr eine höhere Rendite erzielen als der Index.</w:t>
      </w:r>
    </w:p>
    <w:p>
      <w:pPr>
        <w:keepNext/>
        <w:spacing w:after="40" w:before="0" w:line="300"/>
      </w:pPr>
      <w:r>
        <w:rPr>
          <w:rFonts w:ascii="Arial" w:cs="Arial" w:eastAsia="Arial" w:hAnsi="Arial"/>
          <w:b/>
          <w:bCs/>
          <w:sz w:val="22"/>
          <w:szCs w:val="22"/>
        </w:rPr>
        <w:t xml:space="preserve">Benchmark-Trefferquote (bias score)</w:t>
      </w:r>
    </w:p>
    <w:p>
      <w:pPr>
        <w:spacing w:after="200" w:before="0" w:line="300"/>
        <w:ind w:left="284"/>
      </w:pPr>
      <w:r>
        <w:rPr>
          <w:rFonts w:ascii="Arial" w:cs="Arial" w:eastAsia="Arial" w:hAnsi="Arial"/>
          <w:sz w:val="22"/>
          <w:szCs w:val="22"/>
        </w:rPr>
        <w:t xml:space="preserve">Anteil der Jahre, in denen die Aktie die Benchmark geschlagen hat. 14 von 20 = 0,70. Im Code: bias_score.</w:t>
      </w:r>
    </w:p>
    <w:p>
      <w:pPr>
        <w:keepNext/>
        <w:spacing w:after="40" w:before="0" w:line="300"/>
      </w:pPr>
      <w:r>
        <w:rPr>
          <w:rFonts w:ascii="Arial" w:cs="Arial" w:eastAsia="Arial" w:hAnsi="Arial"/>
          <w:b/>
          <w:bCs/>
          <w:sz w:val="22"/>
          <w:szCs w:val="22"/>
        </w:rPr>
        <w:t xml:space="preserve">Constraint / K.-o.-Kriterium (knock-out criterion)</w:t>
      </w:r>
    </w:p>
    <w:p>
      <w:pPr>
        <w:spacing w:after="200" w:before="0" w:line="300"/>
        <w:ind w:left="284"/>
      </w:pPr>
      <w:r>
        <w:rPr>
          <w:rFonts w:ascii="Arial" w:cs="Arial" w:eastAsia="Arial" w:hAnsi="Arial"/>
          <w:sz w:val="22"/>
          <w:szCs w:val="22"/>
        </w:rPr>
        <w:t xml:space="preserve">Bedingung, deren Verletzung einen Kandidaten ausschließt – ja oder nein, keine Teilpunkte. Schützt das Hauptziel vor einem bestimmten Fehlertyp.</w:t>
      </w:r>
    </w:p>
    <w:p>
      <w:pPr>
        <w:keepNext/>
        <w:spacing w:after="40" w:before="0" w:line="300"/>
      </w:pPr>
      <w:r>
        <w:rPr>
          <w:rFonts w:ascii="Arial" w:cs="Arial" w:eastAsia="Arial" w:hAnsi="Arial"/>
          <w:b/>
          <w:bCs/>
          <w:sz w:val="22"/>
          <w:szCs w:val="22"/>
        </w:rPr>
        <w:t xml:space="preserve">Dividende / Dividendenrendite (dividend yield)</w:t>
      </w:r>
    </w:p>
    <w:p>
      <w:pPr>
        <w:spacing w:after="200" w:before="0" w:line="300"/>
        <w:ind w:left="284"/>
      </w:pPr>
      <w:r>
        <w:rPr>
          <w:rFonts w:ascii="Arial" w:cs="Arial" w:eastAsia="Arial" w:hAnsi="Arial"/>
          <w:sz w:val="22"/>
          <w:szCs w:val="22"/>
        </w:rPr>
        <w:t xml:space="preserve">Gewinnausschüttung je Aktie; die Rendite ist die Dividende im Verhältnis zum Kurs. Fällt der Kurs, steigt die Rendite – ohne dass sich am Unternehmen etwas gebessert hat.</w:t>
      </w:r>
    </w:p>
    <w:p>
      <w:pPr>
        <w:keepNext/>
        <w:spacing w:after="40" w:before="0" w:line="300"/>
      </w:pPr>
      <w:r>
        <w:rPr>
          <w:rFonts w:ascii="Arial" w:cs="Arial" w:eastAsia="Arial" w:hAnsi="Arial"/>
          <w:b/>
          <w:bCs/>
          <w:sz w:val="22"/>
          <w:szCs w:val="22"/>
        </w:rPr>
        <w:t xml:space="preserve">Dividendenfalle (dividend trap)</w:t>
      </w:r>
    </w:p>
    <w:p>
      <w:pPr>
        <w:spacing w:after="200" w:before="0" w:line="300"/>
        <w:ind w:left="284"/>
      </w:pPr>
      <w:r>
        <w:rPr>
          <w:rFonts w:ascii="Arial" w:cs="Arial" w:eastAsia="Arial" w:hAnsi="Arial"/>
          <w:sz w:val="22"/>
          <w:szCs w:val="22"/>
        </w:rPr>
        <w:t xml:space="preserve">Hohe Dividendenrendite, die nur deshalb hoch ist, weil der Kurs fällt. Das Einkommen ist in Wahrheit eine Kapitalrückzahlung.</w:t>
      </w:r>
    </w:p>
    <w:p>
      <w:pPr>
        <w:keepNext/>
        <w:spacing w:after="40" w:before="0" w:line="300"/>
      </w:pPr>
      <w:r>
        <w:rPr>
          <w:rFonts w:ascii="Arial" w:cs="Arial" w:eastAsia="Arial" w:hAnsi="Arial"/>
          <w:b/>
          <w:bCs/>
          <w:sz w:val="22"/>
          <w:szCs w:val="22"/>
        </w:rPr>
        <w:t xml:space="preserve">Drawdown</w:t>
      </w:r>
    </w:p>
    <w:p>
      <w:pPr>
        <w:spacing w:after="200" w:before="0" w:line="300"/>
        <w:ind w:left="284"/>
      </w:pPr>
      <w:r>
        <w:rPr>
          <w:rFonts w:ascii="Arial" w:cs="Arial" w:eastAsia="Arial" w:hAnsi="Arial"/>
          <w:sz w:val="22"/>
          <w:szCs w:val="22"/>
        </w:rPr>
        <w:t xml:space="preserve">Rückgang vom Höchststand bis zum folgenden Tiefstand, in Prozent. Der maximale Drawdown (max drawdown) ist der größte solche Rückgang im betrachteten Zeitraum.</w:t>
      </w:r>
    </w:p>
    <w:p>
      <w:pPr>
        <w:keepNext/>
        <w:spacing w:after="40" w:before="0" w:line="300"/>
      </w:pPr>
      <w:r>
        <w:rPr>
          <w:rFonts w:ascii="Arial" w:cs="Arial" w:eastAsia="Arial" w:hAnsi="Arial"/>
          <w:b/>
          <w:bCs/>
          <w:sz w:val="22"/>
          <w:szCs w:val="22"/>
        </w:rPr>
        <w:t xml:space="preserve">Free-Cashflow-Rendite (free cash flow yield)</w:t>
      </w:r>
    </w:p>
    <w:p>
      <w:pPr>
        <w:spacing w:after="200" w:before="0" w:line="300"/>
        <w:ind w:left="284"/>
      </w:pPr>
      <w:r>
        <w:rPr>
          <w:rFonts w:ascii="Arial" w:cs="Arial" w:eastAsia="Arial" w:hAnsi="Arial"/>
          <w:sz w:val="22"/>
          <w:szCs w:val="22"/>
        </w:rPr>
        <w:t xml:space="preserve">Freier Cashflow im Verhältnis zum Marktwert. Zeigt, was das Geschäft tatsächlich erwirtschaftet, unabhängig vom ausgewiesenen Gewinn.</w:t>
      </w:r>
    </w:p>
    <w:p>
      <w:pPr>
        <w:keepNext/>
        <w:spacing w:after="40" w:before="0" w:line="300"/>
      </w:pPr>
      <w:r>
        <w:rPr>
          <w:rFonts w:ascii="Arial" w:cs="Arial" w:eastAsia="Arial" w:hAnsi="Arial"/>
          <w:b/>
          <w:bCs/>
          <w:sz w:val="22"/>
          <w:szCs w:val="22"/>
        </w:rPr>
        <w:t xml:space="preserve">Gesamtrendite (total return)</w:t>
      </w:r>
    </w:p>
    <w:p>
      <w:pPr>
        <w:spacing w:after="200" w:before="0" w:line="300"/>
        <w:ind w:left="284"/>
      </w:pPr>
      <w:r>
        <w:rPr>
          <w:rFonts w:ascii="Arial" w:cs="Arial" w:eastAsia="Arial" w:hAnsi="Arial"/>
          <w:sz w:val="22"/>
          <w:szCs w:val="22"/>
        </w:rPr>
        <w:t xml:space="preserve">Kursveränderung plus Dividenden. Die Zahl, die tatsächlich auf dem Konto landet.</w:t>
      </w:r>
    </w:p>
    <w:p>
      <w:pPr>
        <w:keepNext/>
        <w:spacing w:after="40" w:before="0" w:line="300"/>
      </w:pPr>
      <w:r>
        <w:rPr>
          <w:rFonts w:ascii="Arial" w:cs="Arial" w:eastAsia="Arial" w:hAnsi="Arial"/>
          <w:b/>
          <w:bCs/>
          <w:sz w:val="22"/>
          <w:szCs w:val="22"/>
        </w:rPr>
        <w:t xml:space="preserve">Index</w:t>
      </w:r>
    </w:p>
    <w:p>
      <w:pPr>
        <w:spacing w:after="200" w:before="0" w:line="300"/>
        <w:ind w:left="284"/>
      </w:pPr>
      <w:r>
        <w:rPr>
          <w:rFonts w:ascii="Arial" w:cs="Arial" w:eastAsia="Arial" w:hAnsi="Arial"/>
          <w:sz w:val="22"/>
          <w:szCs w:val="22"/>
        </w:rPr>
        <w:t xml:space="preserve">Rechnerischer Korb vieler Aktien, der einen Markt abbildet – der S&amp;P 500 die 500 größten US-Unternehmen. Dient als Benchmark.</w:t>
      </w:r>
    </w:p>
    <w:p>
      <w:pPr>
        <w:keepNext/>
        <w:spacing w:after="40" w:before="0" w:line="300"/>
      </w:pPr>
      <w:r>
        <w:rPr>
          <w:rFonts w:ascii="Arial" w:cs="Arial" w:eastAsia="Arial" w:hAnsi="Arial"/>
          <w:b/>
          <w:bCs/>
          <w:sz w:val="22"/>
          <w:szCs w:val="22"/>
        </w:rPr>
        <w:t xml:space="preserve">Kalenderjahr-Rendite</w:t>
      </w:r>
    </w:p>
    <w:p>
      <w:pPr>
        <w:spacing w:after="200" w:before="0" w:line="300"/>
        <w:ind w:left="284"/>
      </w:pPr>
      <w:r>
        <w:rPr>
          <w:rFonts w:ascii="Arial" w:cs="Arial" w:eastAsia="Arial" w:hAnsi="Arial"/>
          <w:sz w:val="22"/>
          <w:szCs w:val="22"/>
        </w:rPr>
        <w:t xml:space="preserve">Rendite vom 1. Januar bis 31. Dezember. Die Methode zählt in Kalenderjahren, nicht in rollierenden 12-Monats-Fenstern.</w:t>
      </w:r>
    </w:p>
    <w:p>
      <w:pPr>
        <w:keepNext/>
        <w:spacing w:after="40" w:before="0" w:line="300"/>
      </w:pPr>
      <w:r>
        <w:rPr>
          <w:rFonts w:ascii="Arial" w:cs="Arial" w:eastAsia="Arial" w:hAnsi="Arial"/>
          <w:b/>
          <w:bCs/>
          <w:sz w:val="22"/>
          <w:szCs w:val="22"/>
        </w:rPr>
        <w:t xml:space="preserve">KGV / KBV (P/E, P/B)</w:t>
      </w:r>
    </w:p>
    <w:p>
      <w:pPr>
        <w:spacing w:after="200" w:before="0" w:line="300"/>
        <w:ind w:left="284"/>
      </w:pPr>
      <w:r>
        <w:rPr>
          <w:rFonts w:ascii="Arial" w:cs="Arial" w:eastAsia="Arial" w:hAnsi="Arial"/>
          <w:sz w:val="22"/>
          <w:szCs w:val="22"/>
        </w:rPr>
        <w:t xml:space="preserve">Kurs-Gewinn-Verhältnis und Kurs-Buchwert-Verhältnis. Gängige Bewertungskennzahlen; sagen nichts über Richtung oder Qualität.</w:t>
      </w:r>
    </w:p>
    <w:p>
      <w:pPr>
        <w:keepNext/>
        <w:spacing w:after="40" w:before="0" w:line="300"/>
      </w:pPr>
      <w:r>
        <w:rPr>
          <w:rFonts w:ascii="Arial" w:cs="Arial" w:eastAsia="Arial" w:hAnsi="Arial"/>
          <w:b/>
          <w:bCs/>
          <w:sz w:val="22"/>
          <w:szCs w:val="22"/>
        </w:rPr>
        <w:t xml:space="preserve">Lexikografische Präferenz</w:t>
      </w:r>
    </w:p>
    <w:p>
      <w:pPr>
        <w:spacing w:after="200" w:before="0" w:line="300"/>
        <w:ind w:left="284"/>
      </w:pPr>
      <w:r>
        <w:rPr>
          <w:rFonts w:ascii="Arial" w:cs="Arial" w:eastAsia="Arial" w:hAnsi="Arial"/>
          <w:sz w:val="22"/>
          <w:szCs w:val="22"/>
        </w:rPr>
        <w:t xml:space="preserve">Entscheidungsregel: erst nach dem wichtigsten Kriterium sortieren; weitere Kriterien nur zur Unterscheidung von Kandidaten, die das erste erfüllen.</w:t>
      </w:r>
    </w:p>
    <w:p>
      <w:pPr>
        <w:keepNext/>
        <w:spacing w:after="40" w:before="0" w:line="300"/>
      </w:pPr>
      <w:r>
        <w:rPr>
          <w:rFonts w:ascii="Arial" w:cs="Arial" w:eastAsia="Arial" w:hAnsi="Arial"/>
          <w:b/>
          <w:bCs/>
          <w:sz w:val="22"/>
          <w:szCs w:val="22"/>
        </w:rPr>
        <w:t xml:space="preserve">Ticker</w:t>
      </w:r>
    </w:p>
    <w:p>
      <w:pPr>
        <w:spacing w:after="200" w:before="0" w:line="300"/>
        <w:ind w:left="284"/>
      </w:pPr>
      <w:r>
        <w:rPr>
          <w:rFonts w:ascii="Arial" w:cs="Arial" w:eastAsia="Arial" w:hAnsi="Arial"/>
          <w:sz w:val="22"/>
          <w:szCs w:val="22"/>
        </w:rPr>
        <w:t xml:space="preserve">Börsenkürzel einer Aktie (T für AT&amp;T, SNAP für Snap). ^GSPC ist das Kürzel des S&amp;P 500.</w:t>
      </w:r>
    </w:p>
    <w:p>
      <w:pPr>
        <w:keepNext/>
        <w:spacing w:after="40" w:before="0" w:line="300"/>
      </w:pPr>
      <w:r>
        <w:rPr>
          <w:rFonts w:ascii="Arial" w:cs="Arial" w:eastAsia="Arial" w:hAnsi="Arial"/>
          <w:b/>
          <w:bCs/>
          <w:sz w:val="22"/>
          <w:szCs w:val="22"/>
        </w:rPr>
        <w:t xml:space="preserve">Universum (universe)</w:t>
      </w:r>
    </w:p>
    <w:p>
      <w:pPr>
        <w:spacing w:after="200" w:before="0" w:line="300"/>
        <w:ind w:left="284"/>
      </w:pPr>
      <w:r>
        <w:rPr>
          <w:rFonts w:ascii="Arial" w:cs="Arial" w:eastAsia="Arial" w:hAnsi="Arial"/>
          <w:sz w:val="22"/>
          <w:szCs w:val="22"/>
        </w:rPr>
        <w:t xml:space="preserve">Die Menge der Aktien, aus der ausgewählt wird – zum Beispiel die Mitglieder des S&amp;P 500.</w:t>
      </w:r>
    </w:p>
    <w:p>
      <w:pPr>
        <w:keepNext/>
        <w:spacing w:after="40" w:before="0" w:line="300"/>
      </w:pPr>
      <w:r>
        <w:rPr>
          <w:rFonts w:ascii="Arial" w:cs="Arial" w:eastAsia="Arial" w:hAnsi="Arial"/>
          <w:b/>
          <w:bCs/>
          <w:sz w:val="22"/>
          <w:szCs w:val="22"/>
        </w:rPr>
        <w:t xml:space="preserve">Verlustjahr (loss year)</w:t>
      </w:r>
    </w:p>
    <w:p>
      <w:pPr>
        <w:spacing w:after="200" w:before="0" w:line="300"/>
        <w:ind w:left="284"/>
      </w:pPr>
      <w:r>
        <w:rPr>
          <w:rFonts w:ascii="Arial" w:cs="Arial" w:eastAsia="Arial" w:hAnsi="Arial"/>
          <w:sz w:val="22"/>
          <w:szCs w:val="22"/>
        </w:rPr>
        <w:t xml:space="preserve">Kalenderjahr mit negativer absoluter Rendite. Die Verlustjahrquote (loss year ratio) ist der Anteil der Verlustjahre an allen betrachteten Jahren. Im Code: loss_year_ratio.</w:t>
      </w:r>
    </w:p>
    <w:p>
      <w:pPr>
        <w:keepNext/>
        <w:spacing w:after="40" w:before="0" w:line="300"/>
      </w:pPr>
      <w:r>
        <w:rPr>
          <w:rFonts w:ascii="Arial" w:cs="Arial" w:eastAsia="Arial" w:hAnsi="Arial"/>
          <w:b/>
          <w:bCs/>
          <w:sz w:val="22"/>
          <w:szCs w:val="22"/>
        </w:rPr>
        <w:t xml:space="preserve">Volatilität</w:t>
      </w:r>
    </w:p>
    <w:p>
      <w:pPr>
        <w:spacing w:after="200" w:before="0" w:line="300"/>
        <w:ind w:left="284"/>
      </w:pPr>
      <w:r>
        <w:rPr>
          <w:rFonts w:ascii="Arial" w:cs="Arial" w:eastAsia="Arial" w:hAnsi="Arial"/>
          <w:sz w:val="22"/>
          <w:szCs w:val="22"/>
        </w:rPr>
        <w:t xml:space="preserve">Schwankungsbreite der Renditen, gemessen als annualisierte Standardabweichung. Niedrige Volatilität: ruhiger Kursverlauf, nicht automatisch niedriges Risiko.</w:t>
      </w:r>
    </w:p>
    <w:p>
      <w:pPr>
        <w:pageBreakBefore/>
        <w:pStyle w:val="Heading1"/>
        <w:spacing w:after="240" w:before="0"/>
      </w:pPr>
      <w:r>
        <w:rPr>
          <w:rFonts w:ascii="Arial" w:cs="Arial" w:eastAsia="Arial" w:hAnsi="Arial"/>
          <w:b/>
          <w:bCs/>
          <w:color w:val="1F3A5F"/>
          <w:sz w:val="40"/>
          <w:szCs w:val="40"/>
        </w:rPr>
        <w:t xml:space="preserve">Über die Autorin</w:t>
      </w:r>
    </w:p>
    <w:p>
      <w:pPr>
        <w:spacing w:after="160" w:before="0" w:line="300"/>
      </w:pPr>
      <w:r>
        <w:rPr>
          <w:rFonts w:ascii="Arial" w:cs="Arial" w:eastAsia="Arial" w:hAnsi="Arial"/>
          <w:sz w:val="22"/>
          <w:szCs w:val="22"/>
        </w:rPr>
        <w:t>Leverage Thinking ist das Pseudonym von Laura Kruse-Stecher. Aktieninvestorin seit über zwanzig Jahren. Proprietäre Algorithmen zur Aktienauswahl im Live-Handel. Datenintegritäts- und Backtesting-Infrastruktur: Python, PostgreSQL/TimescaleDB. Ökonomin, geschäftsführende Gesellschafterin der Elcando GmbH. Die Praxis aus der Einleitung des ersten Guides wurde durch die Krise gebracht und später verkauft.</w:t>
      </w:r>
    </w:p>
    <w:p>
      <w:pPr>
        <w:spacing w:after="160" w:before="0" w:line="300"/>
      </w:pPr>
      <w:r>
        <w:rPr>
          <w:rFonts w:ascii="Arial" w:cs="Arial" w:eastAsia="Arial" w:hAnsi="Arial"/>
          <w:sz w:val="22"/>
          <w:szCs w:val="22"/>
        </w:rPr>
        <w:t xml:space="preserve">Fragen, Anmerkungen, Custom-Builds: über Gumroad.</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Code &amp; Updates</w:t>
      </w:r>
    </w:p>
    <w:p>
      <w:pPr>
        <w:spacing w:after="160" w:before="0" w:line="300"/>
      </w:pPr>
      <w:r>
        <w:rPr>
          <w:rFonts w:ascii="Arial" w:cs="Arial" w:eastAsia="Arial" w:hAnsi="Arial"/>
          <w:sz w:val="22"/>
          <w:szCs w:val="22"/>
        </w:rPr>
        <w:t xml:space="preserve">Der Code zu diesem Framework – Datenqualitätsschicht, Screener und Metriken aus Goal First in Python – liegt in einem öffentlichen Repository:</w:t>
      </w:r>
    </w:p>
    <w:p>
      <w:pPr>
        <w:spacing w:after="160" w:before="0" w:line="300"/>
      </w:pPr>
      <w:r>
        <w:rPr>
          <w:rFonts w:ascii="Arial" w:cs="Arial" w:eastAsia="Arial" w:hAnsi="Arial"/>
          <w:b/>
          <w:bCs/>
          <w:sz w:val="22"/>
          <w:szCs w:val="22"/>
        </w:rPr>
        <w:t xml:space="preserve">https://github.com/Elcando-GmbH/goal-first</w:t>
      </w:r>
    </w:p>
    <w:p>
      <w:pPr>
        <w:spacing w:after="160" w:before="0" w:line="300"/>
      </w:pPr>
      <w:r>
        <w:rPr>
          <w:rFonts w:ascii="Arial" w:cs="Arial" w:eastAsia="Arial" w:hAnsi="Arial"/>
          <w:sz w:val="22"/>
          <w:szCs w:val="22"/>
        </w:rPr>
        <w:t xml:space="preserve">Dort findest du auch Korrekturen und Aktualisierungen zu beiden Guides. Hinweise auf Fehler sind willkommen – über Gumroad oder direkt im Repository. Der Code steht unter der MIT-Lizenz.</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Impressum</w:t>
      </w:r>
    </w:p>
    <w:p>
      <w:pPr>
        <w:spacing w:after="160" w:before="0" w:line="300"/>
      </w:pPr>
      <w:r>
        <w:rPr>
          <w:rFonts w:ascii="Arial" w:cs="Arial" w:eastAsia="Arial" w:hAnsi="Arial"/>
          <w:sz w:val="22"/>
          <w:szCs w:val="22"/>
        </w:rPr>
        <w:t xml:space="preserve">Autorin: Laura Kruse-Stecher, unter dem Pseudonym Leverage Thinking.</w:t>
      </w:r>
    </w:p>
    <w:p>
      <w:pPr>
        <w:spacing w:after="160" w:before="0" w:line="300"/>
      </w:pPr>
      <w:r>
        <w:rPr>
          <w:rFonts w:ascii="Arial" w:cs="Arial" w:eastAsia="Arial" w:hAnsi="Arial"/>
          <w:sz w:val="22"/>
          <w:szCs w:val="22"/>
        </w:rPr>
        <w:t xml:space="preserve">Impressum und Kontakt: leveragethinking.gumroad.com</w:t>
      </w:r>
    </w:p>
    <w:p>
      <w:pPr>
        <w:spacing w:after="160" w:before="0" w:line="300"/>
      </w:pPr>
      <w:r>
        <w:rPr>
          <w:rFonts w:ascii="Arial" w:cs="Arial" w:eastAsia="Arial" w:hAnsi="Arial"/>
          <w:sz w:val="22"/>
          <w:szCs w:val="22"/>
        </w:rPr>
        <w:t xml:space="preserve">Dieser Guide wurde unter Einsatz von KI-Werkzeugen für Recherche, Übersetzung und Textarbeit erstellt. Methode, Inhalte, Beispiele und alle Entscheidungen stammen von der Autorin.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Nur zu Informationszwecken. Keine Anlageberatung.</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pPr>
    <w:r>
      <w:rPr>
        <w:rFonts w:ascii="Arial" w:cs="Arial" w:eastAsia="Arial" w:hAnsi="Arial"/>
        <w:color w:val="666666"/>
        <w:sz w:val="16"/>
        <w:szCs w:val="16"/>
      </w:rPr>
      <w:t xml:space="preserve">LEVERAGE THINKING</w:t>
    </w:r>
    <w:r>
      <w:rPr>
        <w:rFonts w:ascii="Arial" w:cs="Arial" w:eastAsia="Arial" w:hAnsi="Arial"/>
        <w:color w:val="666666"/>
        <w:sz w:val="16"/>
        <w:szCs w:val="16"/>
      </w:rPr>
      <w:t xml:space="preserve">	Goal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2026-10-23T11:19:47.619Z</dcterms:created>
  <dcterms:modified xsi:type="dcterms:W3CDTF">2026-10-23T11:19:47.620Z</dcterms:modified>
</cp:coreProperties>
</file>

<file path=docProps/custom.xml><?xml version="1.0" encoding="utf-8"?>
<Properties xmlns="http://schemas.openxmlformats.org/officeDocument/2006/custom-properties" xmlns:vt="http://schemas.openxmlformats.org/officeDocument/2006/docPropsVTypes"/>
</file>