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2400" w:line="300"/>
        <w:jc w:val="center"/>
      </w:pPr>
      <w:r>
        <w:rPr>
          <w:rFonts w:ascii="Arial" w:cs="Arial" w:eastAsia="Arial" w:hAnsi="Arial"/>
          <w:caps/>
          <w:color w:val="666666"/>
          <w:sz w:val="20"/>
          <w:szCs w:val="20"/>
        </w:rPr>
        <w:t xml:space="preserve">LEVERAGE THINKING</w:t>
      </w:r>
    </w:p>
    <w:p>
      <w:pPr>
        <w:spacing w:after="200" w:before="0" w:line="300"/>
        <w:jc w:val="center"/>
      </w:pPr>
      <w:r>
        <w:rPr>
          <w:rFonts w:ascii="Arial" w:cs="Arial" w:eastAsia="Arial" w:hAnsi="Arial"/>
          <w:b/>
          <w:bCs/>
          <w:color w:val="1F3A5F"/>
          <w:sz w:val="72"/>
          <w:szCs w:val="72"/>
        </w:rPr>
        <w:t xml:space="preserve">GOAL FIRST</w:t>
      </w:r>
    </w:p>
    <w:p>
      <w:pPr>
        <w:spacing w:after="600" w:before="0" w:line="300"/>
        <w:jc w:val="center"/>
      </w:pPr>
      <w:r>
        <w:rPr>
          <w:rFonts w:ascii="Arial" w:cs="Arial" w:eastAsia="Arial" w:hAnsi="Arial"/>
          <w:color w:val="666666"/>
          <w:sz w:val="28"/>
          <w:szCs w:val="28"/>
        </w:rPr>
        <w:t xml:space="preserve">A SMARTER WAY TO SELECT STOCKS</w:t>
      </w:r>
    </w:p>
    <w:p>
      <w:pPr>
        <w:spacing w:after="2000" w:before="0" w:line="300"/>
        <w:jc w:val="center"/>
      </w:pPr>
      <w:r>
        <w:rPr>
          <w:rFonts w:ascii="Arial" w:cs="Arial" w:eastAsia="Arial" w:hAnsi="Arial"/>
          <w:i/>
          <w:iCs/>
          <w:sz w:val="24"/>
          <w:szCs w:val="24"/>
        </w:rPr>
        <w:t xml:space="preserve">A framework for investors who need their portfolio to actually work.</w:t>
      </w:r>
    </w:p>
    <w:p>
      <w:pPr>
        <w:spacing w:after="200" w:before="0" w:line="300"/>
        <w:jc w:val="center"/>
      </w:pPr>
      <w:r>
        <w:rPr>
          <w:rFonts w:ascii="Arial" w:cs="Arial" w:eastAsia="Arial" w:hAnsi="Arial"/>
          <w:b/>
          <w:bCs/>
          <w:color w:val="666666"/>
          <w:sz w:val="40"/>
          <w:szCs w:val="40"/>
        </w:rPr>
        <w:t xml:space="preserve">1</w:t>
      </w:r>
    </w:p>
    <w:p>
      <w:pPr>
        <w:spacing w:after="160" w:before="0" w:line="300"/>
        <w:jc w:val="center"/>
      </w:pPr>
      <w:r>
        <w:rPr>
          <w:rFonts w:ascii="Arial" w:cs="Arial" w:eastAsia="Arial" w:hAnsi="Arial"/>
          <w:color w:val="666666"/>
          <w:sz w:val="20"/>
          <w:szCs w:val="20"/>
        </w:rPr>
        <w:t xml:space="preserve">Leverage Thinking · Laura Kruse-Stecher</w:t>
      </w:r>
    </w:p>
    <w:p>
      <w:pPr>
        <w:pageBreakBefore/>
        <w:pStyle w:val="Heading1"/>
        <w:spacing w:after="240" w:before="0"/>
      </w:pPr>
      <w:r>
        <w:rPr>
          <w:rFonts w:ascii="Arial" w:cs="Arial" w:eastAsia="Arial" w:hAnsi="Arial"/>
          <w:b/>
          <w:bCs/>
          <w:color w:val="1F3A5F"/>
          <w:sz w:val="40"/>
          <w:szCs w:val="40"/>
        </w:rPr>
        <w:t xml:space="preserve">Contents</w:t>
      </w:r>
    </w:p>
    <w:p>
      <w:pPr>
        <w:spacing w:after="20" w:before="0" w:line="300"/>
      </w:pPr>
      <w:r>
        <w:rPr>
          <w:rFonts w:ascii="Arial" w:cs="Arial" w:eastAsia="Arial" w:hAnsi="Arial"/>
          <w:b/>
          <w:bCs/>
          <w:sz w:val="22"/>
          <w:szCs w:val="22"/>
        </w:rPr>
        <w:t xml:space="preserve">Introduction</w:t>
      </w:r>
    </w:p>
    <w:p>
      <w:pPr>
        <w:spacing w:after="140" w:before="0" w:line="300"/>
        <w:ind w:left="567"/>
      </w:pPr>
      <w:r>
        <w:rPr>
          <w:rFonts w:ascii="Arial" w:cs="Arial" w:eastAsia="Arial" w:hAnsi="Arial"/>
          <w:color w:val="666666"/>
          <w:sz w:val="20"/>
          <w:szCs w:val="20"/>
        </w:rPr>
        <w:t xml:space="preserve">The constraint that sharpens everything</w:t>
      </w:r>
    </w:p>
    <w:p>
      <w:pPr>
        <w:spacing w:after="20" w:before="0" w:line="300"/>
      </w:pPr>
      <w:r>
        <w:rPr>
          <w:rFonts w:ascii="Arial" w:cs="Arial" w:eastAsia="Arial" w:hAnsi="Arial"/>
          <w:b/>
          <w:bCs/>
          <w:sz w:val="22"/>
          <w:szCs w:val="22"/>
        </w:rPr>
        <w:t xml:space="preserve">Part 1 — Why Screening Fails</w:t>
      </w:r>
    </w:p>
    <w:p>
      <w:pPr>
        <w:spacing w:after="140" w:before="0" w:line="300"/>
        <w:ind w:left="567"/>
      </w:pPr>
      <w:r>
        <w:rPr>
          <w:rFonts w:ascii="Arial" w:cs="Arial" w:eastAsia="Arial" w:hAnsi="Arial"/>
          <w:color w:val="666666"/>
          <w:sz w:val="20"/>
          <w:szCs w:val="20"/>
        </w:rPr>
        <w:t xml:space="preserve">The multi-criteria trap</w:t>
      </w:r>
    </w:p>
    <w:p>
      <w:pPr>
        <w:spacing w:after="20" w:before="0" w:line="300"/>
      </w:pPr>
      <w:r>
        <w:rPr>
          <w:rFonts w:ascii="Arial" w:cs="Arial" w:eastAsia="Arial" w:hAnsi="Arial"/>
          <w:b/>
          <w:bCs/>
          <w:sz w:val="22"/>
          <w:szCs w:val="22"/>
        </w:rPr>
        <w:t xml:space="preserve">Part 2 — The Method</w:t>
      </w:r>
    </w:p>
    <w:p>
      <w:pPr>
        <w:spacing w:after="140" w:before="0" w:line="300"/>
        <w:ind w:left="567"/>
      </w:pPr>
      <w:r>
        <w:rPr>
          <w:rFonts w:ascii="Arial" w:cs="Arial" w:eastAsia="Arial" w:hAnsi="Arial"/>
          <w:color w:val="666666"/>
          <w:sz w:val="20"/>
          <w:szCs w:val="20"/>
        </w:rPr>
        <w:t xml:space="preserve">Goal first. Constraints second.</w:t>
      </w:r>
    </w:p>
    <w:p>
      <w:pPr>
        <w:spacing w:after="20" w:before="0" w:line="300"/>
      </w:pPr>
      <w:r>
        <w:rPr>
          <w:rFonts w:ascii="Arial" w:cs="Arial" w:eastAsia="Arial" w:hAnsi="Arial"/>
          <w:b/>
          <w:bCs/>
          <w:sz w:val="22"/>
          <w:szCs w:val="22"/>
        </w:rPr>
        <w:t xml:space="preserve">    Strategy 1: Outperformance</w:t>
      </w:r>
    </w:p>
    <w:p>
      <w:pPr>
        <w:spacing w:after="140" w:before="0" w:line="300"/>
        <w:ind w:left="567"/>
      </w:pPr>
      <w:r>
        <w:rPr>
          <w:rFonts w:ascii="Arial" w:cs="Arial" w:eastAsia="Arial" w:hAnsi="Arial"/>
          <w:color w:val="666666"/>
          <w:sz w:val="20"/>
          <w:szCs w:val="20"/>
        </w:rPr>
        <w:t xml:space="preserve">Consistency over magnitude</w:t>
      </w:r>
    </w:p>
    <w:p>
      <w:pPr>
        <w:spacing w:after="20" w:before="0" w:line="300"/>
      </w:pPr>
      <w:r>
        <w:rPr>
          <w:rFonts w:ascii="Arial" w:cs="Arial" w:eastAsia="Arial" w:hAnsi="Arial"/>
          <w:b/>
          <w:bCs/>
          <w:sz w:val="22"/>
          <w:szCs w:val="22"/>
        </w:rPr>
        <w:t xml:space="preserve">    Strategy 2: Dividends</w:t>
      </w:r>
    </w:p>
    <w:p>
      <w:pPr>
        <w:spacing w:after="140" w:before="0" w:line="300"/>
        <w:ind w:left="567"/>
      </w:pPr>
      <w:r>
        <w:rPr>
          <w:rFonts w:ascii="Arial" w:cs="Arial" w:eastAsia="Arial" w:hAnsi="Arial"/>
          <w:color w:val="666666"/>
          <w:sz w:val="20"/>
          <w:szCs w:val="20"/>
        </w:rPr>
        <w:t xml:space="preserve">A yield that doesn’t lie</w:t>
      </w:r>
    </w:p>
    <w:p>
      <w:pPr>
        <w:spacing w:after="20" w:before="0" w:line="300"/>
      </w:pPr>
      <w:r>
        <w:rPr>
          <w:rFonts w:ascii="Arial" w:cs="Arial" w:eastAsia="Arial" w:hAnsi="Arial"/>
          <w:b/>
          <w:bCs/>
          <w:sz w:val="22"/>
          <w:szCs w:val="22"/>
        </w:rPr>
        <w:t xml:space="preserve">Part 3 — Apply It to Your Own Goals</w:t>
      </w:r>
    </w:p>
    <w:p>
      <w:pPr>
        <w:spacing w:after="20" w:before="0" w:line="300"/>
      </w:pPr>
      <w:r>
        <w:rPr>
          <w:rFonts w:ascii="Arial" w:cs="Arial" w:eastAsia="Arial" w:hAnsi="Arial"/>
          <w:b/>
          <w:bCs/>
          <w:sz w:val="22"/>
          <w:szCs w:val="22"/>
        </w:rPr>
        <w:t xml:space="preserve">    Low Volatility</w:t>
      </w:r>
    </w:p>
    <w:p>
      <w:pPr>
        <w:spacing w:after="140" w:before="0" w:line="300"/>
        <w:ind w:left="567"/>
      </w:pPr>
      <w:r>
        <w:rPr>
          <w:rFonts w:ascii="Arial" w:cs="Arial" w:eastAsia="Arial" w:hAnsi="Arial"/>
          <w:color w:val="666666"/>
          <w:sz w:val="20"/>
          <w:szCs w:val="20"/>
        </w:rPr>
        <w:t xml:space="preserve">The portfolio you actually hold</w:t>
      </w:r>
    </w:p>
    <w:p>
      <w:pPr>
        <w:spacing w:after="20" w:before="0" w:line="300"/>
      </w:pPr>
      <w:r>
        <w:rPr>
          <w:rFonts w:ascii="Arial" w:cs="Arial" w:eastAsia="Arial" w:hAnsi="Arial"/>
          <w:b/>
          <w:bCs/>
          <w:sz w:val="22"/>
          <w:szCs w:val="22"/>
        </w:rPr>
        <w:t xml:space="preserve">    Strategy 3: Value</w:t>
      </w:r>
    </w:p>
    <w:p>
      <w:pPr>
        <w:spacing w:after="140" w:before="0" w:line="300"/>
        <w:ind w:left="567"/>
      </w:pPr>
      <w:r>
        <w:rPr>
          <w:rFonts w:ascii="Arial" w:cs="Arial" w:eastAsia="Arial" w:hAnsi="Arial"/>
          <w:color w:val="666666"/>
          <w:sz w:val="20"/>
          <w:szCs w:val="20"/>
        </w:rPr>
        <w:t xml:space="preserve">Cheap, and cheap for a reason</w:t>
      </w:r>
    </w:p>
    <w:p>
      <w:pPr>
        <w:spacing w:after="20" w:before="0" w:line="300"/>
      </w:pPr>
      <w:r>
        <w:rPr>
          <w:rFonts w:ascii="Arial" w:cs="Arial" w:eastAsia="Arial" w:hAnsi="Arial"/>
          <w:b/>
          <w:bCs/>
          <w:sz w:val="22"/>
          <w:szCs w:val="22"/>
        </w:rPr>
        <w:t xml:space="preserve">    Portfolio Composition</w:t>
      </w:r>
    </w:p>
    <w:p>
      <w:pPr>
        <w:spacing w:after="140" w:before="0" w:line="300"/>
        <w:ind w:left="567"/>
      </w:pPr>
      <w:r>
        <w:rPr>
          <w:rFonts w:ascii="Arial" w:cs="Arial" w:eastAsia="Arial" w:hAnsi="Arial"/>
          <w:color w:val="666666"/>
          <w:sz w:val="20"/>
          <w:szCs w:val="20"/>
        </w:rPr>
        <w:t xml:space="preserve">The step most investors skip</w:t>
      </w:r>
    </w:p>
    <w:p>
      <w:pPr>
        <w:spacing w:after="20" w:before="0" w:line="300"/>
      </w:pPr>
      <w:r>
        <w:rPr>
          <w:rFonts w:ascii="Arial" w:cs="Arial" w:eastAsia="Arial" w:hAnsi="Arial"/>
          <w:b/>
          <w:bCs/>
          <w:sz w:val="22"/>
          <w:szCs w:val="22"/>
        </w:rPr>
        <w:t xml:space="preserve">Conclusion</w:t>
      </w:r>
    </w:p>
    <w:p>
      <w:pPr>
        <w:spacing w:after="140" w:before="0" w:line="300"/>
        <w:ind w:left="567"/>
      </w:pPr>
      <w:r>
        <w:rPr>
          <w:rFonts w:ascii="Arial" w:cs="Arial" w:eastAsia="Arial" w:hAnsi="Arial"/>
          <w:color w:val="666666"/>
          <w:sz w:val="20"/>
          <w:szCs w:val="20"/>
        </w:rPr>
        <w:t xml:space="preserve">The question behind the question</w:t>
      </w:r>
    </w:p>
    <w:p>
      <w:pPr>
        <w:spacing w:after="20" w:before="0" w:line="300"/>
      </w:pPr>
      <w:r>
        <w:rPr>
          <w:rFonts w:ascii="Arial" w:cs="Arial" w:eastAsia="Arial" w:hAnsi="Arial"/>
          <w:b/>
          <w:bCs/>
          <w:sz w:val="22"/>
          <w:szCs w:val="22"/>
        </w:rPr>
        <w:t xml:space="preserve">Glossary</w:t>
      </w:r>
    </w:p>
    <w:p>
      <w:pPr>
        <w:spacing w:after="20" w:before="0" w:line="300"/>
      </w:pPr>
      <w:r>
        <w:rPr>
          <w:rFonts w:ascii="Arial" w:cs="Arial" w:eastAsia="Arial" w:hAnsi="Arial"/>
          <w:b/>
          <w:bCs/>
          <w:sz w:val="22"/>
          <w:szCs w:val="22"/>
        </w:rPr>
        <w:t xml:space="preserve">About the Author · Code &amp; Updates · Imprint</w:t>
      </w:r>
    </w:p>
    <w:p>
      <w:pPr>
        <w:pageBreakBefore/>
        <w:pStyle w:val="Heading1"/>
        <w:spacing w:after="240" w:before="0"/>
      </w:pPr>
      <w:r>
        <w:rPr>
          <w:rFonts w:ascii="Arial" w:cs="Arial" w:eastAsia="Arial" w:hAnsi="Arial"/>
          <w:b/>
          <w:bCs/>
          <w:color w:val="1F3A5F"/>
          <w:sz w:val="40"/>
          <w:szCs w:val="40"/>
        </w:rPr>
        <w:t xml:space="preserve">Disclaimer</w:t>
      </w:r>
    </w:p>
    <w:p>
      <w:pPr>
        <w:pStyle w:val="Heading3"/>
        <w:keepNext/>
        <w:spacing w:after="120" w:before="240"/>
      </w:pPr>
      <w:r>
        <w:rPr>
          <w:rFonts w:ascii="Arial" w:cs="Arial" w:eastAsia="Arial" w:hAnsi="Arial"/>
          <w:b/>
          <w:bCs/>
          <w:sz w:val="24"/>
          <w:szCs w:val="24"/>
        </w:rPr>
        <w:t xml:space="preserve">No Investment Advice</w:t>
      </w:r>
    </w:p>
    <w:p>
      <w:pPr>
        <w:spacing w:after="160" w:before="0" w:line="300"/>
      </w:pPr>
      <w:r>
        <w:rPr>
          <w:rFonts w:ascii="Arial" w:cs="Arial" w:eastAsia="Arial" w:hAnsi="Arial"/>
          <w:sz w:val="22"/>
          <w:szCs w:val="22"/>
        </w:rPr>
        <w:t xml:space="preserve">This publication is for informational and educational purposes only. It is not investment advice, not a financial analysis or investment recommendation within the meaning of applicable securities law, not a recommendation to buy or sell any security, and not a solicitation of any kind. It presents a method; investment decisions are yours.</w:t>
      </w:r>
    </w:p>
    <w:p>
      <w:pPr>
        <w:pStyle w:val="Heading3"/>
        <w:keepNext/>
        <w:spacing w:after="120" w:before="240"/>
      </w:pPr>
      <w:r>
        <w:rPr>
          <w:rFonts w:ascii="Arial" w:cs="Arial" w:eastAsia="Arial" w:hAnsi="Arial"/>
          <w:b/>
          <w:bCs/>
          <w:sz w:val="24"/>
          <w:szCs w:val="24"/>
        </w:rPr>
        <w:t xml:space="preserve">Individual Responsibility</w:t>
      </w:r>
    </w:p>
    <w:p>
      <w:pPr>
        <w:spacing w:after="160" w:before="0" w:line="300"/>
      </w:pPr>
      <w:r>
        <w:rPr>
          <w:rFonts w:ascii="Arial" w:cs="Arial" w:eastAsia="Arial" w:hAnsi="Arial"/>
          <w:sz w:val="22"/>
          <w:szCs w:val="22"/>
        </w:rPr>
        <w:t xml:space="preserve">All investment decisions are solely your responsibility. The allocation of capital, the selection of strategies, and the weighting of portfolio components described in this guide are illustrative frameworks – not prescriptions. Your financial situation, risk tolerance, and investment objectives are individual and may differ materially from any example presented here.</w:t>
      </w:r>
    </w:p>
    <w:p>
      <w:pPr>
        <w:pStyle w:val="Heading3"/>
        <w:keepNext/>
        <w:spacing w:after="120" w:before="240"/>
      </w:pPr>
      <w:r>
        <w:rPr>
          <w:rFonts w:ascii="Arial" w:cs="Arial" w:eastAsia="Arial" w:hAnsi="Arial"/>
          <w:b/>
          <w:bCs/>
          <w:sz w:val="24"/>
          <w:szCs w:val="24"/>
        </w:rPr>
        <w:t xml:space="preserve">Risk Disclosure</w:t>
      </w:r>
    </w:p>
    <w:p>
      <w:pPr>
        <w:spacing w:after="160" w:before="0" w:line="300"/>
      </w:pPr>
      <w:r>
        <w:rPr>
          <w:rFonts w:ascii="Arial" w:cs="Arial" w:eastAsia="Arial" w:hAnsi="Arial"/>
          <w:sz w:val="22"/>
          <w:szCs w:val="22"/>
        </w:rPr>
        <w:t xml:space="preserve">Investing in equities involves risk, including the possible loss of principal. Past performance – including all historical examples shown in this guide – is not indicative of future results.</w:t>
      </w:r>
    </w:p>
    <w:p>
      <w:pPr>
        <w:pStyle w:val="Heading3"/>
        <w:keepNext/>
        <w:spacing w:after="120" w:before="240"/>
      </w:pPr>
      <w:r>
        <w:rPr>
          <w:rFonts w:ascii="Arial" w:cs="Arial" w:eastAsia="Arial" w:hAnsi="Arial"/>
          <w:b/>
          <w:bCs/>
          <w:sz w:val="24"/>
          <w:szCs w:val="24"/>
        </w:rPr>
        <w:t xml:space="preserve">Illustrative Examples and Data</w:t>
      </w:r>
    </w:p>
    <w:p>
      <w:pPr>
        <w:spacing w:after="160" w:before="0" w:line="300"/>
      </w:pPr>
      <w:r>
        <w:rPr>
          <w:rFonts w:ascii="Arial" w:cs="Arial" w:eastAsia="Arial" w:hAnsi="Arial"/>
          <w:sz w:val="22"/>
          <w:szCs w:val="22"/>
        </w:rPr>
        <w:t xml:space="preserve">Companies referenced in this guide, including AT&amp;T and Snap, are used solely as illustrative case studies to demonstrate methodological principles. They do not constitute current recommendations or opinions on those securities. Price and return figures are the author’s own calculations based on publicly available price data, rounded, as of the time of writing. Figures may differ depending on data source and calculation method.</w:t>
      </w:r>
    </w:p>
    <w:p>
      <w:pPr>
        <w:pStyle w:val="Heading3"/>
        <w:keepNext/>
        <w:spacing w:after="120" w:before="240"/>
      </w:pPr>
      <w:r>
        <w:rPr>
          <w:rFonts w:ascii="Arial" w:cs="Arial" w:eastAsia="Arial" w:hAnsi="Arial"/>
          <w:b/>
          <w:bCs/>
          <w:sz w:val="24"/>
          <w:szCs w:val="24"/>
        </w:rPr>
        <w:t xml:space="preserve">Author’s Positions</w:t>
      </w:r>
    </w:p>
    <w:p>
      <w:pPr>
        <w:spacing w:after="160" w:before="0" w:line="300"/>
      </w:pPr>
      <w:r>
        <w:rPr>
          <w:rFonts w:ascii="Arial" w:cs="Arial" w:eastAsia="Arial" w:hAnsi="Arial"/>
          <w:sz w:val="22"/>
          <w:szCs w:val="22"/>
        </w:rPr>
        <w:t xml:space="preserve">The author trades stocks and may hold, or may have held, positions in some of the securities mentioned. Examples were chosen for their illustrative value, not on the basis of the author’s positions.</w:t>
      </w:r>
    </w:p>
    <w:p>
      <w:pPr>
        <w:pStyle w:val="Heading3"/>
        <w:keepNext/>
        <w:spacing w:after="120" w:before="240"/>
      </w:pPr>
      <w:r>
        <w:rPr>
          <w:rFonts w:ascii="Arial" w:cs="Arial" w:eastAsia="Arial" w:hAnsi="Arial"/>
          <w:b/>
          <w:bCs/>
          <w:sz w:val="24"/>
          <w:szCs w:val="24"/>
        </w:rPr>
        <w:t xml:space="preserve">Liability</w:t>
      </w:r>
    </w:p>
    <w:p>
      <w:pPr>
        <w:spacing w:after="160" w:before="0" w:line="300"/>
      </w:pPr>
      <w:r>
        <w:rPr>
          <w:rFonts w:ascii="Arial" w:cs="Arial" w:eastAsia="Arial" w:hAnsi="Arial"/>
          <w:sz w:val="22"/>
          <w:szCs w:val="22"/>
        </w:rPr>
        <w:t xml:space="preserve">To the extent permitted by law, the author accepts no liability for decisions made on the basis of this guide or of the examples, data, and code it contains.</w:t>
      </w:r>
    </w:p>
    <w:p>
      <w:pPr>
        <w:pStyle w:val="Heading3"/>
        <w:keepNext/>
        <w:spacing w:after="120" w:before="240"/>
      </w:pPr>
      <w:r>
        <w:rPr>
          <w:rFonts w:ascii="Arial" w:cs="Arial" w:eastAsia="Arial" w:hAnsi="Arial"/>
          <w:b/>
          <w:bCs/>
          <w:sz w:val="24"/>
          <w:szCs w:val="24"/>
        </w:rPr>
        <w:t xml:space="preserve">Author Disclosure</w:t>
      </w:r>
    </w:p>
    <w:p>
      <w:pPr>
        <w:spacing w:after="160" w:before="0" w:line="300"/>
      </w:pPr>
      <w:r>
        <w:rPr>
          <w:rFonts w:ascii="Arial" w:cs="Arial" w:eastAsia="Arial" w:hAnsi="Arial"/>
          <w:sz w:val="22"/>
          <w:szCs w:val="22"/>
        </w:rPr>
        <w:t xml:space="preserve">The author is not a licensed financial advisor, investment advisor, or broker-dealer in any jurisdiction.</w:t>
      </w:r>
    </w:p>
    <w:p>
      <w:pPr>
        <w:pageBreakBefore/>
        <w:pStyle w:val="Heading1"/>
        <w:spacing w:after="240" w:before="0"/>
      </w:pPr>
      <w:r>
        <w:rPr>
          <w:rFonts w:ascii="Arial" w:cs="Arial" w:eastAsia="Arial" w:hAnsi="Arial"/>
          <w:b/>
          <w:bCs/>
          <w:color w:val="1F3A5F"/>
          <w:sz w:val="40"/>
          <w:szCs w:val="40"/>
        </w:rPr>
        <w:t xml:space="preserve">Introduction</w:t>
      </w:r>
    </w:p>
    <w:p>
      <w:pPr>
        <w:spacing w:after="160" w:before="0" w:line="300"/>
      </w:pPr>
      <w:r>
        <w:rPr>
          <w:rFonts w:ascii="Arial" w:cs="Arial" w:eastAsia="Arial" w:hAnsi="Arial"/>
          <w:sz w:val="22"/>
          <w:szCs w:val="22"/>
        </w:rPr>
        <w:t xml:space="preserve">Most investing advice assumes you have time. Time to research. Time to wait out a bad year. Time to “stay the course” while your portfolio does something uncomfortable. The entire framework of long-term investing is quietly built on the assumption that nothing urgent is happening in your life right now.</w:t>
      </w:r>
    </w:p>
    <w:p>
      <w:pPr>
        <w:spacing w:after="160" w:before="0" w:line="300"/>
      </w:pPr>
      <w:r>
        <w:rPr>
          <w:rFonts w:ascii="Arial" w:cs="Arial" w:eastAsia="Arial" w:hAnsi="Arial"/>
          <w:sz w:val="22"/>
          <w:szCs w:val="22"/>
        </w:rPr>
        <w:t xml:space="preserve">That assumption didn’t hold for me.</w:t>
      </w:r>
    </w:p>
    <w:p>
      <w:pPr>
        <w:spacing w:after="160" w:before="0" w:line="300"/>
      </w:pPr>
      <w:r>
        <w:rPr>
          <w:rFonts w:ascii="Arial" w:cs="Arial" w:eastAsia="Arial" w:hAnsi="Arial"/>
          <w:sz w:val="22"/>
          <w:szCs w:val="22"/>
        </w:rPr>
        <w:t xml:space="preserve">In 2020, I was financially responsible for an inherited medical practice – in the middle of a pandemic. Salaries and fixed costs kept running; revenue didn’t. From that point on, the portfolio wasn’t a wealth-building exercise anymore. It needed to outperform – and to throw off gains I could withdraw without touching the principal.</w:t>
      </w:r>
    </w:p>
    <w:p>
      <w:pPr>
        <w:shd w:fill="F2F4F7" w:val="clear"/>
        <w:spacing w:after="240" w:before="120" w:line="300"/>
        <w:ind w:left="284" w:right="284"/>
      </w:pPr>
      <w:r>
        <w:rPr>
          <w:rFonts w:ascii="Arial" w:cs="Arial" w:eastAsia="Arial" w:hAnsi="Arial"/>
          <w:sz w:val="22"/>
          <w:szCs w:val="22"/>
        </w:rPr>
        <w:t xml:space="preserve">That combination – regular withdrawals with the principal intact – turns out to be a surprisingly good filter for bad ideas.</w:t>
      </w:r>
    </w:p>
    <w:p>
      <w:pPr>
        <w:spacing w:after="160" w:before="0" w:line="300"/>
      </w:pPr>
      <w:r>
        <w:rPr>
          <w:rFonts w:ascii="Arial" w:cs="Arial" w:eastAsia="Arial" w:hAnsi="Arial"/>
          <w:sz w:val="22"/>
          <w:szCs w:val="22"/>
        </w:rPr>
        <w:t xml:space="preserve">What I discovered, under conditions I wouldn’t recommend, was that most stock selection frameworks are not built for real constraints. They’re built for optimization. For people who want the best possible outcome across seven criteria simultaneously.</w:t>
      </w:r>
    </w:p>
    <w:p>
      <w:pPr>
        <w:spacing w:after="160" w:before="0" w:line="300"/>
      </w:pPr>
      <w:r>
        <w:rPr>
          <w:rFonts w:ascii="Arial" w:cs="Arial" w:eastAsia="Arial" w:hAnsi="Arial"/>
          <w:sz w:val="22"/>
          <w:szCs w:val="22"/>
        </w:rPr>
        <w:t xml:space="preserve">The problem with optimizing for everything is that you end up with nothing in particular.</w:t>
      </w:r>
    </w:p>
    <w:p>
      <w:pPr>
        <w:spacing w:after="160" w:before="0" w:line="300"/>
      </w:pPr>
      <w:r>
        <w:rPr>
          <w:rFonts w:ascii="Arial" w:cs="Arial" w:eastAsia="Arial" w:hAnsi="Arial"/>
          <w:sz w:val="22"/>
          <w:szCs w:val="22"/>
        </w:rPr>
        <w:t xml:space="preserve">This guide is about a different approach. The framework draws on decision theory and behavioral economics – but you don’t need either to use it. What matters is the logic, not the vocabulary.</w:t>
      </w:r>
    </w:p>
    <w:p>
      <w:pPr>
        <w:spacing w:after="160" w:before="0" w:line="300"/>
      </w:pPr>
      <w:r>
        <w:rPr>
          <w:rFonts w:ascii="Arial" w:cs="Arial" w:eastAsia="Arial" w:hAnsi="Arial"/>
          <w:b/>
          <w:bCs/>
          <w:sz w:val="22"/>
          <w:szCs w:val="22"/>
        </w:rPr>
        <w:t xml:space="preserve">Goal first. Constraints second.</w:t>
      </w:r>
    </w:p>
    <w:p>
      <w:pPr>
        <w:spacing w:after="160" w:before="0" w:line="300"/>
      </w:pPr>
      <w:r>
        <w:rPr>
          <w:rFonts w:ascii="Arial" w:cs="Arial" w:eastAsia="Arial" w:hAnsi="Arial"/>
          <w:sz w:val="22"/>
          <w:szCs w:val="22"/>
        </w:rPr>
        <w:t xml:space="preserve">It sounds obvious. Almost no one does it.</w:t>
      </w:r>
    </w:p>
    <w:p>
      <w:pPr>
        <w:pageBreakBefore/>
        <w:spacing w:after="200" w:before="0" w:line="300"/>
      </w:pPr>
      <w:r>
        <w:rPr>
          <w:rFonts w:ascii="Arial" w:cs="Arial" w:eastAsia="Arial" w:hAnsi="Arial"/>
          <w:i/>
          <w:iCs/>
          <w:color w:val="666666"/>
          <w:sz w:val="20"/>
          <w:szCs w:val="20"/>
        </w:rPr>
        <w:t xml:space="preserve">Part 1</w:t>
      </w:r>
    </w:p>
    <w:p>
      <w:pPr>
        <w:pStyle w:val="Heading1"/>
        <w:spacing w:after="240" w:before="0"/>
      </w:pPr>
      <w:r>
        <w:rPr>
          <w:rFonts w:ascii="Arial" w:cs="Arial" w:eastAsia="Arial" w:hAnsi="Arial"/>
          <w:b/>
          <w:bCs/>
          <w:color w:val="1F3A5F"/>
          <w:sz w:val="40"/>
          <w:szCs w:val="40"/>
        </w:rPr>
        <w:t xml:space="preserve">Why Screening Fails</w:t>
      </w:r>
    </w:p>
    <w:p>
      <w:pPr>
        <w:spacing w:after="160" w:before="0" w:line="300"/>
      </w:pPr>
      <w:r>
        <w:rPr>
          <w:rFonts w:ascii="Arial" w:cs="Arial" w:eastAsia="Arial" w:hAnsi="Arial"/>
          <w:sz w:val="22"/>
          <w:szCs w:val="22"/>
        </w:rPr>
        <w:t xml:space="preserve">Open any stock screener. Set a few filters: dividend yield above 4%, P/E below 20, positive earnings growth, low debt, maybe some momentum indicator for good measure. Hit run. See what comes up.</w:t>
      </w:r>
    </w:p>
    <w:p>
      <w:pPr>
        <w:spacing w:after="160" w:before="0" w:line="300"/>
      </w:pPr>
      <w:r>
        <w:rPr>
          <w:rFonts w:ascii="Arial" w:cs="Arial" w:eastAsia="Arial" w:hAnsi="Arial"/>
          <w:sz w:val="22"/>
          <w:szCs w:val="22"/>
        </w:rPr>
        <w:t xml:space="preserve">It feels rigorous. It looks like a process. It isn’t.</w:t>
      </w:r>
    </w:p>
    <w:p>
      <w:pPr>
        <w:spacing w:after="160" w:before="0" w:line="300"/>
      </w:pPr>
      <w:r>
        <w:rPr>
          <w:rFonts w:ascii="Arial" w:cs="Arial" w:eastAsia="Arial" w:hAnsi="Arial"/>
          <w:sz w:val="22"/>
          <w:szCs w:val="22"/>
        </w:rPr>
        <w:t xml:space="preserve">What you’ve built is a beauty contest with no winner category. You’re asking the screener to find a stock that is simultaneously cheap, profitable, growing, financially stable, and trending upward. Those criteria don’t point in the same direction. A stock with a high dividend yield is often cheap for a reason. You’re not filtering – you’re negotiating with yourself.</w:t>
      </w:r>
    </w:p>
    <w:p>
      <w:pPr>
        <w:spacing w:after="160" w:before="0" w:line="300"/>
      </w:pPr>
      <w:r>
        <w:rPr>
          <w:rFonts w:ascii="Arial" w:cs="Arial" w:eastAsia="Arial" w:hAnsi="Arial"/>
          <w:sz w:val="22"/>
          <w:szCs w:val="22"/>
        </w:rPr>
        <w:t xml:space="preserve">This is the core problem with multi-criteria optimization without hierarchy: mathematically, it produces the least-bad option, not the best one. Every additional criterion you add without ranking it narrows the field further while telling you nothing about what you actually want.</w:t>
      </w:r>
    </w:p>
    <w:p>
      <w:pPr>
        <w:shd w:fill="F2F4F7" w:val="clear"/>
        <w:spacing w:after="240" w:before="120" w:line="300"/>
        <w:ind w:left="284" w:right="284"/>
      </w:pPr>
      <w:r>
        <w:rPr>
          <w:rFonts w:ascii="Arial" w:cs="Arial" w:eastAsia="Arial" w:hAnsi="Arial"/>
          <w:sz w:val="22"/>
          <w:szCs w:val="22"/>
        </w:rPr>
        <w:t xml:space="preserve">It’s the same logic as searching for an apartment that is large, cheap, central, and quiet. At some point you stop looking for the right apartment and start looking for the least disappointing one.</w:t>
      </w:r>
    </w:p>
    <w:p>
      <w:pPr>
        <w:spacing w:after="160" w:before="0" w:line="300"/>
      </w:pPr>
      <w:r>
        <w:rPr>
          <w:rFonts w:ascii="Arial" w:cs="Arial" w:eastAsia="Arial" w:hAnsi="Arial"/>
          <w:sz w:val="22"/>
          <w:szCs w:val="22"/>
        </w:rPr>
        <w:t xml:space="preserve">The result is portfolios that look diversified but are actually just undecided.</w:t>
      </w:r>
    </w:p>
    <w:p>
      <w:pPr>
        <w:pStyle w:val="Heading2"/>
        <w:keepNext/>
        <w:spacing w:after="160" w:before="320"/>
      </w:pPr>
      <w:r>
        <w:rPr>
          <w:rFonts w:ascii="Arial" w:cs="Arial" w:eastAsia="Arial" w:hAnsi="Arial"/>
          <w:b/>
          <w:bCs/>
          <w:color w:val="1F3A5F"/>
          <w:sz w:val="28"/>
          <w:szCs w:val="28"/>
        </w:rPr>
        <w:t xml:space="preserve">The psychological trap</w:t>
      </w:r>
    </w:p>
    <w:p>
      <w:pPr>
        <w:spacing w:after="160" w:before="0" w:line="300"/>
      </w:pPr>
      <w:r>
        <w:rPr>
          <w:rFonts w:ascii="Arial" w:cs="Arial" w:eastAsia="Arial" w:hAnsi="Arial"/>
          <w:sz w:val="22"/>
          <w:szCs w:val="22"/>
        </w:rPr>
        <w:t xml:space="preserve">There’s a reason this approach is so common: it feels safe. More criteria means more research means more control – or at least the sensation of it. Behavioral economists call this the illusion of validity. The process looks thorough, so the output must be sound. It rarely is.</w:t>
      </w:r>
    </w:p>
    <w:p>
      <w:pPr>
        <w:spacing w:after="160" w:before="0" w:line="300"/>
      </w:pPr>
      <w:r>
        <w:rPr>
          <w:rFonts w:ascii="Arial" w:cs="Arial" w:eastAsia="Arial" w:hAnsi="Arial"/>
          <w:sz w:val="22"/>
          <w:szCs w:val="22"/>
        </w:rPr>
        <w:t xml:space="preserve">The other problem is that screeners reward what is easy to measure. Yield, P/E, debt ratios – these are available, standardized, comparable. What they don’t capture is trajectory. A yield of 7% looks identical in a screener whether the stock is stable or in freefall. The number is the same. The situation is completely different.</w:t>
      </w:r>
    </w:p>
    <w:p>
      <w:pPr>
        <w:spacing w:after="160" w:before="0" w:line="300"/>
      </w:pPr>
      <w:r>
        <w:rPr>
          <w:rFonts w:ascii="Arial" w:cs="Arial" w:eastAsia="Arial" w:hAnsi="Arial"/>
          <w:sz w:val="22"/>
          <w:szCs w:val="22"/>
        </w:rPr>
        <w:t xml:space="preserve">Which brings us to two stocks that appeared in almost every screener for years.</w:t>
      </w:r>
    </w:p>
    <w:p>
      <w:pPr>
        <w:pStyle w:val="Heading2"/>
        <w:keepNext/>
        <w:spacing w:after="160" w:before="320"/>
      </w:pPr>
      <w:r>
        <w:rPr>
          <w:rFonts w:ascii="Arial" w:cs="Arial" w:eastAsia="Arial" w:hAnsi="Arial"/>
          <w:b/>
          <w:bCs/>
          <w:color w:val="1F3A5F"/>
          <w:sz w:val="28"/>
          <w:szCs w:val="28"/>
        </w:rPr>
        <w:t xml:space="preserve">What a dividend trap looks like: AT&amp;T</w:t>
      </w:r>
    </w:p>
    <w:p>
      <w:pPr>
        <w:spacing w:after="160" w:before="0" w:line="300"/>
      </w:pPr>
      <w:r>
        <w:rPr>
          <w:rFonts w:ascii="Arial" w:cs="Arial" w:eastAsia="Arial" w:hAnsi="Arial"/>
          <w:sz w:val="22"/>
          <w:szCs w:val="22"/>
        </w:rPr>
        <w:t xml:space="preserve">AT&amp;T carried a dividend yield of 5–8% between 2017 and 2021. It appeared in dividend-focused portfolios everywhere. The yield was real, the history was long, and the company was, after all, a household name.</w:t>
      </w:r>
    </w:p>
    <w:p>
      <w:pPr>
        <w:spacing w:after="160" w:before="0" w:line="300"/>
      </w:pPr>
      <w:r>
        <w:rPr>
          <w:rFonts w:ascii="Arial" w:cs="Arial" w:eastAsia="Arial" w:hAnsi="Arial"/>
          <w:sz w:val="22"/>
          <w:szCs w:val="22"/>
        </w:rPr>
        <w:t xml:space="preserve">Here is what happened over the same period:</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400"/>
        <w:gridCol w:w="2860"/>
      </w:tblGrid>
      <w:tr>
        <w:trPr>
          <w:tblHeader/>
        </w:trPr>
        <w:tc>
          <w:tcPr>
            <w:tcW w:type="dxa" w:w="140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Year</w:t>
            </w:r>
          </w:p>
        </w:tc>
        <w:tc>
          <w:tcPr>
            <w:tcW w:type="dxa" w:w="240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Dividend Yield</w:t>
            </w:r>
          </w:p>
        </w:tc>
        <w:tc>
          <w:tcPr>
            <w:tcW w:type="dxa" w:w="240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Share Price (approx.)</w:t>
            </w:r>
          </w:p>
        </w:tc>
        <w:tc>
          <w:tcPr>
            <w:tcW w:type="dxa" w:w="286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Annual Return incl. Dividend</w:t>
            </w:r>
          </w:p>
        </w:tc>
      </w:tr>
      <w:tr>
        <w:tc>
          <w:tcPr>
            <w:tcW w:type="dxa" w:w="1400"/>
            <w:tcMar>
              <w:top w:type="dxa" w:w="80"/>
              <w:left w:type="dxa" w:w="100"/>
              <w:bottom w:type="dxa" w:w="80"/>
              <w:right w:type="dxa" w:w="100"/>
            </w:tcMar>
          </w:tcPr>
          <w:p>
            <w:pPr>
              <w:spacing w:after="0"/>
            </w:pPr>
            <w:r>
              <w:rPr>
                <w:rFonts w:ascii="Arial" w:cs="Arial" w:eastAsia="Arial" w:hAnsi="Arial"/>
                <w:b w:val="false"/>
                <w:bCs w:val="false"/>
                <w:sz w:val="19"/>
                <w:szCs w:val="19"/>
              </w:rPr>
              <w:t xml:space="preserve">2017</w:t>
            </w:r>
          </w:p>
        </w:tc>
        <w:tc>
          <w:tcPr>
            <w:tcW w:type="dxa" w:w="2400"/>
            <w:tcMar>
              <w:top w:type="dxa" w:w="80"/>
              <w:left w:type="dxa" w:w="100"/>
              <w:bottom w:type="dxa" w:w="80"/>
              <w:right w:type="dxa" w:w="100"/>
            </w:tcMar>
          </w:tcPr>
          <w:p>
            <w:pPr>
              <w:spacing w:after="0"/>
            </w:pPr>
            <w:r>
              <w:rPr>
                <w:rFonts w:ascii="Arial" w:cs="Arial" w:eastAsia="Arial" w:hAnsi="Arial"/>
                <w:b w:val="false"/>
                <w:bCs w:val="false"/>
                <w:sz w:val="19"/>
                <w:szCs w:val="19"/>
              </w:rPr>
              <w:t xml:space="preserve">5.1%</w:t>
            </w:r>
          </w:p>
        </w:tc>
        <w:tc>
          <w:tcPr>
            <w:tcW w:type="dxa" w:w="2400"/>
            <w:tcMar>
              <w:top w:type="dxa" w:w="80"/>
              <w:left w:type="dxa" w:w="100"/>
              <w:bottom w:type="dxa" w:w="80"/>
              <w:right w:type="dxa" w:w="100"/>
            </w:tcMar>
          </w:tcPr>
          <w:p>
            <w:pPr>
              <w:spacing w:after="0"/>
            </w:pPr>
            <w:r>
              <w:rPr>
                <w:rFonts w:ascii="Arial" w:cs="Arial" w:eastAsia="Arial" w:hAnsi="Arial"/>
                <w:b w:val="false"/>
                <w:bCs w:val="false"/>
                <w:sz w:val="19"/>
                <w:szCs w:val="19"/>
              </w:rPr>
              <w:t xml:space="preserve">$39</w:t>
            </w:r>
          </w:p>
        </w:tc>
        <w:tc>
          <w:tcPr>
            <w:tcW w:type="dxa" w:w="2860"/>
            <w:tcMar>
              <w:top w:type="dxa" w:w="80"/>
              <w:left w:type="dxa" w:w="100"/>
              <w:bottom w:type="dxa" w:w="80"/>
              <w:right w:type="dxa" w:w="100"/>
            </w:tcMar>
          </w:tcPr>
          <w:p>
            <w:pPr>
              <w:spacing w:after="0"/>
            </w:pPr>
            <w:r>
              <w:rPr>
                <w:rFonts w:ascii="Arial" w:cs="Arial" w:eastAsia="Arial" w:hAnsi="Arial"/>
                <w:b w:val="false"/>
                <w:bCs w:val="false"/>
                <w:sz w:val="19"/>
                <w:szCs w:val="19"/>
              </w:rPr>
              <w:t xml:space="preserve">−2%</w:t>
            </w:r>
          </w:p>
        </w:tc>
      </w:tr>
      <w:tr>
        <w:tc>
          <w:tcPr>
            <w:tcW w:type="dxa" w:w="1400"/>
            <w:tcMar>
              <w:top w:type="dxa" w:w="80"/>
              <w:left w:type="dxa" w:w="100"/>
              <w:bottom w:type="dxa" w:w="80"/>
              <w:right w:type="dxa" w:w="100"/>
            </w:tcMar>
          </w:tcPr>
          <w:p>
            <w:pPr>
              <w:spacing w:after="0"/>
            </w:pPr>
            <w:r>
              <w:rPr>
                <w:rFonts w:ascii="Arial" w:cs="Arial" w:eastAsia="Arial" w:hAnsi="Arial"/>
                <w:b w:val="false"/>
                <w:bCs w:val="false"/>
                <w:sz w:val="19"/>
                <w:szCs w:val="19"/>
              </w:rPr>
              <w:t xml:space="preserve">2018</w:t>
            </w:r>
          </w:p>
        </w:tc>
        <w:tc>
          <w:tcPr>
            <w:tcW w:type="dxa" w:w="2400"/>
            <w:tcMar>
              <w:top w:type="dxa" w:w="80"/>
              <w:left w:type="dxa" w:w="100"/>
              <w:bottom w:type="dxa" w:w="80"/>
              <w:right w:type="dxa" w:w="100"/>
            </w:tcMar>
          </w:tcPr>
          <w:p>
            <w:pPr>
              <w:spacing w:after="0"/>
            </w:pPr>
            <w:r>
              <w:rPr>
                <w:rFonts w:ascii="Arial" w:cs="Arial" w:eastAsia="Arial" w:hAnsi="Arial"/>
                <w:b w:val="false"/>
                <w:bCs w:val="false"/>
                <w:sz w:val="19"/>
                <w:szCs w:val="19"/>
              </w:rPr>
              <w:t xml:space="preserve">7.0%</w:t>
            </w:r>
          </w:p>
        </w:tc>
        <w:tc>
          <w:tcPr>
            <w:tcW w:type="dxa" w:w="2400"/>
            <w:tcMar>
              <w:top w:type="dxa" w:w="80"/>
              <w:left w:type="dxa" w:w="100"/>
              <w:bottom w:type="dxa" w:w="80"/>
              <w:right w:type="dxa" w:w="100"/>
            </w:tcMar>
          </w:tcPr>
          <w:p>
            <w:pPr>
              <w:spacing w:after="0"/>
            </w:pPr>
            <w:r>
              <w:rPr>
                <w:rFonts w:ascii="Arial" w:cs="Arial" w:eastAsia="Arial" w:hAnsi="Arial"/>
                <w:b w:val="false"/>
                <w:bCs w:val="false"/>
                <w:sz w:val="19"/>
                <w:szCs w:val="19"/>
              </w:rPr>
              <w:t xml:space="preserve">$29</w:t>
            </w:r>
          </w:p>
        </w:tc>
        <w:tc>
          <w:tcPr>
            <w:tcW w:type="dxa" w:w="2860"/>
            <w:tcMar>
              <w:top w:type="dxa" w:w="80"/>
              <w:left w:type="dxa" w:w="100"/>
              <w:bottom w:type="dxa" w:w="80"/>
              <w:right w:type="dxa" w:w="100"/>
            </w:tcMar>
          </w:tcPr>
          <w:p>
            <w:pPr>
              <w:spacing w:after="0"/>
            </w:pPr>
            <w:r>
              <w:rPr>
                <w:rFonts w:ascii="Arial" w:cs="Arial" w:eastAsia="Arial" w:hAnsi="Arial"/>
                <w:b w:val="false"/>
                <w:bCs w:val="false"/>
                <w:sz w:val="19"/>
                <w:szCs w:val="19"/>
              </w:rPr>
              <w:t xml:space="preserve">−21%</w:t>
            </w:r>
          </w:p>
        </w:tc>
      </w:tr>
      <w:tr>
        <w:tc>
          <w:tcPr>
            <w:tcW w:type="dxa" w:w="1400"/>
            <w:tcMar>
              <w:top w:type="dxa" w:w="80"/>
              <w:left w:type="dxa" w:w="100"/>
              <w:bottom w:type="dxa" w:w="80"/>
              <w:right w:type="dxa" w:w="100"/>
            </w:tcMar>
          </w:tcPr>
          <w:p>
            <w:pPr>
              <w:spacing w:after="0"/>
            </w:pPr>
            <w:r>
              <w:rPr>
                <w:rFonts w:ascii="Arial" w:cs="Arial" w:eastAsia="Arial" w:hAnsi="Arial"/>
                <w:b w:val="false"/>
                <w:bCs w:val="false"/>
                <w:sz w:val="19"/>
                <w:szCs w:val="19"/>
              </w:rPr>
              <w:t xml:space="preserve">2019</w:t>
            </w:r>
          </w:p>
        </w:tc>
        <w:tc>
          <w:tcPr>
            <w:tcW w:type="dxa" w:w="2400"/>
            <w:tcMar>
              <w:top w:type="dxa" w:w="80"/>
              <w:left w:type="dxa" w:w="100"/>
              <w:bottom w:type="dxa" w:w="80"/>
              <w:right w:type="dxa" w:w="100"/>
            </w:tcMar>
          </w:tcPr>
          <w:p>
            <w:pPr>
              <w:spacing w:after="0"/>
            </w:pPr>
            <w:r>
              <w:rPr>
                <w:rFonts w:ascii="Arial" w:cs="Arial" w:eastAsia="Arial" w:hAnsi="Arial"/>
                <w:b w:val="false"/>
                <w:bCs w:val="false"/>
                <w:sz w:val="19"/>
                <w:szCs w:val="19"/>
              </w:rPr>
              <w:t xml:space="preserve">5.2%</w:t>
            </w:r>
          </w:p>
        </w:tc>
        <w:tc>
          <w:tcPr>
            <w:tcW w:type="dxa" w:w="2400"/>
            <w:tcMar>
              <w:top w:type="dxa" w:w="80"/>
              <w:left w:type="dxa" w:w="100"/>
              <w:bottom w:type="dxa" w:w="80"/>
              <w:right w:type="dxa" w:w="100"/>
            </w:tcMar>
          </w:tcPr>
          <w:p>
            <w:pPr>
              <w:spacing w:after="0"/>
            </w:pPr>
            <w:r>
              <w:rPr>
                <w:rFonts w:ascii="Arial" w:cs="Arial" w:eastAsia="Arial" w:hAnsi="Arial"/>
                <w:b w:val="false"/>
                <w:bCs w:val="false"/>
                <w:sz w:val="19"/>
                <w:szCs w:val="19"/>
              </w:rPr>
              <w:t xml:space="preserve">$39</w:t>
            </w:r>
          </w:p>
        </w:tc>
        <w:tc>
          <w:tcPr>
            <w:tcW w:type="dxa" w:w="2860"/>
            <w:tcMar>
              <w:top w:type="dxa" w:w="80"/>
              <w:left w:type="dxa" w:w="100"/>
              <w:bottom w:type="dxa" w:w="80"/>
              <w:right w:type="dxa" w:w="100"/>
            </w:tcMar>
          </w:tcPr>
          <w:p>
            <w:pPr>
              <w:spacing w:after="0"/>
            </w:pPr>
            <w:r>
              <w:rPr>
                <w:rFonts w:ascii="Arial" w:cs="Arial" w:eastAsia="Arial" w:hAnsi="Arial"/>
                <w:b w:val="false"/>
                <w:bCs w:val="false"/>
                <w:sz w:val="19"/>
                <w:szCs w:val="19"/>
              </w:rPr>
              <w:t xml:space="preserve">+48%</w:t>
            </w:r>
          </w:p>
        </w:tc>
      </w:tr>
      <w:tr>
        <w:tc>
          <w:tcPr>
            <w:tcW w:type="dxa" w:w="1400"/>
            <w:tcMar>
              <w:top w:type="dxa" w:w="80"/>
              <w:left w:type="dxa" w:w="100"/>
              <w:bottom w:type="dxa" w:w="80"/>
              <w:right w:type="dxa" w:w="100"/>
            </w:tcMar>
          </w:tcPr>
          <w:p>
            <w:pPr>
              <w:spacing w:after="0"/>
            </w:pPr>
            <w:r>
              <w:rPr>
                <w:rFonts w:ascii="Arial" w:cs="Arial" w:eastAsia="Arial" w:hAnsi="Arial"/>
                <w:b w:val="false"/>
                <w:bCs w:val="false"/>
                <w:sz w:val="19"/>
                <w:szCs w:val="19"/>
              </w:rPr>
              <w:t xml:space="preserve">2020</w:t>
            </w:r>
          </w:p>
        </w:tc>
        <w:tc>
          <w:tcPr>
            <w:tcW w:type="dxa" w:w="2400"/>
            <w:tcMar>
              <w:top w:type="dxa" w:w="80"/>
              <w:left w:type="dxa" w:w="100"/>
              <w:bottom w:type="dxa" w:w="80"/>
              <w:right w:type="dxa" w:w="100"/>
            </w:tcMar>
          </w:tcPr>
          <w:p>
            <w:pPr>
              <w:spacing w:after="0"/>
            </w:pPr>
            <w:r>
              <w:rPr>
                <w:rFonts w:ascii="Arial" w:cs="Arial" w:eastAsia="Arial" w:hAnsi="Arial"/>
                <w:b w:val="false"/>
                <w:bCs w:val="false"/>
                <w:sz w:val="19"/>
                <w:szCs w:val="19"/>
              </w:rPr>
              <w:t xml:space="preserve">7.2%</w:t>
            </w:r>
          </w:p>
        </w:tc>
        <w:tc>
          <w:tcPr>
            <w:tcW w:type="dxa" w:w="2400"/>
            <w:tcMar>
              <w:top w:type="dxa" w:w="80"/>
              <w:left w:type="dxa" w:w="100"/>
              <w:bottom w:type="dxa" w:w="80"/>
              <w:right w:type="dxa" w:w="100"/>
            </w:tcMar>
          </w:tcPr>
          <w:p>
            <w:pPr>
              <w:spacing w:after="0"/>
            </w:pPr>
            <w:r>
              <w:rPr>
                <w:rFonts w:ascii="Arial" w:cs="Arial" w:eastAsia="Arial" w:hAnsi="Arial"/>
                <w:b w:val="false"/>
                <w:bCs w:val="false"/>
                <w:sz w:val="19"/>
                <w:szCs w:val="19"/>
              </w:rPr>
              <w:t xml:space="preserve">$29</w:t>
            </w:r>
          </w:p>
        </w:tc>
        <w:tc>
          <w:tcPr>
            <w:tcW w:type="dxa" w:w="2860"/>
            <w:tcMar>
              <w:top w:type="dxa" w:w="80"/>
              <w:left w:type="dxa" w:w="100"/>
              <w:bottom w:type="dxa" w:w="80"/>
              <w:right w:type="dxa" w:w="100"/>
            </w:tcMar>
          </w:tcPr>
          <w:p>
            <w:pPr>
              <w:spacing w:after="0"/>
            </w:pPr>
            <w:r>
              <w:rPr>
                <w:rFonts w:ascii="Arial" w:cs="Arial" w:eastAsia="Arial" w:hAnsi="Arial"/>
                <w:b w:val="false"/>
                <w:bCs w:val="false"/>
                <w:sz w:val="19"/>
                <w:szCs w:val="19"/>
              </w:rPr>
              <w:t xml:space="preserve">−20%</w:t>
            </w:r>
          </w:p>
        </w:tc>
      </w:tr>
      <w:tr>
        <w:tc>
          <w:tcPr>
            <w:tcW w:type="dxa" w:w="1400"/>
            <w:tcMar>
              <w:top w:type="dxa" w:w="80"/>
              <w:left w:type="dxa" w:w="100"/>
              <w:bottom w:type="dxa" w:w="80"/>
              <w:right w:type="dxa" w:w="100"/>
            </w:tcMar>
          </w:tcPr>
          <w:p>
            <w:pPr>
              <w:spacing w:after="0"/>
            </w:pPr>
            <w:r>
              <w:rPr>
                <w:rFonts w:ascii="Arial" w:cs="Arial" w:eastAsia="Arial" w:hAnsi="Arial"/>
                <w:b w:val="false"/>
                <w:bCs w:val="false"/>
                <w:sz w:val="19"/>
                <w:szCs w:val="19"/>
              </w:rPr>
              <w:t xml:space="preserve">2021</w:t>
            </w:r>
          </w:p>
        </w:tc>
        <w:tc>
          <w:tcPr>
            <w:tcW w:type="dxa" w:w="2400"/>
            <w:tcMar>
              <w:top w:type="dxa" w:w="80"/>
              <w:left w:type="dxa" w:w="100"/>
              <w:bottom w:type="dxa" w:w="80"/>
              <w:right w:type="dxa" w:w="100"/>
            </w:tcMar>
          </w:tcPr>
          <w:p>
            <w:pPr>
              <w:spacing w:after="0"/>
            </w:pPr>
            <w:r>
              <w:rPr>
                <w:rFonts w:ascii="Arial" w:cs="Arial" w:eastAsia="Arial" w:hAnsi="Arial"/>
                <w:b w:val="false"/>
                <w:bCs w:val="false"/>
                <w:sz w:val="19"/>
                <w:szCs w:val="19"/>
              </w:rPr>
              <w:t xml:space="preserve">8.5%</w:t>
            </w:r>
          </w:p>
        </w:tc>
        <w:tc>
          <w:tcPr>
            <w:tcW w:type="dxa" w:w="2400"/>
            <w:tcMar>
              <w:top w:type="dxa" w:w="80"/>
              <w:left w:type="dxa" w:w="100"/>
              <w:bottom w:type="dxa" w:w="80"/>
              <w:right w:type="dxa" w:w="100"/>
            </w:tcMar>
          </w:tcPr>
          <w:p>
            <w:pPr>
              <w:spacing w:after="0"/>
            </w:pPr>
            <w:r>
              <w:rPr>
                <w:rFonts w:ascii="Arial" w:cs="Arial" w:eastAsia="Arial" w:hAnsi="Arial"/>
                <w:b w:val="false"/>
                <w:bCs w:val="false"/>
                <w:sz w:val="19"/>
                <w:szCs w:val="19"/>
              </w:rPr>
              <w:t xml:space="preserve">$25</w:t>
            </w:r>
          </w:p>
        </w:tc>
        <w:tc>
          <w:tcPr>
            <w:tcW w:type="dxa" w:w="2860"/>
            <w:tcMar>
              <w:top w:type="dxa" w:w="80"/>
              <w:left w:type="dxa" w:w="100"/>
              <w:bottom w:type="dxa" w:w="80"/>
              <w:right w:type="dxa" w:w="100"/>
            </w:tcMar>
          </w:tcPr>
          <w:p>
            <w:pPr>
              <w:spacing w:after="0"/>
            </w:pPr>
            <w:r>
              <w:rPr>
                <w:rFonts w:ascii="Arial" w:cs="Arial" w:eastAsia="Arial" w:hAnsi="Arial"/>
                <w:b w:val="false"/>
                <w:bCs w:val="false"/>
                <w:sz w:val="19"/>
                <w:szCs w:val="19"/>
              </w:rPr>
              <w:t xml:space="preserve">−6%</w:t>
            </w:r>
          </w:p>
        </w:tc>
      </w:tr>
    </w:tbl>
    <w:p>
      <w:pPr>
        <w:spacing w:after="240" w:before="0" w:line="300"/>
      </w:pPr>
      <w:r>
        <w:rPr>
          <w:rFonts w:ascii="Arial" w:cs="Arial" w:eastAsia="Arial" w:hAnsi="Arial"/>
          <w:i/>
          <w:iCs/>
          <w:color w:val="666666"/>
          <w:sz w:val="18"/>
          <w:szCs w:val="18"/>
        </w:rPr>
        <w:t xml:space="preserve">AT&amp;T total return 2017–2021; dividend yield = annual dividend ÷ year-end price. Dividend cut by ~47% in 2022 ($0.52 → $0.2775 per quarter). Author’s calculation from publicly available price data (year-end prices, total return with dividends reinvested), rounded; as of 18 Oct 2026.</w:t>
      </w:r>
    </w:p>
    <w:p>
      <w:pPr>
        <w:spacing w:after="160" w:before="0" w:line="300"/>
      </w:pPr>
      <w:r>
        <w:rPr>
          <w:rFonts w:ascii="Arial" w:cs="Arial" w:eastAsia="Arial" w:hAnsi="Arial"/>
          <w:sz w:val="22"/>
          <w:szCs w:val="22"/>
        </w:rPr>
        <w:t xml:space="preserve">An investor who held AT&amp;T from 2017 to 2022 collecting dividends collected roughly $11 per share in distributions. They also watched the share price fall from $39 to roughly $21 (adjusted for the 2022 WarnerMedia spin-off). The yield looked like income. It was, in large part, a return of capital dressed up as a reward.</w:t>
      </w:r>
    </w:p>
    <w:p>
      <w:pPr>
        <w:pBdr>
          <w:left w:val="single" w:color="1F3A5F" w:sz="18" w:space="12"/>
        </w:pBdr>
        <w:spacing w:after="240" w:before="200" w:line="300"/>
        <w:ind w:left="567"/>
      </w:pPr>
      <w:r>
        <w:rPr>
          <w:rFonts w:ascii="Arial" w:cs="Arial" w:eastAsia="Arial" w:hAnsi="Arial"/>
          <w:i/>
          <w:iCs/>
          <w:color w:val="1F3A5F"/>
          <w:sz w:val="24"/>
          <w:szCs w:val="24"/>
        </w:rPr>
        <w:t xml:space="preserve">“A high yield on a falling stock is not income. It’s a liquidation in slow motion.”</w:t>
      </w:r>
    </w:p>
    <w:p>
      <w:pPr>
        <w:pStyle w:val="Heading2"/>
        <w:keepNext/>
        <w:spacing w:after="160" w:before="320"/>
      </w:pPr>
      <w:r>
        <w:rPr>
          <w:rFonts w:ascii="Arial" w:cs="Arial" w:eastAsia="Arial" w:hAnsi="Arial"/>
          <w:b/>
          <w:bCs/>
          <w:color w:val="1F3A5F"/>
          <w:sz w:val="28"/>
          <w:szCs w:val="28"/>
        </w:rPr>
        <w:t xml:space="preserve">What a rollercoaster looks like: Snap</w:t>
      </w:r>
    </w:p>
    <w:p>
      <w:pPr>
        <w:spacing w:after="160" w:before="0" w:line="300"/>
      </w:pPr>
      <w:r>
        <w:rPr>
          <w:rFonts w:ascii="Arial" w:cs="Arial" w:eastAsia="Arial" w:hAnsi="Arial"/>
          <w:sz w:val="22"/>
          <w:szCs w:val="22"/>
        </w:rPr>
        <w:t xml:space="preserve">Snap is a different kind of failure – and in some ways a more instructive one, because it didn’t just fall. It flew first.</w:t>
      </w:r>
    </w:p>
    <w:p>
      <w:pPr>
        <w:spacing w:after="160" w:before="0" w:line="300"/>
      </w:pPr>
      <w:r>
        <w:rPr>
          <w:rFonts w:ascii="Arial" w:cs="Arial" w:eastAsia="Arial" w:hAnsi="Arial"/>
          <w:sz w:val="22"/>
          <w:szCs w:val="22"/>
        </w:rPr>
        <w:t xml:space="preserve">Snap went public in 2017 at $17. By the end of 2018 it had lost two-thirds of its IPO price. Then it recovered. Then it rose dramatically during the pandemic – peaking above $80 in September 2021. Then it collapsed, falling below $10 by the end of 2022. Long-term holders would find this difficult to explain to anyone.</w:t>
      </w:r>
    </w:p>
    <w:p>
      <w:pPr>
        <w:spacing w:after="160" w:before="0" w:line="300"/>
      </w:pPr>
      <w:r>
        <w:rPr>
          <w:rFonts w:ascii="Arial" w:cs="Arial" w:eastAsia="Arial" w:hAnsi="Arial"/>
          <w:sz w:val="22"/>
          <w:szCs w:val="22"/>
        </w:rPr>
        <w:t xml:space="preserve">This is not a stock that failed quietly. It produced enormous returns for investors who timed it correctly – and enormous losses for those who didn’t, which is most people.</w:t>
      </w:r>
    </w:p>
    <w:p>
      <w:pPr>
        <w:spacing w:after="160" w:before="0" w:line="300"/>
      </w:pPr>
      <w:r>
        <w:rPr>
          <w:rFonts w:ascii="Arial" w:cs="Arial" w:eastAsia="Arial" w:hAnsi="Arial"/>
          <w:sz w:val="22"/>
          <w:szCs w:val="22"/>
        </w:rPr>
        <w:t xml:space="preserve">The pattern has a name: narrative-driven volatility. The company’s story changed repeatedly, and the price followed the story rather than the fundamentals. Each recovery felt like vindication. Each crash felt like an anomaly.</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1900"/>
        <w:gridCol w:w="2760"/>
      </w:tblGrid>
      <w:tr>
        <w:trPr>
          <w:tblHeader/>
        </w:trPr>
        <w:tc>
          <w:tcPr>
            <w:tcW w:type="dxa" w:w="140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Year</w:t>
            </w:r>
          </w:p>
        </w:tc>
        <w:tc>
          <w:tcPr>
            <w:tcW w:type="dxa" w:w="300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Approx. Price Range</w:t>
            </w:r>
          </w:p>
        </w:tc>
        <w:tc>
          <w:tcPr>
            <w:tcW w:type="dxa" w:w="190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Annual Return</w:t>
            </w:r>
          </w:p>
        </w:tc>
        <w:tc>
          <w:tcPr>
            <w:tcW w:type="dxa" w:w="276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Note</w:t>
            </w:r>
          </w:p>
        </w:tc>
      </w:tr>
      <w:tr>
        <w:tc>
          <w:tcPr>
            <w:tcW w:type="dxa" w:w="1400"/>
            <w:tcMar>
              <w:top w:type="dxa" w:w="80"/>
              <w:left w:type="dxa" w:w="100"/>
              <w:bottom w:type="dxa" w:w="80"/>
              <w:right w:type="dxa" w:w="100"/>
            </w:tcMar>
          </w:tcPr>
          <w:p>
            <w:pPr>
              <w:spacing w:after="0"/>
            </w:pPr>
            <w:r>
              <w:rPr>
                <w:rFonts w:ascii="Arial" w:cs="Arial" w:eastAsia="Arial" w:hAnsi="Arial"/>
                <w:b w:val="false"/>
                <w:bCs w:val="false"/>
                <w:sz w:val="19"/>
                <w:szCs w:val="19"/>
              </w:rPr>
              <w:t xml:space="preserve">2017</w:t>
            </w:r>
          </w:p>
        </w:tc>
        <w:tc>
          <w:tcPr>
            <w:tcW w:type="dxa" w:w="3000"/>
            <w:tcMar>
              <w:top w:type="dxa" w:w="80"/>
              <w:left w:type="dxa" w:w="100"/>
              <w:bottom w:type="dxa" w:w="80"/>
              <w:right w:type="dxa" w:w="100"/>
            </w:tcMar>
          </w:tcPr>
          <w:p>
            <w:pPr>
              <w:spacing w:after="0"/>
            </w:pPr>
            <w:r>
              <w:rPr>
                <w:rFonts w:ascii="Arial" w:cs="Arial" w:eastAsia="Arial" w:hAnsi="Arial"/>
                <w:b w:val="false"/>
                <w:bCs w:val="false"/>
                <w:sz w:val="19"/>
                <w:szCs w:val="19"/>
              </w:rPr>
              <w:t xml:space="preserve">$17 (IPO) → $15</w:t>
            </w:r>
          </w:p>
        </w:tc>
        <w:tc>
          <w:tcPr>
            <w:tcW w:type="dxa" w:w="1900"/>
            <w:tcMar>
              <w:top w:type="dxa" w:w="80"/>
              <w:left w:type="dxa" w:w="100"/>
              <w:bottom w:type="dxa" w:w="80"/>
              <w:right w:type="dxa" w:w="100"/>
            </w:tcMar>
          </w:tcPr>
          <w:p>
            <w:pPr>
              <w:spacing w:after="0"/>
            </w:pPr>
            <w:r>
              <w:rPr>
                <w:rFonts w:ascii="Arial" w:cs="Arial" w:eastAsia="Arial" w:hAnsi="Arial"/>
                <w:b w:val="false"/>
                <w:bCs w:val="false"/>
                <w:sz w:val="19"/>
                <w:szCs w:val="19"/>
              </w:rPr>
              <w:t xml:space="preserve">−14%</w:t>
            </w:r>
          </w:p>
        </w:tc>
        <w:tc>
          <w:tcPr>
            <w:tcW w:type="dxa" w:w="2760"/>
            <w:tcMar>
              <w:top w:type="dxa" w:w="80"/>
              <w:left w:type="dxa" w:w="100"/>
              <w:bottom w:type="dxa" w:w="80"/>
              <w:right w:type="dxa" w:w="100"/>
            </w:tcMar>
          </w:tcPr>
          <w:p>
            <w:pPr>
              <w:spacing w:after="0"/>
            </w:pPr>
            <w:r>
              <w:rPr>
                <w:rFonts w:ascii="Arial" w:cs="Arial" w:eastAsia="Arial" w:hAnsi="Arial"/>
                <w:b w:val="false"/>
                <w:bCs w:val="false"/>
                <w:sz w:val="19"/>
                <w:szCs w:val="19"/>
              </w:rPr>
              <w:t xml:space="preserve">IPO year</w:t>
            </w:r>
          </w:p>
        </w:tc>
      </w:tr>
      <w:tr>
        <w:tc>
          <w:tcPr>
            <w:tcW w:type="dxa" w:w="1400"/>
            <w:tcMar>
              <w:top w:type="dxa" w:w="80"/>
              <w:left w:type="dxa" w:w="100"/>
              <w:bottom w:type="dxa" w:w="80"/>
              <w:right w:type="dxa" w:w="100"/>
            </w:tcMar>
          </w:tcPr>
          <w:p>
            <w:pPr>
              <w:spacing w:after="0"/>
            </w:pPr>
            <w:r>
              <w:rPr>
                <w:rFonts w:ascii="Arial" w:cs="Arial" w:eastAsia="Arial" w:hAnsi="Arial"/>
                <w:b w:val="false"/>
                <w:bCs w:val="false"/>
                <w:sz w:val="19"/>
                <w:szCs w:val="19"/>
              </w:rPr>
              <w:t xml:space="preserve">2018</w:t>
            </w:r>
          </w:p>
        </w:tc>
        <w:tc>
          <w:tcPr>
            <w:tcW w:type="dxa" w:w="3000"/>
            <w:tcMar>
              <w:top w:type="dxa" w:w="80"/>
              <w:left w:type="dxa" w:w="100"/>
              <w:bottom w:type="dxa" w:w="80"/>
              <w:right w:type="dxa" w:w="100"/>
            </w:tcMar>
          </w:tcPr>
          <w:p>
            <w:pPr>
              <w:spacing w:after="0"/>
            </w:pPr>
            <w:r>
              <w:rPr>
                <w:rFonts w:ascii="Arial" w:cs="Arial" w:eastAsia="Arial" w:hAnsi="Arial"/>
                <w:b w:val="false"/>
                <w:bCs w:val="false"/>
                <w:sz w:val="19"/>
                <w:szCs w:val="19"/>
              </w:rPr>
              <w:t xml:space="preserve">$15 → $6</w:t>
            </w:r>
          </w:p>
        </w:tc>
        <w:tc>
          <w:tcPr>
            <w:tcW w:type="dxa" w:w="1900"/>
            <w:tcMar>
              <w:top w:type="dxa" w:w="80"/>
              <w:left w:type="dxa" w:w="100"/>
              <w:bottom w:type="dxa" w:w="80"/>
              <w:right w:type="dxa" w:w="100"/>
            </w:tcMar>
          </w:tcPr>
          <w:p>
            <w:pPr>
              <w:spacing w:after="0"/>
            </w:pPr>
            <w:r>
              <w:rPr>
                <w:rFonts w:ascii="Arial" w:cs="Arial" w:eastAsia="Arial" w:hAnsi="Arial"/>
                <w:b w:val="false"/>
                <w:bCs w:val="false"/>
                <w:sz w:val="19"/>
                <w:szCs w:val="19"/>
              </w:rPr>
              <w:t xml:space="preserve">−62%</w:t>
            </w:r>
          </w:p>
        </w:tc>
        <w:tc>
          <w:tcPr>
            <w:tcW w:type="dxa" w:w="2760"/>
            <w:tcMar>
              <w:top w:type="dxa" w:w="80"/>
              <w:left w:type="dxa" w:w="100"/>
              <w:bottom w:type="dxa" w:w="80"/>
              <w:right w:type="dxa" w:w="100"/>
            </w:tcMar>
          </w:tcPr>
          <w:p>
            <w:pPr>
              <w:spacing w:after="0"/>
            </w:pPr>
            <w:r>
              <w:rPr>
                <w:rFonts w:ascii="Arial" w:cs="Arial" w:eastAsia="Arial" w:hAnsi="Arial"/>
                <w:b w:val="false"/>
                <w:bCs w:val="false"/>
                <w:sz w:val="19"/>
                <w:szCs w:val="19"/>
              </w:rPr>
              <w:t xml:space="preserve">First collapse</w:t>
            </w:r>
          </w:p>
        </w:tc>
      </w:tr>
      <w:tr>
        <w:tc>
          <w:tcPr>
            <w:tcW w:type="dxa" w:w="1400"/>
            <w:tcMar>
              <w:top w:type="dxa" w:w="80"/>
              <w:left w:type="dxa" w:w="100"/>
              <w:bottom w:type="dxa" w:w="80"/>
              <w:right w:type="dxa" w:w="100"/>
            </w:tcMar>
          </w:tcPr>
          <w:p>
            <w:pPr>
              <w:spacing w:after="0"/>
            </w:pPr>
            <w:r>
              <w:rPr>
                <w:rFonts w:ascii="Arial" w:cs="Arial" w:eastAsia="Arial" w:hAnsi="Arial"/>
                <w:b w:val="false"/>
                <w:bCs w:val="false"/>
                <w:sz w:val="19"/>
                <w:szCs w:val="19"/>
              </w:rPr>
              <w:t xml:space="preserve">2019</w:t>
            </w:r>
          </w:p>
        </w:tc>
        <w:tc>
          <w:tcPr>
            <w:tcW w:type="dxa" w:w="3000"/>
            <w:tcMar>
              <w:top w:type="dxa" w:w="80"/>
              <w:left w:type="dxa" w:w="100"/>
              <w:bottom w:type="dxa" w:w="80"/>
              <w:right w:type="dxa" w:w="100"/>
            </w:tcMar>
          </w:tcPr>
          <w:p>
            <w:pPr>
              <w:spacing w:after="0"/>
            </w:pPr>
            <w:r>
              <w:rPr>
                <w:rFonts w:ascii="Arial" w:cs="Arial" w:eastAsia="Arial" w:hAnsi="Arial"/>
                <w:b w:val="false"/>
                <w:bCs w:val="false"/>
                <w:sz w:val="19"/>
                <w:szCs w:val="19"/>
              </w:rPr>
              <w:t xml:space="preserve">$6 → $16</w:t>
            </w:r>
          </w:p>
        </w:tc>
        <w:tc>
          <w:tcPr>
            <w:tcW w:type="dxa" w:w="1900"/>
            <w:tcMar>
              <w:top w:type="dxa" w:w="80"/>
              <w:left w:type="dxa" w:w="100"/>
              <w:bottom w:type="dxa" w:w="80"/>
              <w:right w:type="dxa" w:w="100"/>
            </w:tcMar>
          </w:tcPr>
          <w:p>
            <w:pPr>
              <w:spacing w:after="0"/>
            </w:pPr>
            <w:r>
              <w:rPr>
                <w:rFonts w:ascii="Arial" w:cs="Arial" w:eastAsia="Arial" w:hAnsi="Arial"/>
                <w:b w:val="false"/>
                <w:bCs w:val="false"/>
                <w:sz w:val="19"/>
                <w:szCs w:val="19"/>
              </w:rPr>
              <w:t xml:space="preserve">+196%</w:t>
            </w:r>
          </w:p>
        </w:tc>
        <w:tc>
          <w:tcPr>
            <w:tcW w:type="dxa" w:w="2760"/>
            <w:tcMar>
              <w:top w:type="dxa" w:w="80"/>
              <w:left w:type="dxa" w:w="100"/>
              <w:bottom w:type="dxa" w:w="80"/>
              <w:right w:type="dxa" w:w="100"/>
            </w:tcMar>
          </w:tcPr>
          <w:p>
            <w:pPr>
              <w:spacing w:after="0"/>
            </w:pPr>
            <w:r>
              <w:rPr>
                <w:rFonts w:ascii="Arial" w:cs="Arial" w:eastAsia="Arial" w:hAnsi="Arial"/>
                <w:b w:val="false"/>
                <w:bCs w:val="false"/>
                <w:sz w:val="19"/>
                <w:szCs w:val="19"/>
              </w:rPr>
              <w:t xml:space="preserve">Recovery</w:t>
            </w:r>
          </w:p>
        </w:tc>
      </w:tr>
      <w:tr>
        <w:tc>
          <w:tcPr>
            <w:tcW w:type="dxa" w:w="1400"/>
            <w:tcMar>
              <w:top w:type="dxa" w:w="80"/>
              <w:left w:type="dxa" w:w="100"/>
              <w:bottom w:type="dxa" w:w="80"/>
              <w:right w:type="dxa" w:w="100"/>
            </w:tcMar>
          </w:tcPr>
          <w:p>
            <w:pPr>
              <w:spacing w:after="0"/>
            </w:pPr>
            <w:r>
              <w:rPr>
                <w:rFonts w:ascii="Arial" w:cs="Arial" w:eastAsia="Arial" w:hAnsi="Arial"/>
                <w:b w:val="false"/>
                <w:bCs w:val="false"/>
                <w:sz w:val="19"/>
                <w:szCs w:val="19"/>
              </w:rPr>
              <w:t xml:space="preserve">2020</w:t>
            </w:r>
          </w:p>
        </w:tc>
        <w:tc>
          <w:tcPr>
            <w:tcW w:type="dxa" w:w="3000"/>
            <w:tcMar>
              <w:top w:type="dxa" w:w="80"/>
              <w:left w:type="dxa" w:w="100"/>
              <w:bottom w:type="dxa" w:w="80"/>
              <w:right w:type="dxa" w:w="100"/>
            </w:tcMar>
          </w:tcPr>
          <w:p>
            <w:pPr>
              <w:spacing w:after="0"/>
            </w:pPr>
            <w:r>
              <w:rPr>
                <w:rFonts w:ascii="Arial" w:cs="Arial" w:eastAsia="Arial" w:hAnsi="Arial"/>
                <w:b w:val="false"/>
                <w:bCs w:val="false"/>
                <w:sz w:val="19"/>
                <w:szCs w:val="19"/>
              </w:rPr>
              <w:t xml:space="preserve">$16 → $50</w:t>
            </w:r>
          </w:p>
        </w:tc>
        <w:tc>
          <w:tcPr>
            <w:tcW w:type="dxa" w:w="1900"/>
            <w:tcMar>
              <w:top w:type="dxa" w:w="80"/>
              <w:left w:type="dxa" w:w="100"/>
              <w:bottom w:type="dxa" w:w="80"/>
              <w:right w:type="dxa" w:w="100"/>
            </w:tcMar>
          </w:tcPr>
          <w:p>
            <w:pPr>
              <w:spacing w:after="0"/>
            </w:pPr>
            <w:r>
              <w:rPr>
                <w:rFonts w:ascii="Arial" w:cs="Arial" w:eastAsia="Arial" w:hAnsi="Arial"/>
                <w:b w:val="false"/>
                <w:bCs w:val="false"/>
                <w:sz w:val="19"/>
                <w:szCs w:val="19"/>
              </w:rPr>
              <w:t xml:space="preserve">+207%</w:t>
            </w:r>
          </w:p>
        </w:tc>
        <w:tc>
          <w:tcPr>
            <w:tcW w:type="dxa" w:w="2760"/>
            <w:tcMar>
              <w:top w:type="dxa" w:w="80"/>
              <w:left w:type="dxa" w:w="100"/>
              <w:bottom w:type="dxa" w:w="80"/>
              <w:right w:type="dxa" w:w="100"/>
            </w:tcMar>
          </w:tcPr>
          <w:p>
            <w:pPr>
              <w:spacing w:after="0"/>
            </w:pPr>
            <w:r>
              <w:rPr>
                <w:rFonts w:ascii="Arial" w:cs="Arial" w:eastAsia="Arial" w:hAnsi="Arial"/>
                <w:b w:val="false"/>
                <w:bCs w:val="false"/>
                <w:sz w:val="19"/>
                <w:szCs w:val="19"/>
              </w:rPr>
              <w:t xml:space="preserve">Pandemic surge</w:t>
            </w:r>
          </w:p>
        </w:tc>
      </w:tr>
      <w:tr>
        <w:tc>
          <w:tcPr>
            <w:tcW w:type="dxa" w:w="1400"/>
            <w:tcMar>
              <w:top w:type="dxa" w:w="80"/>
              <w:left w:type="dxa" w:w="100"/>
              <w:bottom w:type="dxa" w:w="80"/>
              <w:right w:type="dxa" w:w="100"/>
            </w:tcMar>
          </w:tcPr>
          <w:p>
            <w:pPr>
              <w:spacing w:after="0"/>
            </w:pPr>
            <w:r>
              <w:rPr>
                <w:rFonts w:ascii="Arial" w:cs="Arial" w:eastAsia="Arial" w:hAnsi="Arial"/>
                <w:b w:val="false"/>
                <w:bCs w:val="false"/>
                <w:sz w:val="19"/>
                <w:szCs w:val="19"/>
              </w:rPr>
              <w:t xml:space="preserve">2021</w:t>
            </w:r>
          </w:p>
        </w:tc>
        <w:tc>
          <w:tcPr>
            <w:tcW w:type="dxa" w:w="3000"/>
            <w:tcMar>
              <w:top w:type="dxa" w:w="80"/>
              <w:left w:type="dxa" w:w="100"/>
              <w:bottom w:type="dxa" w:w="80"/>
              <w:right w:type="dxa" w:w="100"/>
            </w:tcMar>
          </w:tcPr>
          <w:p>
            <w:pPr>
              <w:spacing w:after="0"/>
            </w:pPr>
            <w:r>
              <w:rPr>
                <w:rFonts w:ascii="Arial" w:cs="Arial" w:eastAsia="Arial" w:hAnsi="Arial"/>
                <w:b w:val="false"/>
                <w:bCs w:val="false"/>
                <w:sz w:val="19"/>
                <w:szCs w:val="19"/>
              </w:rPr>
              <w:t xml:space="preserve">$50 → $47 (peak $83)</w:t>
            </w:r>
          </w:p>
        </w:tc>
        <w:tc>
          <w:tcPr>
            <w:tcW w:type="dxa" w:w="1900"/>
            <w:tcMar>
              <w:top w:type="dxa" w:w="80"/>
              <w:left w:type="dxa" w:w="100"/>
              <w:bottom w:type="dxa" w:w="80"/>
              <w:right w:type="dxa" w:w="100"/>
            </w:tcMar>
          </w:tcPr>
          <w:p>
            <w:pPr>
              <w:spacing w:after="0"/>
            </w:pPr>
            <w:r>
              <w:rPr>
                <w:rFonts w:ascii="Arial" w:cs="Arial" w:eastAsia="Arial" w:hAnsi="Arial"/>
                <w:b w:val="false"/>
                <w:bCs w:val="false"/>
                <w:sz w:val="19"/>
                <w:szCs w:val="19"/>
              </w:rPr>
              <w:t xml:space="preserve">−6%</w:t>
            </w:r>
          </w:p>
        </w:tc>
        <w:tc>
          <w:tcPr>
            <w:tcW w:type="dxa" w:w="2760"/>
            <w:tcMar>
              <w:top w:type="dxa" w:w="80"/>
              <w:left w:type="dxa" w:w="100"/>
              <w:bottom w:type="dxa" w:w="80"/>
              <w:right w:type="dxa" w:w="100"/>
            </w:tcMar>
          </w:tcPr>
          <w:p>
            <w:pPr>
              <w:spacing w:after="0"/>
            </w:pPr>
            <w:r>
              <w:rPr>
                <w:rFonts w:ascii="Arial" w:cs="Arial" w:eastAsia="Arial" w:hAnsi="Arial"/>
                <w:b w:val="false"/>
                <w:bCs w:val="false"/>
                <w:sz w:val="19"/>
                <w:szCs w:val="19"/>
              </w:rPr>
              <w:t xml:space="preserve">September peak, then decline</w:t>
            </w:r>
          </w:p>
        </w:tc>
      </w:tr>
      <w:tr>
        <w:tc>
          <w:tcPr>
            <w:tcW w:type="dxa" w:w="1400"/>
            <w:tcMar>
              <w:top w:type="dxa" w:w="80"/>
              <w:left w:type="dxa" w:w="100"/>
              <w:bottom w:type="dxa" w:w="80"/>
              <w:right w:type="dxa" w:w="100"/>
            </w:tcMar>
          </w:tcPr>
          <w:p>
            <w:pPr>
              <w:spacing w:after="0"/>
            </w:pPr>
            <w:r>
              <w:rPr>
                <w:rFonts w:ascii="Arial" w:cs="Arial" w:eastAsia="Arial" w:hAnsi="Arial"/>
                <w:b w:val="false"/>
                <w:bCs w:val="false"/>
                <w:sz w:val="19"/>
                <w:szCs w:val="19"/>
              </w:rPr>
              <w:t xml:space="preserve">2022</w:t>
            </w:r>
          </w:p>
        </w:tc>
        <w:tc>
          <w:tcPr>
            <w:tcW w:type="dxa" w:w="3000"/>
            <w:tcMar>
              <w:top w:type="dxa" w:w="80"/>
              <w:left w:type="dxa" w:w="100"/>
              <w:bottom w:type="dxa" w:w="80"/>
              <w:right w:type="dxa" w:w="100"/>
            </w:tcMar>
          </w:tcPr>
          <w:p>
            <w:pPr>
              <w:spacing w:after="0"/>
            </w:pPr>
            <w:r>
              <w:rPr>
                <w:rFonts w:ascii="Arial" w:cs="Arial" w:eastAsia="Arial" w:hAnsi="Arial"/>
                <w:b w:val="false"/>
                <w:bCs w:val="false"/>
                <w:sz w:val="19"/>
                <w:szCs w:val="19"/>
              </w:rPr>
              <w:t xml:space="preserve">$47 → $9</w:t>
            </w:r>
          </w:p>
        </w:tc>
        <w:tc>
          <w:tcPr>
            <w:tcW w:type="dxa" w:w="1900"/>
            <w:tcMar>
              <w:top w:type="dxa" w:w="80"/>
              <w:left w:type="dxa" w:w="100"/>
              <w:bottom w:type="dxa" w:w="80"/>
              <w:right w:type="dxa" w:w="100"/>
            </w:tcMar>
          </w:tcPr>
          <w:p>
            <w:pPr>
              <w:spacing w:after="0"/>
            </w:pPr>
            <w:r>
              <w:rPr>
                <w:rFonts w:ascii="Arial" w:cs="Arial" w:eastAsia="Arial" w:hAnsi="Arial"/>
                <w:b w:val="false"/>
                <w:bCs w:val="false"/>
                <w:sz w:val="19"/>
                <w:szCs w:val="19"/>
              </w:rPr>
              <w:t xml:space="preserve">−81%</w:t>
            </w:r>
          </w:p>
        </w:tc>
        <w:tc>
          <w:tcPr>
            <w:tcW w:type="dxa" w:w="2760"/>
            <w:tcMar>
              <w:top w:type="dxa" w:w="80"/>
              <w:left w:type="dxa" w:w="100"/>
              <w:bottom w:type="dxa" w:w="80"/>
              <w:right w:type="dxa" w:w="100"/>
            </w:tcMar>
          </w:tcPr>
          <w:p>
            <w:pPr>
              <w:spacing w:after="0"/>
            </w:pPr>
            <w:r>
              <w:rPr>
                <w:rFonts w:ascii="Arial" w:cs="Arial" w:eastAsia="Arial" w:hAnsi="Arial"/>
                <w:b w:val="false"/>
                <w:bCs w:val="false"/>
                <w:sz w:val="19"/>
                <w:szCs w:val="19"/>
              </w:rPr>
              <w:t xml:space="preserve">Full unwind</w:t>
            </w:r>
          </w:p>
        </w:tc>
      </w:tr>
    </w:tbl>
    <w:p>
      <w:pPr>
        <w:spacing w:after="240" w:before="0" w:line="300"/>
      </w:pPr>
      <w:r>
        <w:rPr>
          <w:rFonts w:ascii="Arial" w:cs="Arial" w:eastAsia="Arial" w:hAnsi="Arial"/>
          <w:i/>
          <w:iCs/>
          <w:color w:val="666666"/>
          <w:sz w:val="18"/>
          <w:szCs w:val="18"/>
        </w:rPr>
        <w:t xml:space="preserve">Snap (SNAP) year-end prices; 2017 from IPO price. Chart pattern: up, crash, up, crash. Author’s calculation from publicly available price data (year-end prices, total return with dividends reinvested), rounded; as of 18 Oct 2026.</w:t>
      </w:r>
    </w:p>
    <w:p>
      <w:pPr>
        <w:shd w:fill="F2F4F7" w:val="clear"/>
        <w:spacing w:after="240" w:before="120" w:line="300"/>
        <w:ind w:left="284" w:right="284"/>
      </w:pPr>
      <w:r>
        <w:rPr>
          <w:rFonts w:ascii="Arial" w:cs="Arial" w:eastAsia="Arial" w:hAnsi="Arial"/>
          <w:sz w:val="22"/>
          <w:szCs w:val="22"/>
        </w:rPr>
        <w:t xml:space="preserve">The problem with rollercoaster stocks isn’t that they go down. It’s that they make the ride up feel like skill.</w:t>
      </w:r>
    </w:p>
    <w:p>
      <w:pPr>
        <w:spacing w:after="160" w:before="0" w:line="300"/>
      </w:pPr>
      <w:r>
        <w:rPr>
          <w:rFonts w:ascii="Arial" w:cs="Arial" w:eastAsia="Arial" w:hAnsi="Arial"/>
          <w:sz w:val="22"/>
          <w:szCs w:val="22"/>
        </w:rPr>
        <w:t xml:space="preserve">A selection method that only looks at peak performance – or at a short window that happens to capture a good phase – would include Snap without hesitation. A method that looks at 20 years of benchmark comparison, counting how many years the stock actually beat the index, tells a completely different story. Which is exactly where we’re going next.</w:t>
      </w:r>
    </w:p>
    <w:p>
      <w:pPr>
        <w:pageBreakBefore/>
        <w:spacing w:after="200" w:before="0" w:line="300"/>
      </w:pPr>
      <w:r>
        <w:rPr>
          <w:rFonts w:ascii="Arial" w:cs="Arial" w:eastAsia="Arial" w:hAnsi="Arial"/>
          <w:i/>
          <w:iCs/>
          <w:color w:val="666666"/>
          <w:sz w:val="20"/>
          <w:szCs w:val="20"/>
        </w:rPr>
        <w:t xml:space="preserve">Part 2</w:t>
      </w:r>
    </w:p>
    <w:p>
      <w:pPr>
        <w:pStyle w:val="Heading1"/>
        <w:spacing w:after="240" w:before="0"/>
      </w:pPr>
      <w:r>
        <w:rPr>
          <w:rFonts w:ascii="Arial" w:cs="Arial" w:eastAsia="Arial" w:hAnsi="Arial"/>
          <w:b/>
          <w:bCs/>
          <w:color w:val="1F3A5F"/>
          <w:sz w:val="40"/>
          <w:szCs w:val="40"/>
        </w:rPr>
        <w:t xml:space="preserve">The Method: Goal First, Constraints Second</w:t>
      </w:r>
    </w:p>
    <w:p>
      <w:pPr>
        <w:spacing w:after="160" w:before="0" w:line="300"/>
      </w:pPr>
      <w:r>
        <w:rPr>
          <w:rFonts w:ascii="Arial" w:cs="Arial" w:eastAsia="Arial" w:hAnsi="Arial"/>
          <w:sz w:val="22"/>
          <w:szCs w:val="22"/>
        </w:rPr>
        <w:t xml:space="preserve">The framework has three steps. They sound simple because they are. The difficulty is not understanding them – it’s resisting the urge to skip the first one.</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100"/>
        <w:gridCol w:w="3500"/>
        <w:gridCol w:w="4460"/>
      </w:tblGrid>
      <w:tr>
        <w:trPr>
          <w:tblHeader/>
        </w:trPr>
        <w:tc>
          <w:tcPr>
            <w:tcW w:type="dxa" w:w="110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Step</w:t>
            </w:r>
          </w:p>
        </w:tc>
        <w:tc>
          <w:tcPr>
            <w:tcW w:type="dxa" w:w="350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Action</w:t>
            </w:r>
          </w:p>
        </w:tc>
        <w:tc>
          <w:tcPr>
            <w:tcW w:type="dxa" w:w="446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What it does</w:t>
            </w:r>
          </w:p>
        </w:tc>
      </w:tr>
      <w:tr>
        <w:tc>
          <w:tcPr>
            <w:tcW w:type="dxa" w:w="1100"/>
            <w:tcMar>
              <w:top w:type="dxa" w:w="80"/>
              <w:left w:type="dxa" w:w="100"/>
              <w:bottom w:type="dxa" w:w="80"/>
              <w:right w:type="dxa" w:w="100"/>
            </w:tcMar>
          </w:tcPr>
          <w:p>
            <w:pPr>
              <w:spacing w:after="0"/>
            </w:pPr>
            <w:r>
              <w:rPr>
                <w:rFonts w:ascii="Arial" w:cs="Arial" w:eastAsia="Arial" w:hAnsi="Arial"/>
                <w:b w:val="false"/>
                <w:bCs w:val="false"/>
                <w:sz w:val="19"/>
                <w:szCs w:val="19"/>
              </w:rPr>
              <w:t xml:space="preserve">1</w:t>
            </w:r>
          </w:p>
        </w:tc>
        <w:tc>
          <w:tcPr>
            <w:tcW w:type="dxa" w:w="3500"/>
            <w:tcMar>
              <w:top w:type="dxa" w:w="80"/>
              <w:left w:type="dxa" w:w="100"/>
              <w:bottom w:type="dxa" w:w="80"/>
              <w:right w:type="dxa" w:w="100"/>
            </w:tcMar>
          </w:tcPr>
          <w:p>
            <w:pPr>
              <w:spacing w:after="0"/>
            </w:pPr>
            <w:r>
              <w:rPr>
                <w:rFonts w:ascii="Arial" w:cs="Arial" w:eastAsia="Arial" w:hAnsi="Arial"/>
                <w:b w:val="false"/>
                <w:bCs w:val="false"/>
                <w:sz w:val="19"/>
                <w:szCs w:val="19"/>
              </w:rPr>
              <w:t xml:space="preserve">Define your single primary goal</w:t>
            </w:r>
          </w:p>
        </w:tc>
        <w:tc>
          <w:tcPr>
            <w:tcW w:type="dxa" w:w="4460"/>
            <w:tcMar>
              <w:top w:type="dxa" w:w="80"/>
              <w:left w:type="dxa" w:w="100"/>
              <w:bottom w:type="dxa" w:w="80"/>
              <w:right w:type="dxa" w:w="100"/>
            </w:tcMar>
          </w:tcPr>
          <w:p>
            <w:pPr>
              <w:spacing w:after="0"/>
            </w:pPr>
            <w:r>
              <w:rPr>
                <w:rFonts w:ascii="Arial" w:cs="Arial" w:eastAsia="Arial" w:hAnsi="Arial"/>
                <w:b w:val="false"/>
                <w:bCs w:val="false"/>
                <w:sz w:val="19"/>
                <w:szCs w:val="19"/>
              </w:rPr>
              <w:t xml:space="preserve">Sets the sorting criterion – everything else is secondary</w:t>
            </w:r>
          </w:p>
        </w:tc>
      </w:tr>
      <w:tr>
        <w:tc>
          <w:tcPr>
            <w:tcW w:type="dxa" w:w="1100"/>
            <w:tcMar>
              <w:top w:type="dxa" w:w="80"/>
              <w:left w:type="dxa" w:w="100"/>
              <w:bottom w:type="dxa" w:w="80"/>
              <w:right w:type="dxa" w:w="100"/>
            </w:tcMar>
          </w:tcPr>
          <w:p>
            <w:pPr>
              <w:spacing w:after="0"/>
            </w:pPr>
            <w:r>
              <w:rPr>
                <w:rFonts w:ascii="Arial" w:cs="Arial" w:eastAsia="Arial" w:hAnsi="Arial"/>
                <w:b w:val="false"/>
                <w:bCs w:val="false"/>
                <w:sz w:val="19"/>
                <w:szCs w:val="19"/>
              </w:rPr>
              <w:t xml:space="preserve">2</w:t>
            </w:r>
          </w:p>
        </w:tc>
        <w:tc>
          <w:tcPr>
            <w:tcW w:type="dxa" w:w="3500"/>
            <w:tcMar>
              <w:top w:type="dxa" w:w="80"/>
              <w:left w:type="dxa" w:w="100"/>
              <w:bottom w:type="dxa" w:w="80"/>
              <w:right w:type="dxa" w:w="100"/>
            </w:tcMar>
          </w:tcPr>
          <w:p>
            <w:pPr>
              <w:spacing w:after="0"/>
            </w:pPr>
            <w:r>
              <w:rPr>
                <w:rFonts w:ascii="Arial" w:cs="Arial" w:eastAsia="Arial" w:hAnsi="Arial"/>
                <w:b w:val="false"/>
                <w:bCs w:val="false"/>
                <w:sz w:val="19"/>
                <w:szCs w:val="19"/>
              </w:rPr>
              <w:t xml:space="preserve">Set constraints as knock-out criteria</w:t>
            </w:r>
          </w:p>
        </w:tc>
        <w:tc>
          <w:tcPr>
            <w:tcW w:type="dxa" w:w="4460"/>
            <w:tcMar>
              <w:top w:type="dxa" w:w="80"/>
              <w:left w:type="dxa" w:w="100"/>
              <w:bottom w:type="dxa" w:w="80"/>
              <w:right w:type="dxa" w:w="100"/>
            </w:tcMar>
          </w:tcPr>
          <w:p>
            <w:pPr>
              <w:spacing w:after="0"/>
            </w:pPr>
            <w:r>
              <w:rPr>
                <w:rFonts w:ascii="Arial" w:cs="Arial" w:eastAsia="Arial" w:hAnsi="Arial"/>
                <w:b w:val="false"/>
                <w:bCs w:val="false"/>
                <w:sz w:val="19"/>
                <w:szCs w:val="19"/>
              </w:rPr>
              <w:t xml:space="preserve">Eliminates candidates that would undermine your goal</w:t>
            </w:r>
          </w:p>
        </w:tc>
      </w:tr>
      <w:tr>
        <w:tc>
          <w:tcPr>
            <w:tcW w:type="dxa" w:w="1100"/>
            <w:tcMar>
              <w:top w:type="dxa" w:w="80"/>
              <w:left w:type="dxa" w:w="100"/>
              <w:bottom w:type="dxa" w:w="80"/>
              <w:right w:type="dxa" w:w="100"/>
            </w:tcMar>
          </w:tcPr>
          <w:p>
            <w:pPr>
              <w:spacing w:after="0"/>
            </w:pPr>
            <w:r>
              <w:rPr>
                <w:rFonts w:ascii="Arial" w:cs="Arial" w:eastAsia="Arial" w:hAnsi="Arial"/>
                <w:b w:val="false"/>
                <w:bCs w:val="false"/>
                <w:sz w:val="19"/>
                <w:szCs w:val="19"/>
              </w:rPr>
              <w:t xml:space="preserve">3</w:t>
            </w:r>
          </w:p>
        </w:tc>
        <w:tc>
          <w:tcPr>
            <w:tcW w:type="dxa" w:w="3500"/>
            <w:tcMar>
              <w:top w:type="dxa" w:w="80"/>
              <w:left w:type="dxa" w:w="100"/>
              <w:bottom w:type="dxa" w:w="80"/>
              <w:right w:type="dxa" w:w="100"/>
            </w:tcMar>
          </w:tcPr>
          <w:p>
            <w:pPr>
              <w:spacing w:after="0"/>
            </w:pPr>
            <w:r>
              <w:rPr>
                <w:rFonts w:ascii="Arial" w:cs="Arial" w:eastAsia="Arial" w:hAnsi="Arial"/>
                <w:b w:val="false"/>
                <w:bCs w:val="false"/>
                <w:sz w:val="19"/>
                <w:szCs w:val="19"/>
              </w:rPr>
              <w:t xml:space="preserve">Rank what remains</w:t>
            </w:r>
          </w:p>
        </w:tc>
        <w:tc>
          <w:tcPr>
            <w:tcW w:type="dxa" w:w="4460"/>
            <w:tcMar>
              <w:top w:type="dxa" w:w="80"/>
              <w:left w:type="dxa" w:w="100"/>
              <w:bottom w:type="dxa" w:w="80"/>
              <w:right w:type="dxa" w:w="100"/>
            </w:tcMar>
          </w:tcPr>
          <w:p>
            <w:pPr>
              <w:spacing w:after="0"/>
            </w:pPr>
            <w:r>
              <w:rPr>
                <w:rFonts w:ascii="Arial" w:cs="Arial" w:eastAsia="Arial" w:hAnsi="Arial"/>
                <w:b w:val="false"/>
                <w:bCs w:val="false"/>
                <w:sz w:val="19"/>
                <w:szCs w:val="19"/>
              </w:rPr>
              <w:t xml:space="preserve">Surfaces the best options within a clean candidate set</w:t>
            </w:r>
          </w:p>
        </w:tc>
      </w:tr>
    </w:tbl>
    <w:p>
      <w:pPr>
        <w:spacing w:after="120" w:before="0" w:line="300"/>
      </w:pPr>
      <w:r>
        <w:rPr>
          <w:rFonts w:ascii="Arial" w:cs="Arial" w:eastAsia="Arial" w:hAnsi="Arial"/>
          <w:sz w:val="22"/>
          <w:szCs w:val="22"/>
        </w:rPr>
        <w:t xml:space="preserve"/>
      </w:r>
    </w:p>
    <w:p>
      <w:pPr>
        <w:shd w:fill="F2F4F7" w:val="clear"/>
        <w:spacing w:after="240" w:before="120" w:line="300"/>
        <w:ind w:left="284" w:right="284"/>
      </w:pPr>
      <w:r>
        <w:rPr>
          <w:rFonts w:ascii="Arial" w:cs="Arial" w:eastAsia="Arial" w:hAnsi="Arial"/>
          <w:sz w:val="22"/>
          <w:szCs w:val="22"/>
        </w:rPr>
        <w:t xml:space="preserve">In decision theory this is called lexicographic preference – you optimize for one thing, and only among candidates that satisfy it do you apply further criteria. It has a long academic history. It also just works.</w:t>
      </w:r>
    </w:p>
    <w:p>
      <w:pPr>
        <w:pStyle w:val="Heading2"/>
        <w:keepNext/>
        <w:spacing w:after="160" w:before="320"/>
      </w:pPr>
      <w:r>
        <w:rPr>
          <w:rFonts w:ascii="Arial" w:cs="Arial" w:eastAsia="Arial" w:hAnsi="Arial"/>
          <w:b/>
          <w:bCs/>
          <w:color w:val="1F3A5F"/>
          <w:sz w:val="28"/>
          <w:szCs w:val="28"/>
        </w:rPr>
        <w:t xml:space="preserve">Strategy 1 — Outperformance</w:t>
      </w:r>
    </w:p>
    <w:p>
      <w:pPr>
        <w:keepNext/>
        <w:spacing w:after="60" w:before="200" w:line="300"/>
      </w:pPr>
      <w:r>
        <w:rPr>
          <w:rFonts w:ascii="Arial" w:cs="Arial" w:eastAsia="Arial" w:hAnsi="Arial"/>
          <w:b/>
          <w:bCs/>
          <w:caps/>
          <w:color w:val="666666"/>
          <w:sz w:val="18"/>
          <w:szCs w:val="18"/>
        </w:rPr>
        <w:t xml:space="preserve">The goal</w:t>
      </w:r>
    </w:p>
    <w:p>
      <w:pPr>
        <w:spacing w:after="160" w:before="0" w:line="300"/>
      </w:pPr>
      <w:r>
        <w:rPr>
          <w:rFonts w:ascii="Arial" w:cs="Arial" w:eastAsia="Arial" w:hAnsi="Arial"/>
          <w:b/>
          <w:bCs/>
          <w:sz w:val="22"/>
          <w:szCs w:val="22"/>
        </w:rPr>
        <w:t xml:space="preserve">Stocks that consistently beat the benchmark.</w:t>
      </w:r>
    </w:p>
    <w:p>
      <w:pPr>
        <w:spacing w:after="160" w:before="0" w:line="300"/>
      </w:pPr>
      <w:r>
        <w:rPr>
          <w:rFonts w:ascii="Arial" w:cs="Arial" w:eastAsia="Arial" w:hAnsi="Arial"/>
          <w:sz w:val="22"/>
          <w:szCs w:val="22"/>
        </w:rPr>
        <w:t xml:space="preserve">Note the word consistently. This is where most outperformance-based selection goes wrong. The typical approach: rank by total return over 3–5 years. A single extraordinary year can dominate the entire period. A stock that returned +180% in 2020 and was flat every other year looks like an outperformer. It isn’t. It got lucky once, or caught a narrative, or both.</w:t>
      </w:r>
    </w:p>
    <w:p>
      <w:pPr>
        <w:keepNext/>
        <w:spacing w:after="60" w:before="200" w:line="300"/>
      </w:pPr>
      <w:r>
        <w:rPr>
          <w:rFonts w:ascii="Arial" w:cs="Arial" w:eastAsia="Arial" w:hAnsi="Arial"/>
          <w:b/>
          <w:bCs/>
          <w:caps/>
          <w:color w:val="666666"/>
          <w:sz w:val="18"/>
          <w:szCs w:val="18"/>
        </w:rPr>
        <w:t xml:space="preserve">Step 1 — Primary goal: Consistency of outperformance</w:t>
      </w:r>
    </w:p>
    <w:p>
      <w:pPr>
        <w:spacing w:after="160" w:before="0" w:line="300"/>
      </w:pPr>
      <w:r>
        <w:rPr>
          <w:rFonts w:ascii="Arial" w:cs="Arial" w:eastAsia="Arial" w:hAnsi="Arial"/>
          <w:sz w:val="22"/>
          <w:szCs w:val="22"/>
        </w:rPr>
        <w:t xml:space="preserve">Look at 20 years of annual returns – or as far back as data exists. For each year, ask one question: did this stock beat the benchmark that year, yes or no? Count the years it did. That ratio – say, 14 out of 20 – is your primary sorting criterion. Not total return. Not average return. How often did it win.</w:t>
      </w:r>
    </w:p>
    <w:p>
      <w:pPr>
        <w:shd w:fill="F2F4F7" w:val="clear"/>
        <w:spacing w:after="240" w:before="120" w:line="300"/>
        <w:ind w:left="284" w:right="284"/>
      </w:pPr>
      <w:r>
        <w:rPr>
          <w:rFonts w:ascii="Arial" w:cs="Arial" w:eastAsia="Arial" w:hAnsi="Arial"/>
          <w:sz w:val="22"/>
          <w:szCs w:val="22"/>
        </w:rPr>
        <w:t xml:space="preserve">Twenty years matters because it includes multiple crash periods: dot-com, 2008, COVID. A stock that beats the benchmark in 14 of those 20 years has done it through recessions, rate cycles, and panic. That is a different claim than beating the index between 2019 and 2023. If a stock doesn’t have 20 years of history, that’s not a reason to skip it – but it’s a reason to be honest about what you don’t know. You’re missing at least one serious crash. Those are exactly the years that matter.</w:t>
      </w:r>
    </w:p>
    <w:p>
      <w:pPr>
        <w:keepNext/>
        <w:spacing w:after="60" w:before="200" w:line="300"/>
      </w:pPr>
      <w:r>
        <w:rPr>
          <w:rFonts w:ascii="Arial" w:cs="Arial" w:eastAsia="Arial" w:hAnsi="Arial"/>
          <w:b/>
          <w:bCs/>
          <w:caps/>
          <w:color w:val="666666"/>
          <w:sz w:val="18"/>
          <w:szCs w:val="18"/>
        </w:rPr>
        <w:t xml:space="preserve">Step 2 — Knock-out filter: Loss years</w:t>
      </w:r>
    </w:p>
    <w:p>
      <w:pPr>
        <w:spacing w:after="160" w:before="0" w:line="300"/>
      </w:pPr>
      <w:r>
        <w:rPr>
          <w:rFonts w:ascii="Arial" w:cs="Arial" w:eastAsia="Arial" w:hAnsi="Arial"/>
          <w:sz w:val="22"/>
          <w:szCs w:val="22"/>
        </w:rPr>
        <w:t xml:space="preserve">How many years did the stock post a negative absolute return? Set a maximum you’re comfortable with – for example, no more than 4 loss years in 20. A stock can underperform the benchmark in a given year and still be positive. A stock that loses money in 8 of 20 years is a different risk proposition entirely, regardless of its average return.</w:t>
      </w:r>
    </w:p>
    <w:p>
      <w:pPr>
        <w:keepNext/>
        <w:spacing w:after="60" w:before="200" w:line="300"/>
      </w:pPr>
      <w:r>
        <w:rPr>
          <w:rFonts w:ascii="Arial" w:cs="Arial" w:eastAsia="Arial" w:hAnsi="Arial"/>
          <w:b/>
          <w:bCs/>
          <w:caps/>
          <w:color w:val="666666"/>
          <w:sz w:val="18"/>
          <w:szCs w:val="18"/>
        </w:rPr>
        <w:t xml:space="preserve">Step 3 — Ranking: Average annual return</w:t>
      </w:r>
    </w:p>
    <w:p>
      <w:pPr>
        <w:spacing w:after="160" w:before="0" w:line="300"/>
      </w:pPr>
      <w:r>
        <w:rPr>
          <w:rFonts w:ascii="Arial" w:cs="Arial" w:eastAsia="Arial" w:hAnsi="Arial"/>
          <w:sz w:val="22"/>
          <w:szCs w:val="22"/>
        </w:rPr>
        <w:t xml:space="preserve">Among candidates that pass steps 1 and 2, rank by average annual return. Only now does magnitude enter the picture.</w:t>
      </w:r>
    </w:p>
    <w:p>
      <w:pPr>
        <w:pStyle w:val="Heading3"/>
        <w:keepNext/>
        <w:spacing w:after="120" w:before="240"/>
      </w:pPr>
      <w:r>
        <w:rPr>
          <w:rFonts w:ascii="Arial" w:cs="Arial" w:eastAsia="Arial" w:hAnsi="Arial"/>
          <w:b/>
          <w:bCs/>
          <w:sz w:val="24"/>
          <w:szCs w:val="24"/>
        </w:rPr>
        <w:t xml:space="preserve">Stock B vs. Stock C — what the method catches</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300"/>
        <w:gridCol w:w="2500"/>
        <w:gridCol w:w="1500"/>
        <w:gridCol w:w="1700"/>
        <w:gridCol w:w="2060"/>
      </w:tblGrid>
      <w:tr>
        <w:trPr>
          <w:tblHeader/>
        </w:trPr>
        <w:tc>
          <w:tcPr>
            <w:tcW w:type="dxa" w:w="130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
            </w:r>
          </w:p>
        </w:tc>
        <w:tc>
          <w:tcPr>
            <w:tcW w:type="dxa" w:w="250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Benchmark beat (of 20 years)</w:t>
            </w:r>
          </w:p>
        </w:tc>
        <w:tc>
          <w:tcPr>
            <w:tcW w:type="dxa" w:w="150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Loss years</w:t>
            </w:r>
          </w:p>
        </w:tc>
        <w:tc>
          <w:tcPr>
            <w:tcW w:type="dxa" w:w="170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Avg. annual return</w:t>
            </w:r>
          </w:p>
        </w:tc>
        <w:tc>
          <w:tcPr>
            <w:tcW w:type="dxa" w:w="206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$100k after 20 years</w:t>
            </w:r>
          </w:p>
        </w:tc>
      </w:tr>
      <w:tr>
        <w:tc>
          <w:tcPr>
            <w:tcW w:type="dxa" w:w="1300"/>
            <w:tcMar>
              <w:top w:type="dxa" w:w="80"/>
              <w:left w:type="dxa" w:w="100"/>
              <w:bottom w:type="dxa" w:w="80"/>
              <w:right w:type="dxa" w:w="100"/>
            </w:tcMar>
          </w:tcPr>
          <w:p>
            <w:pPr>
              <w:spacing w:after="0"/>
            </w:pPr>
            <w:r>
              <w:rPr>
                <w:rFonts w:ascii="Arial" w:cs="Arial" w:eastAsia="Arial" w:hAnsi="Arial"/>
                <w:b w:val="false"/>
                <w:bCs w:val="false"/>
                <w:sz w:val="19"/>
                <w:szCs w:val="19"/>
              </w:rPr>
              <w:t xml:space="preserve">Stock B</w:t>
            </w:r>
          </w:p>
        </w:tc>
        <w:tc>
          <w:tcPr>
            <w:tcW w:type="dxa" w:w="2500"/>
            <w:tcMar>
              <w:top w:type="dxa" w:w="80"/>
              <w:left w:type="dxa" w:w="100"/>
              <w:bottom w:type="dxa" w:w="80"/>
              <w:right w:type="dxa" w:w="100"/>
            </w:tcMar>
          </w:tcPr>
          <w:p>
            <w:pPr>
              <w:spacing w:after="0"/>
            </w:pPr>
            <w:r>
              <w:rPr>
                <w:rFonts w:ascii="Arial" w:cs="Arial" w:eastAsia="Arial" w:hAnsi="Arial"/>
                <w:b w:val="false"/>
                <w:bCs w:val="false"/>
                <w:sz w:val="19"/>
                <w:szCs w:val="19"/>
              </w:rPr>
              <w:t xml:space="preserve">14 / 20</w:t>
            </w:r>
          </w:p>
        </w:tc>
        <w:tc>
          <w:tcPr>
            <w:tcW w:type="dxa" w:w="1500"/>
            <w:tcMar>
              <w:top w:type="dxa" w:w="80"/>
              <w:left w:type="dxa" w:w="100"/>
              <w:bottom w:type="dxa" w:w="80"/>
              <w:right w:type="dxa" w:w="100"/>
            </w:tcMar>
          </w:tcPr>
          <w:p>
            <w:pPr>
              <w:spacing w:after="0"/>
            </w:pPr>
            <w:r>
              <w:rPr>
                <w:rFonts w:ascii="Arial" w:cs="Arial" w:eastAsia="Arial" w:hAnsi="Arial"/>
                <w:b w:val="false"/>
                <w:bCs w:val="false"/>
                <w:sz w:val="19"/>
                <w:szCs w:val="19"/>
              </w:rPr>
              <w:t xml:space="preserve">3</w:t>
            </w:r>
          </w:p>
        </w:tc>
        <w:tc>
          <w:tcPr>
            <w:tcW w:type="dxa" w:w="1700"/>
            <w:tcMar>
              <w:top w:type="dxa" w:w="80"/>
              <w:left w:type="dxa" w:w="100"/>
              <w:bottom w:type="dxa" w:w="80"/>
              <w:right w:type="dxa" w:w="100"/>
            </w:tcMar>
          </w:tcPr>
          <w:p>
            <w:pPr>
              <w:spacing w:after="0"/>
            </w:pPr>
            <w:r>
              <w:rPr>
                <w:rFonts w:ascii="Arial" w:cs="Arial" w:eastAsia="Arial" w:hAnsi="Arial"/>
                <w:b w:val="false"/>
                <w:bCs w:val="false"/>
                <w:sz w:val="19"/>
                <w:szCs w:val="19"/>
              </w:rPr>
              <w:t xml:space="preserve">+14.2%</w:t>
            </w:r>
          </w:p>
        </w:tc>
        <w:tc>
          <w:tcPr>
            <w:tcW w:type="dxa" w:w="2060"/>
            <w:tcMar>
              <w:top w:type="dxa" w:w="80"/>
              <w:left w:type="dxa" w:w="100"/>
              <w:bottom w:type="dxa" w:w="80"/>
              <w:right w:type="dxa" w:w="100"/>
            </w:tcMar>
          </w:tcPr>
          <w:p>
            <w:pPr>
              <w:spacing w:after="0"/>
            </w:pPr>
            <w:r>
              <w:rPr>
                <w:rFonts w:ascii="Arial" w:cs="Arial" w:eastAsia="Arial" w:hAnsi="Arial"/>
                <w:b w:val="false"/>
                <w:bCs w:val="false"/>
                <w:sz w:val="19"/>
                <w:szCs w:val="19"/>
              </w:rPr>
              <w:t xml:space="preserve">~$1,370,000</w:t>
            </w:r>
          </w:p>
        </w:tc>
      </w:tr>
      <w:tr>
        <w:tc>
          <w:tcPr>
            <w:tcW w:type="dxa" w:w="1300"/>
            <w:tcMar>
              <w:top w:type="dxa" w:w="80"/>
              <w:left w:type="dxa" w:w="100"/>
              <w:bottom w:type="dxa" w:w="80"/>
              <w:right w:type="dxa" w:w="100"/>
            </w:tcMar>
          </w:tcPr>
          <w:p>
            <w:pPr>
              <w:spacing w:after="0"/>
            </w:pPr>
            <w:r>
              <w:rPr>
                <w:rFonts w:ascii="Arial" w:cs="Arial" w:eastAsia="Arial" w:hAnsi="Arial"/>
                <w:b w:val="false"/>
                <w:bCs w:val="false"/>
                <w:sz w:val="19"/>
                <w:szCs w:val="19"/>
              </w:rPr>
              <w:t xml:space="preserve">Stock C</w:t>
            </w:r>
          </w:p>
        </w:tc>
        <w:tc>
          <w:tcPr>
            <w:tcW w:type="dxa" w:w="2500"/>
            <w:tcMar>
              <w:top w:type="dxa" w:w="80"/>
              <w:left w:type="dxa" w:w="100"/>
              <w:bottom w:type="dxa" w:w="80"/>
              <w:right w:type="dxa" w:w="100"/>
            </w:tcMar>
          </w:tcPr>
          <w:p>
            <w:pPr>
              <w:spacing w:after="0"/>
            </w:pPr>
            <w:r>
              <w:rPr>
                <w:rFonts w:ascii="Arial" w:cs="Arial" w:eastAsia="Arial" w:hAnsi="Arial"/>
                <w:b w:val="false"/>
                <w:bCs w:val="false"/>
                <w:sz w:val="19"/>
                <w:szCs w:val="19"/>
              </w:rPr>
              <w:t xml:space="preserve">7 / 20</w:t>
            </w:r>
          </w:p>
        </w:tc>
        <w:tc>
          <w:tcPr>
            <w:tcW w:type="dxa" w:w="1500"/>
            <w:tcMar>
              <w:top w:type="dxa" w:w="80"/>
              <w:left w:type="dxa" w:w="100"/>
              <w:bottom w:type="dxa" w:w="80"/>
              <w:right w:type="dxa" w:w="100"/>
            </w:tcMar>
          </w:tcPr>
          <w:p>
            <w:pPr>
              <w:spacing w:after="0"/>
            </w:pPr>
            <w:r>
              <w:rPr>
                <w:rFonts w:ascii="Arial" w:cs="Arial" w:eastAsia="Arial" w:hAnsi="Arial"/>
                <w:b w:val="false"/>
                <w:bCs w:val="false"/>
                <w:sz w:val="19"/>
                <w:szCs w:val="19"/>
              </w:rPr>
              <w:t xml:space="preserve">9</w:t>
            </w:r>
          </w:p>
        </w:tc>
        <w:tc>
          <w:tcPr>
            <w:tcW w:type="dxa" w:w="1700"/>
            <w:tcMar>
              <w:top w:type="dxa" w:w="80"/>
              <w:left w:type="dxa" w:w="100"/>
              <w:bottom w:type="dxa" w:w="80"/>
              <w:right w:type="dxa" w:w="100"/>
            </w:tcMar>
          </w:tcPr>
          <w:p>
            <w:pPr>
              <w:spacing w:after="0"/>
            </w:pPr>
            <w:r>
              <w:rPr>
                <w:rFonts w:ascii="Arial" w:cs="Arial" w:eastAsia="Arial" w:hAnsi="Arial"/>
                <w:b w:val="false"/>
                <w:bCs w:val="false"/>
                <w:sz w:val="19"/>
                <w:szCs w:val="19"/>
              </w:rPr>
              <w:t xml:space="preserve">+11.8%</w:t>
            </w:r>
          </w:p>
        </w:tc>
        <w:tc>
          <w:tcPr>
            <w:tcW w:type="dxa" w:w="2060"/>
            <w:tcMar>
              <w:top w:type="dxa" w:w="80"/>
              <w:left w:type="dxa" w:w="100"/>
              <w:bottom w:type="dxa" w:w="80"/>
              <w:right w:type="dxa" w:w="100"/>
            </w:tcMar>
          </w:tcPr>
          <w:p>
            <w:pPr>
              <w:spacing w:after="0"/>
            </w:pPr>
            <w:r>
              <w:rPr>
                <w:rFonts w:ascii="Arial" w:cs="Arial" w:eastAsia="Arial" w:hAnsi="Arial"/>
                <w:b w:val="false"/>
                <w:bCs w:val="false"/>
                <w:sz w:val="19"/>
                <w:szCs w:val="19"/>
              </w:rPr>
              <w:t xml:space="preserve">~$850,000</w:t>
            </w:r>
          </w:p>
        </w:tc>
      </w:tr>
    </w:tbl>
    <w:p>
      <w:pPr>
        <w:spacing w:after="120" w:before="0" w:line="300"/>
      </w:pPr>
      <w:r>
        <w:rPr>
          <w:rFonts w:ascii="Arial" w:cs="Arial" w:eastAsia="Arial" w:hAnsi="Arial"/>
          <w:sz w:val="22"/>
          <w:szCs w:val="22"/>
        </w:rPr>
        <w:t xml:space="preserve"/>
      </w:r>
    </w:p>
    <w:p>
      <w:pPr>
        <w:spacing w:after="160" w:before="0" w:line="300"/>
      </w:pPr>
      <w:r>
        <w:rPr>
          <w:rFonts w:ascii="Arial" w:cs="Arial" w:eastAsia="Arial" w:hAnsi="Arial"/>
          <w:sz w:val="22"/>
          <w:szCs w:val="22"/>
        </w:rPr>
        <w:t xml:space="preserve">Stock C has a lower average return and worse consistency – because the loss years destroy the compounding effect. The final column makes this concrete: same starting point, nearly $520,000 difference after 20 years. Stock C didn’t lose dramatically. It just interrupted compounding often enough to matter.</w:t>
      </w:r>
    </w:p>
    <w:p>
      <w:pPr>
        <w:pStyle w:val="Heading2"/>
        <w:keepNext/>
        <w:spacing w:after="160" w:before="320"/>
      </w:pPr>
      <w:r>
        <w:rPr>
          <w:rFonts w:ascii="Arial" w:cs="Arial" w:eastAsia="Arial" w:hAnsi="Arial"/>
          <w:b/>
          <w:bCs/>
          <w:color w:val="1F3A5F"/>
          <w:sz w:val="28"/>
          <w:szCs w:val="28"/>
        </w:rPr>
        <w:t xml:space="preserve">Strategy 2 — Dividends</w:t>
      </w:r>
    </w:p>
    <w:p>
      <w:pPr>
        <w:keepNext/>
        <w:spacing w:after="60" w:before="200" w:line="300"/>
      </w:pPr>
      <w:r>
        <w:rPr>
          <w:rFonts w:ascii="Arial" w:cs="Arial" w:eastAsia="Arial" w:hAnsi="Arial"/>
          <w:b/>
          <w:bCs/>
          <w:caps/>
          <w:color w:val="666666"/>
          <w:sz w:val="18"/>
          <w:szCs w:val="18"/>
        </w:rPr>
        <w:t xml:space="preserve">The goal</w:t>
      </w:r>
    </w:p>
    <w:p>
      <w:pPr>
        <w:spacing w:after="160" w:before="0" w:line="300"/>
      </w:pPr>
      <w:r>
        <w:rPr>
          <w:rFonts w:ascii="Arial" w:cs="Arial" w:eastAsia="Arial" w:hAnsi="Arial"/>
          <w:b/>
          <w:bCs/>
          <w:sz w:val="22"/>
          <w:szCs w:val="22"/>
        </w:rPr>
        <w:t xml:space="preserve">A yield that is real, stable, and not being funded by a deteriorating business.</w:t>
      </w:r>
    </w:p>
    <w:p>
      <w:pPr>
        <w:spacing w:after="160" w:before="0" w:line="300"/>
      </w:pPr>
      <w:r>
        <w:rPr>
          <w:rFonts w:ascii="Arial" w:cs="Arial" w:eastAsia="Arial" w:hAnsi="Arial"/>
          <w:sz w:val="22"/>
          <w:szCs w:val="22"/>
        </w:rPr>
        <w:t xml:space="preserve">This sounds like common sense. The AT&amp;T example from Part 1 demonstrates that common sense is not the same as common practice.</w:t>
      </w:r>
    </w:p>
    <w:p>
      <w:pPr>
        <w:keepNext/>
        <w:spacing w:after="60" w:before="200" w:line="300"/>
      </w:pPr>
      <w:r>
        <w:rPr>
          <w:rFonts w:ascii="Arial" w:cs="Arial" w:eastAsia="Arial" w:hAnsi="Arial"/>
          <w:b/>
          <w:bCs/>
          <w:caps/>
          <w:color w:val="666666"/>
          <w:sz w:val="18"/>
          <w:szCs w:val="18"/>
        </w:rPr>
        <w:t xml:space="preserve">Step 1 — Primary goal: Yield threshold</w:t>
      </w:r>
    </w:p>
    <w:p>
      <w:pPr>
        <w:spacing w:after="160" w:before="0" w:line="300"/>
      </w:pPr>
      <w:r>
        <w:rPr>
          <w:rFonts w:ascii="Arial" w:cs="Arial" w:eastAsia="Arial" w:hAnsi="Arial"/>
          <w:sz w:val="22"/>
          <w:szCs w:val="22"/>
        </w:rPr>
        <w:t xml:space="preserve">Filter for stocks with a dividend yield above your minimum – say, 3.5% or 4%. This gives you your universe. Do not rank by yield yet. A higher yield at this stage is not better, it’s just a number that needs to be interrogated.</w:t>
      </w:r>
    </w:p>
    <w:p>
      <w:pPr>
        <w:keepNext/>
        <w:spacing w:after="60" w:before="200" w:line="300"/>
      </w:pPr>
      <w:r>
        <w:rPr>
          <w:rFonts w:ascii="Arial" w:cs="Arial" w:eastAsia="Arial" w:hAnsi="Arial"/>
          <w:b/>
          <w:bCs/>
          <w:caps/>
          <w:color w:val="666666"/>
          <w:sz w:val="18"/>
          <w:szCs w:val="18"/>
        </w:rPr>
        <w:t xml:space="preserve">Step 2 — Knock-out filter 1: Loss years</w:t>
      </w:r>
    </w:p>
    <w:p>
      <w:pPr>
        <w:spacing w:after="160" w:before="0" w:line="300"/>
      </w:pPr>
      <w:r>
        <w:rPr>
          <w:rFonts w:ascii="Arial" w:cs="Arial" w:eastAsia="Arial" w:hAnsi="Arial"/>
          <w:sz w:val="22"/>
          <w:szCs w:val="22"/>
        </w:rPr>
        <w:t xml:space="preserve">How many years in the last 20 did the stock post a negative return? A dividend that arrives every quarter while the share price falls 15% annually is not a dividend strategy. It’s a slow exit.</w:t>
      </w:r>
    </w:p>
    <w:p>
      <w:pPr>
        <w:keepNext/>
        <w:spacing w:after="60" w:before="200" w:line="300"/>
      </w:pPr>
      <w:r>
        <w:rPr>
          <w:rFonts w:ascii="Arial" w:cs="Arial" w:eastAsia="Arial" w:hAnsi="Arial"/>
          <w:b/>
          <w:bCs/>
          <w:caps/>
          <w:color w:val="666666"/>
          <w:sz w:val="18"/>
          <w:szCs w:val="18"/>
        </w:rPr>
        <w:t xml:space="preserve">Step 3 — Knock-out filter 2: Payout ratio and trend</w:t>
      </w:r>
    </w:p>
    <w:p>
      <w:pPr>
        <w:spacing w:after="160" w:before="0" w:line="300"/>
      </w:pPr>
      <w:r>
        <w:rPr>
          <w:rFonts w:ascii="Arial" w:cs="Arial" w:eastAsia="Arial" w:hAnsi="Arial"/>
          <w:sz w:val="22"/>
          <w:szCs w:val="22"/>
        </w:rPr>
        <w:t xml:space="preserve">Is the dividend being paid from earnings, or from something else? A payout ratio consistently above 90–100% is a warning sign. Combined with a flat or declining share price, it often means the company is returning capital it doesn’t have to spare.</w:t>
      </w:r>
    </w:p>
    <w:p>
      <w:pPr>
        <w:keepNext/>
        <w:spacing w:after="60" w:before="200" w:line="300"/>
      </w:pPr>
      <w:r>
        <w:rPr>
          <w:rFonts w:ascii="Arial" w:cs="Arial" w:eastAsia="Arial" w:hAnsi="Arial"/>
          <w:b/>
          <w:bCs/>
          <w:caps/>
          <w:color w:val="666666"/>
          <w:sz w:val="18"/>
          <w:szCs w:val="18"/>
        </w:rPr>
        <w:t xml:space="preserve">Step 4 — Ranking: Average annual total return</w:t>
      </w:r>
    </w:p>
    <w:p>
      <w:pPr>
        <w:spacing w:after="160" w:before="0" w:line="300"/>
      </w:pPr>
      <w:r>
        <w:rPr>
          <w:rFonts w:ascii="Arial" w:cs="Arial" w:eastAsia="Arial" w:hAnsi="Arial"/>
          <w:sz w:val="22"/>
          <w:szCs w:val="22"/>
        </w:rPr>
        <w:t xml:space="preserve">Among candidates that pass, rank by total return – price appreciation plus dividends. This is the number that actually ended up in your account.</w:t>
      </w:r>
    </w:p>
    <w:p>
      <w:pPr>
        <w:pStyle w:val="Heading3"/>
        <w:keepNext/>
        <w:spacing w:after="120" w:before="240"/>
      </w:pPr>
      <w:r>
        <w:rPr>
          <w:rFonts w:ascii="Arial" w:cs="Arial" w:eastAsia="Arial" w:hAnsi="Arial"/>
          <w:b/>
          <w:bCs/>
          <w:sz w:val="24"/>
          <w:szCs w:val="24"/>
        </w:rPr>
        <w:t xml:space="preserve">AT&amp;T revisited — would the method have caught it?</w:t>
      </w:r>
    </w:p>
    <w:p>
      <w:pPr>
        <w:spacing w:after="160" w:before="0" w:line="300"/>
      </w:pPr>
      <w:r>
        <w:rPr>
          <w:rFonts w:ascii="Arial" w:cs="Arial" w:eastAsia="Arial" w:hAnsi="Arial"/>
          <w:sz w:val="22"/>
          <w:szCs w:val="22"/>
        </w:rPr>
        <w:t xml:space="preserve">Yes, at Step 2. Between 2017 and 2022, AT&amp;T posted negative total returns in four of six years – a loss year ratio of 0.67, far above any reasonable threshold. The yield looked attractive. The loss-year filter would have flagged it before the dividend cut made it obvious to everyone else.</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1900"/>
        <w:gridCol w:w="1700"/>
        <w:gridCol w:w="1560"/>
      </w:tblGrid>
      <w:tr>
        <w:trPr>
          <w:tblHeader/>
        </w:trPr>
        <w:tc>
          <w:tcPr>
            <w:tcW w:type="dxa" w:w="200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
            </w:r>
          </w:p>
        </w:tc>
        <w:tc>
          <w:tcPr>
            <w:tcW w:type="dxa" w:w="190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Avg. Yield</w:t>
            </w:r>
          </w:p>
        </w:tc>
        <w:tc>
          <w:tcPr>
            <w:tcW w:type="dxa" w:w="190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Loss years (2017–2022)</w:t>
            </w:r>
          </w:p>
        </w:tc>
        <w:tc>
          <w:tcPr>
            <w:tcW w:type="dxa" w:w="170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Avg. annual total return</w:t>
            </w:r>
          </w:p>
        </w:tc>
        <w:tc>
          <w:tcPr>
            <w:tcW w:type="dxa" w:w="156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$100k after 6 years</w:t>
            </w:r>
          </w:p>
        </w:tc>
      </w:tr>
      <w:tr>
        <w:tc>
          <w:tcPr>
            <w:tcW w:type="dxa" w:w="2000"/>
            <w:tcMar>
              <w:top w:type="dxa" w:w="80"/>
              <w:left w:type="dxa" w:w="100"/>
              <w:bottom w:type="dxa" w:w="80"/>
              <w:right w:type="dxa" w:w="100"/>
            </w:tcMar>
          </w:tcPr>
          <w:p>
            <w:pPr>
              <w:spacing w:after="0"/>
            </w:pPr>
            <w:r>
              <w:rPr>
                <w:rFonts w:ascii="Arial" w:cs="Arial" w:eastAsia="Arial" w:hAnsi="Arial"/>
                <w:b w:val="false"/>
                <w:bCs w:val="false"/>
                <w:sz w:val="19"/>
                <w:szCs w:val="19"/>
              </w:rPr>
              <w:t xml:space="preserve">AT&amp;T</w:t>
            </w:r>
          </w:p>
        </w:tc>
        <w:tc>
          <w:tcPr>
            <w:tcW w:type="dxa" w:w="1900"/>
            <w:tcMar>
              <w:top w:type="dxa" w:w="80"/>
              <w:left w:type="dxa" w:w="100"/>
              <w:bottom w:type="dxa" w:w="80"/>
              <w:right w:type="dxa" w:w="100"/>
            </w:tcMar>
          </w:tcPr>
          <w:p>
            <w:pPr>
              <w:spacing w:after="0"/>
            </w:pPr>
            <w:r>
              <w:rPr>
                <w:rFonts w:ascii="Arial" w:cs="Arial" w:eastAsia="Arial" w:hAnsi="Arial"/>
                <w:b w:val="false"/>
                <w:bCs w:val="false"/>
                <w:sz w:val="19"/>
                <w:szCs w:val="19"/>
              </w:rPr>
              <w:t xml:space="preserve">6.5%</w:t>
            </w:r>
          </w:p>
        </w:tc>
        <w:tc>
          <w:tcPr>
            <w:tcW w:type="dxa" w:w="1900"/>
            <w:tcMar>
              <w:top w:type="dxa" w:w="80"/>
              <w:left w:type="dxa" w:w="100"/>
              <w:bottom w:type="dxa" w:w="80"/>
              <w:right w:type="dxa" w:w="100"/>
            </w:tcMar>
          </w:tcPr>
          <w:p>
            <w:pPr>
              <w:spacing w:after="0"/>
            </w:pPr>
            <w:r>
              <w:rPr>
                <w:rFonts w:ascii="Arial" w:cs="Arial" w:eastAsia="Arial" w:hAnsi="Arial"/>
                <w:b w:val="false"/>
                <w:bCs w:val="false"/>
                <w:sz w:val="19"/>
                <w:szCs w:val="19"/>
              </w:rPr>
              <w:t xml:space="preserve">4 / 6</w:t>
            </w:r>
          </w:p>
        </w:tc>
        <w:tc>
          <w:tcPr>
            <w:tcW w:type="dxa" w:w="1700"/>
            <w:tcMar>
              <w:top w:type="dxa" w:w="80"/>
              <w:left w:type="dxa" w:w="100"/>
              <w:bottom w:type="dxa" w:w="80"/>
              <w:right w:type="dxa" w:w="100"/>
            </w:tcMar>
          </w:tcPr>
          <w:p>
            <w:pPr>
              <w:spacing w:after="0"/>
            </w:pPr>
            <w:r>
              <w:rPr>
                <w:rFonts w:ascii="Arial" w:cs="Arial" w:eastAsia="Arial" w:hAnsi="Arial"/>
                <w:b w:val="false"/>
                <w:bCs w:val="false"/>
                <w:sz w:val="19"/>
                <w:szCs w:val="19"/>
              </w:rPr>
              <w:t xml:space="preserve">+1.0%</w:t>
            </w:r>
          </w:p>
        </w:tc>
        <w:tc>
          <w:tcPr>
            <w:tcW w:type="dxa" w:w="1560"/>
            <w:tcMar>
              <w:top w:type="dxa" w:w="80"/>
              <w:left w:type="dxa" w:w="100"/>
              <w:bottom w:type="dxa" w:w="80"/>
              <w:right w:type="dxa" w:w="100"/>
            </w:tcMar>
          </w:tcPr>
          <w:p>
            <w:pPr>
              <w:spacing w:after="0"/>
            </w:pPr>
            <w:r>
              <w:rPr>
                <w:rFonts w:ascii="Arial" w:cs="Arial" w:eastAsia="Arial" w:hAnsi="Arial"/>
                <w:b w:val="false"/>
                <w:bCs w:val="false"/>
                <w:sz w:val="19"/>
                <w:szCs w:val="19"/>
              </w:rPr>
              <w:t xml:space="preserve">~$92,000</w:t>
            </w:r>
          </w:p>
        </w:tc>
      </w:tr>
      <w:tr>
        <w:tc>
          <w:tcPr>
            <w:tcW w:type="dxa" w:w="2000"/>
            <w:tcMar>
              <w:top w:type="dxa" w:w="80"/>
              <w:left w:type="dxa" w:w="100"/>
              <w:bottom w:type="dxa" w:w="80"/>
              <w:right w:type="dxa" w:w="100"/>
            </w:tcMar>
          </w:tcPr>
          <w:p>
            <w:pPr>
              <w:spacing w:after="0"/>
            </w:pPr>
            <w:r>
              <w:rPr>
                <w:rFonts w:ascii="Arial" w:cs="Arial" w:eastAsia="Arial" w:hAnsi="Arial"/>
                <w:b w:val="false"/>
                <w:bCs w:val="false"/>
                <w:sz w:val="19"/>
                <w:szCs w:val="19"/>
              </w:rPr>
              <w:t xml:space="preserve">Stock D (illustrative)</w:t>
            </w:r>
          </w:p>
        </w:tc>
        <w:tc>
          <w:tcPr>
            <w:tcW w:type="dxa" w:w="1900"/>
            <w:tcMar>
              <w:top w:type="dxa" w:w="80"/>
              <w:left w:type="dxa" w:w="100"/>
              <w:bottom w:type="dxa" w:w="80"/>
              <w:right w:type="dxa" w:w="100"/>
            </w:tcMar>
          </w:tcPr>
          <w:p>
            <w:pPr>
              <w:spacing w:after="0"/>
            </w:pPr>
            <w:r>
              <w:rPr>
                <w:rFonts w:ascii="Arial" w:cs="Arial" w:eastAsia="Arial" w:hAnsi="Arial"/>
                <w:b w:val="false"/>
                <w:bCs w:val="false"/>
                <w:sz w:val="19"/>
                <w:szCs w:val="19"/>
              </w:rPr>
              <w:t xml:space="preserve">4.1%</w:t>
            </w:r>
          </w:p>
        </w:tc>
        <w:tc>
          <w:tcPr>
            <w:tcW w:type="dxa" w:w="1900"/>
            <w:tcMar>
              <w:top w:type="dxa" w:w="80"/>
              <w:left w:type="dxa" w:w="100"/>
              <w:bottom w:type="dxa" w:w="80"/>
              <w:right w:type="dxa" w:w="100"/>
            </w:tcMar>
          </w:tcPr>
          <w:p>
            <w:pPr>
              <w:spacing w:after="0"/>
            </w:pPr>
            <w:r>
              <w:rPr>
                <w:rFonts w:ascii="Arial" w:cs="Arial" w:eastAsia="Arial" w:hAnsi="Arial"/>
                <w:b w:val="false"/>
                <w:bCs w:val="false"/>
                <w:sz w:val="19"/>
                <w:szCs w:val="19"/>
              </w:rPr>
              <w:t xml:space="preserve">1 / 6</w:t>
            </w:r>
          </w:p>
        </w:tc>
        <w:tc>
          <w:tcPr>
            <w:tcW w:type="dxa" w:w="1700"/>
            <w:tcMar>
              <w:top w:type="dxa" w:w="80"/>
              <w:left w:type="dxa" w:w="100"/>
              <w:bottom w:type="dxa" w:w="80"/>
              <w:right w:type="dxa" w:w="100"/>
            </w:tcMar>
          </w:tcPr>
          <w:p>
            <w:pPr>
              <w:spacing w:after="0"/>
            </w:pPr>
            <w:r>
              <w:rPr>
                <w:rFonts w:ascii="Arial" w:cs="Arial" w:eastAsia="Arial" w:hAnsi="Arial"/>
                <w:b w:val="false"/>
                <w:bCs w:val="false"/>
                <w:sz w:val="19"/>
                <w:szCs w:val="19"/>
              </w:rPr>
              <w:t xml:space="preserve">+9.3%</w:t>
            </w:r>
          </w:p>
        </w:tc>
        <w:tc>
          <w:tcPr>
            <w:tcW w:type="dxa" w:w="1560"/>
            <w:tcMar>
              <w:top w:type="dxa" w:w="80"/>
              <w:left w:type="dxa" w:w="100"/>
              <w:bottom w:type="dxa" w:w="80"/>
              <w:right w:type="dxa" w:w="100"/>
            </w:tcMar>
          </w:tcPr>
          <w:p>
            <w:pPr>
              <w:spacing w:after="0"/>
            </w:pPr>
            <w:r>
              <w:rPr>
                <w:rFonts w:ascii="Arial" w:cs="Arial" w:eastAsia="Arial" w:hAnsi="Arial"/>
                <w:b w:val="false"/>
                <w:bCs w:val="false"/>
                <w:sz w:val="19"/>
                <w:szCs w:val="19"/>
              </w:rPr>
              <w:t xml:space="preserve">~$170,000</w:t>
            </w:r>
          </w:p>
        </w:tc>
      </w:tr>
    </w:tbl>
    <w:p>
      <w:pPr>
        <w:spacing w:after="240" w:before="0" w:line="300"/>
      </w:pPr>
      <w:r>
        <w:rPr>
          <w:rFonts w:ascii="Arial" w:cs="Arial" w:eastAsia="Arial" w:hAnsi="Arial"/>
          <w:i/>
          <w:iCs/>
          <w:color w:val="666666"/>
          <w:sz w:val="18"/>
          <w:szCs w:val="18"/>
        </w:rPr>
        <w:t xml:space="preserve">AT&amp;T 2017–2022. Author’s calculation from publicly available price data (year-end prices, total return with dividends reinvested), rounded; as of 18 Oct 2026. Stock D is an illustrative example, not a real stock.</w:t>
      </w:r>
    </w:p>
    <w:p>
      <w:pPr>
        <w:spacing w:after="120" w:before="0" w:line="300"/>
      </w:pPr>
      <w:r>
        <w:rPr>
          <w:rFonts w:ascii="Arial" w:cs="Arial" w:eastAsia="Arial" w:hAnsi="Arial"/>
          <w:sz w:val="22"/>
          <w:szCs w:val="22"/>
        </w:rPr>
        <w:t xml:space="preserve"/>
      </w:r>
    </w:p>
    <w:p>
      <w:pPr>
        <w:spacing w:after="160" w:before="0" w:line="300"/>
      </w:pPr>
      <w:r>
        <w:rPr>
          <w:rFonts w:ascii="Arial" w:cs="Arial" w:eastAsia="Arial" w:hAnsi="Arial"/>
          <w:sz w:val="22"/>
          <w:szCs w:val="22"/>
        </w:rPr>
        <w:t xml:space="preserve">Stock D has a lower yield. It also actually made money.</w:t>
      </w:r>
    </w:p>
    <w:p>
      <w:pPr>
        <w:pBdr>
          <w:left w:val="single" w:color="1F3A5F" w:sz="18" w:space="12"/>
        </w:pBdr>
        <w:spacing w:after="240" w:before="200" w:line="300"/>
        <w:ind w:left="567"/>
      </w:pPr>
      <w:r>
        <w:rPr>
          <w:rFonts w:ascii="Arial" w:cs="Arial" w:eastAsia="Arial" w:hAnsi="Arial"/>
          <w:i/>
          <w:iCs/>
          <w:color w:val="1F3A5F"/>
          <w:sz w:val="24"/>
          <w:szCs w:val="24"/>
        </w:rPr>
        <w:t xml:space="preserve">“The goal isn’t to find the highest yield. It’s to find a yield you can keep.”</w:t>
      </w:r>
    </w:p>
    <w:p>
      <w:pPr>
        <w:pageBreakBefore/>
        <w:spacing w:after="200" w:before="0" w:line="300"/>
      </w:pPr>
      <w:r>
        <w:rPr>
          <w:rFonts w:ascii="Arial" w:cs="Arial" w:eastAsia="Arial" w:hAnsi="Arial"/>
          <w:i/>
          <w:iCs/>
          <w:color w:val="666666"/>
          <w:sz w:val="20"/>
          <w:szCs w:val="20"/>
        </w:rPr>
        <w:t xml:space="preserve">Part 3</w:t>
      </w:r>
    </w:p>
    <w:p>
      <w:pPr>
        <w:pStyle w:val="Heading1"/>
        <w:spacing w:after="240" w:before="0"/>
      </w:pPr>
      <w:r>
        <w:rPr>
          <w:rFonts w:ascii="Arial" w:cs="Arial" w:eastAsia="Arial" w:hAnsi="Arial"/>
          <w:b/>
          <w:bCs/>
          <w:color w:val="1F3A5F"/>
          <w:sz w:val="40"/>
          <w:szCs w:val="40"/>
        </w:rPr>
        <w:t xml:space="preserve">Apply It to Your Own Goals</w:t>
      </w:r>
    </w:p>
    <w:p>
      <w:pPr>
        <w:spacing w:after="160" w:before="0" w:line="300"/>
      </w:pPr>
      <w:r>
        <w:rPr>
          <w:rFonts w:ascii="Arial" w:cs="Arial" w:eastAsia="Arial" w:hAnsi="Arial"/>
          <w:sz w:val="22"/>
          <w:szCs w:val="22"/>
        </w:rPr>
        <w:t xml:space="preserve">The two strategies in Part 2 are examples, not prescriptions. The structure behind them is what matters – and that structure applies to any investment goal you might have.</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100"/>
        <w:gridCol w:w="7960"/>
      </w:tblGrid>
      <w:tr>
        <w:trPr>
          <w:tblHeader/>
        </w:trPr>
        <w:tc>
          <w:tcPr>
            <w:tcW w:type="dxa" w:w="110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Step</w:t>
            </w:r>
          </w:p>
        </w:tc>
        <w:tc>
          <w:tcPr>
            <w:tcW w:type="dxa" w:w="796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Action</w:t>
            </w:r>
          </w:p>
        </w:tc>
      </w:tr>
      <w:tr>
        <w:tc>
          <w:tcPr>
            <w:tcW w:type="dxa" w:w="1100"/>
            <w:tcMar>
              <w:top w:type="dxa" w:w="80"/>
              <w:left w:type="dxa" w:w="100"/>
              <w:bottom w:type="dxa" w:w="80"/>
              <w:right w:type="dxa" w:w="100"/>
            </w:tcMar>
          </w:tcPr>
          <w:p>
            <w:pPr>
              <w:spacing w:after="0"/>
            </w:pPr>
            <w:r>
              <w:rPr>
                <w:rFonts w:ascii="Arial" w:cs="Arial" w:eastAsia="Arial" w:hAnsi="Arial"/>
                <w:b w:val="false"/>
                <w:bCs w:val="false"/>
                <w:sz w:val="19"/>
                <w:szCs w:val="19"/>
              </w:rPr>
              <w:t xml:space="preserve">1</w:t>
            </w:r>
          </w:p>
        </w:tc>
        <w:tc>
          <w:tcPr>
            <w:tcW w:type="dxa" w:w="7960"/>
            <w:tcMar>
              <w:top w:type="dxa" w:w="80"/>
              <w:left w:type="dxa" w:w="100"/>
              <w:bottom w:type="dxa" w:w="80"/>
              <w:right w:type="dxa" w:w="100"/>
            </w:tcMar>
          </w:tcPr>
          <w:p>
            <w:pPr>
              <w:spacing w:after="0"/>
            </w:pPr>
            <w:r>
              <w:rPr>
                <w:rFonts w:ascii="Arial" w:cs="Arial" w:eastAsia="Arial" w:hAnsi="Arial"/>
                <w:b w:val="false"/>
                <w:bCs w:val="false"/>
                <w:sz w:val="19"/>
                <w:szCs w:val="19"/>
              </w:rPr>
              <w:t xml:space="preserve">Define one primary goal</w:t>
            </w:r>
          </w:p>
        </w:tc>
      </w:tr>
      <w:tr>
        <w:tc>
          <w:tcPr>
            <w:tcW w:type="dxa" w:w="1100"/>
            <w:tcMar>
              <w:top w:type="dxa" w:w="80"/>
              <w:left w:type="dxa" w:w="100"/>
              <w:bottom w:type="dxa" w:w="80"/>
              <w:right w:type="dxa" w:w="100"/>
            </w:tcMar>
          </w:tcPr>
          <w:p>
            <w:pPr>
              <w:spacing w:after="0"/>
            </w:pPr>
            <w:r>
              <w:rPr>
                <w:rFonts w:ascii="Arial" w:cs="Arial" w:eastAsia="Arial" w:hAnsi="Arial"/>
                <w:b w:val="false"/>
                <w:bCs w:val="false"/>
                <w:sz w:val="19"/>
                <w:szCs w:val="19"/>
              </w:rPr>
              <w:t xml:space="preserve">2</w:t>
            </w:r>
          </w:p>
        </w:tc>
        <w:tc>
          <w:tcPr>
            <w:tcW w:type="dxa" w:w="7960"/>
            <w:tcMar>
              <w:top w:type="dxa" w:w="80"/>
              <w:left w:type="dxa" w:w="100"/>
              <w:bottom w:type="dxa" w:w="80"/>
              <w:right w:type="dxa" w:w="100"/>
            </w:tcMar>
          </w:tcPr>
          <w:p>
            <w:pPr>
              <w:spacing w:after="0"/>
            </w:pPr>
            <w:r>
              <w:rPr>
                <w:rFonts w:ascii="Arial" w:cs="Arial" w:eastAsia="Arial" w:hAnsi="Arial"/>
                <w:b w:val="false"/>
                <w:bCs w:val="false"/>
                <w:sz w:val="19"/>
                <w:szCs w:val="19"/>
              </w:rPr>
              <w:t xml:space="preserve">Set knock-out filters that protect it</w:t>
            </w:r>
          </w:p>
        </w:tc>
      </w:tr>
      <w:tr>
        <w:tc>
          <w:tcPr>
            <w:tcW w:type="dxa" w:w="1100"/>
            <w:tcMar>
              <w:top w:type="dxa" w:w="80"/>
              <w:left w:type="dxa" w:w="100"/>
              <w:bottom w:type="dxa" w:w="80"/>
              <w:right w:type="dxa" w:w="100"/>
            </w:tcMar>
          </w:tcPr>
          <w:p>
            <w:pPr>
              <w:spacing w:after="0"/>
            </w:pPr>
            <w:r>
              <w:rPr>
                <w:rFonts w:ascii="Arial" w:cs="Arial" w:eastAsia="Arial" w:hAnsi="Arial"/>
                <w:b w:val="false"/>
                <w:bCs w:val="false"/>
                <w:sz w:val="19"/>
                <w:szCs w:val="19"/>
              </w:rPr>
              <w:t xml:space="preserve">3</w:t>
            </w:r>
          </w:p>
        </w:tc>
        <w:tc>
          <w:tcPr>
            <w:tcW w:type="dxa" w:w="7960"/>
            <w:tcMar>
              <w:top w:type="dxa" w:w="80"/>
              <w:left w:type="dxa" w:w="100"/>
              <w:bottom w:type="dxa" w:w="80"/>
              <w:right w:type="dxa" w:w="100"/>
            </w:tcMar>
          </w:tcPr>
          <w:p>
            <w:pPr>
              <w:spacing w:after="0"/>
            </w:pPr>
            <w:r>
              <w:rPr>
                <w:rFonts w:ascii="Arial" w:cs="Arial" w:eastAsia="Arial" w:hAnsi="Arial"/>
                <w:b w:val="false"/>
                <w:bCs w:val="false"/>
                <w:sz w:val="19"/>
                <w:szCs w:val="19"/>
              </w:rPr>
              <w:t xml:space="preserve">Rank what remains by the metric that reflects your objective</w:t>
            </w:r>
          </w:p>
        </w:tc>
      </w:tr>
    </w:tbl>
    <w:p>
      <w:pPr>
        <w:spacing w:after="120" w:before="0" w:line="300"/>
      </w:pPr>
      <w:r>
        <w:rPr>
          <w:rFonts w:ascii="Arial" w:cs="Arial" w:eastAsia="Arial" w:hAnsi="Arial"/>
          <w:sz w:val="22"/>
          <w:szCs w:val="22"/>
        </w:rPr>
        <w:t xml:space="preserve"/>
      </w:r>
    </w:p>
    <w:p>
      <w:pPr>
        <w:spacing w:after="160" w:before="0" w:line="300"/>
      </w:pPr>
      <w:r>
        <w:rPr>
          <w:rFonts w:ascii="Arial" w:cs="Arial" w:eastAsia="Arial" w:hAnsi="Arial"/>
          <w:sz w:val="22"/>
          <w:szCs w:val="22"/>
        </w:rPr>
        <w:t xml:space="preserve">The inputs change. The logic doesn’t. Here are two further applications.</w:t>
      </w:r>
    </w:p>
    <w:p>
      <w:pPr>
        <w:pStyle w:val="Heading2"/>
        <w:keepNext/>
        <w:spacing w:after="160" w:before="320"/>
      </w:pPr>
      <w:r>
        <w:rPr>
          <w:rFonts w:ascii="Arial" w:cs="Arial" w:eastAsia="Arial" w:hAnsi="Arial"/>
          <w:b/>
          <w:bCs/>
          <w:color w:val="1F3A5F"/>
          <w:sz w:val="28"/>
          <w:szCs w:val="28"/>
        </w:rPr>
        <w:t xml:space="preserve">Low Volatility</w:t>
      </w:r>
    </w:p>
    <w:p>
      <w:pPr>
        <w:spacing w:after="160" w:before="0" w:line="300"/>
      </w:pPr>
      <w:r>
        <w:rPr>
          <w:rFonts w:ascii="Arial" w:cs="Arial" w:eastAsia="Arial" w:hAnsi="Arial"/>
          <w:sz w:val="22"/>
          <w:szCs w:val="22"/>
        </w:rPr>
        <w:t xml:space="preserve">An investor who sleeps well and stays invested through downturns will outperform an investor with a theoretically superior portfolio they panic-sell in March 2020. Behavioral consistency is a return driver. It just doesn’t show up in backtests.</w:t>
      </w:r>
    </w:p>
    <w:p>
      <w:pPr>
        <w:keepNext/>
        <w:spacing w:after="60" w:before="200" w:line="300"/>
      </w:pPr>
      <w:r>
        <w:rPr>
          <w:rFonts w:ascii="Arial" w:cs="Arial" w:eastAsia="Arial" w:hAnsi="Arial"/>
          <w:b/>
          <w:bCs/>
          <w:caps/>
          <w:color w:val="666666"/>
          <w:sz w:val="18"/>
          <w:szCs w:val="18"/>
        </w:rPr>
        <w:t xml:space="preserve">Primary goal</w:t>
      </w:r>
    </w:p>
    <w:p>
      <w:pPr>
        <w:spacing w:after="160" w:before="0" w:line="300"/>
      </w:pPr>
      <w:r>
        <w:rPr>
          <w:rFonts w:ascii="Arial" w:cs="Arial" w:eastAsia="Arial" w:hAnsi="Arial"/>
          <w:sz w:val="22"/>
          <w:szCs w:val="22"/>
        </w:rPr>
        <w:t xml:space="preserve">Maximum annual volatility – stocks with annualized standard deviation below 15%.</w:t>
      </w:r>
    </w:p>
    <w:p>
      <w:pPr>
        <w:keepNext/>
        <w:spacing w:after="60" w:before="200" w:line="300"/>
      </w:pPr>
      <w:r>
        <w:rPr>
          <w:rFonts w:ascii="Arial" w:cs="Arial" w:eastAsia="Arial" w:hAnsi="Arial"/>
          <w:b/>
          <w:bCs/>
          <w:caps/>
          <w:color w:val="666666"/>
          <w:sz w:val="18"/>
          <w:szCs w:val="18"/>
        </w:rPr>
        <w:t xml:space="preserve">Knock-out filters</w:t>
      </w:r>
    </w:p>
    <w:p>
      <w:pPr>
        <w:spacing w:after="160" w:before="0" w:line="300"/>
      </w:pPr>
      <w:r>
        <w:rPr>
          <w:rFonts w:ascii="Arial" w:cs="Arial" w:eastAsia="Arial" w:hAnsi="Arial"/>
          <w:sz w:val="22"/>
          <w:szCs w:val="22"/>
        </w:rPr>
        <w:t xml:space="preserve">Maximum drawdown in any single year. Number of years with a drawdown exceeding 20%.</w:t>
      </w:r>
    </w:p>
    <w:p>
      <w:pPr>
        <w:keepNext/>
        <w:spacing w:after="60" w:before="200" w:line="300"/>
      </w:pPr>
      <w:r>
        <w:rPr>
          <w:rFonts w:ascii="Arial" w:cs="Arial" w:eastAsia="Arial" w:hAnsi="Arial"/>
          <w:b/>
          <w:bCs/>
          <w:caps/>
          <w:color w:val="666666"/>
          <w:sz w:val="18"/>
          <w:szCs w:val="18"/>
        </w:rPr>
        <w:t xml:space="preserve">Ranking</w:t>
      </w:r>
    </w:p>
    <w:p>
      <w:pPr>
        <w:spacing w:after="160" w:before="0" w:line="300"/>
      </w:pPr>
      <w:r>
        <w:rPr>
          <w:rFonts w:ascii="Arial" w:cs="Arial" w:eastAsia="Arial" w:hAnsi="Arial"/>
          <w:sz w:val="22"/>
          <w:szCs w:val="22"/>
        </w:rPr>
        <w:t xml:space="preserve">Average annual return among candidates that pass.</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2000"/>
        <w:gridCol w:w="1700"/>
        <w:gridCol w:w="2060"/>
      </w:tblGrid>
      <w:tr>
        <w:trPr>
          <w:tblHeader/>
        </w:trPr>
        <w:tc>
          <w:tcPr>
            <w:tcW w:type="dxa" w:w="130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
            </w:r>
          </w:p>
        </w:tc>
        <w:tc>
          <w:tcPr>
            <w:tcW w:type="dxa" w:w="200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Max drawdown (single year)</w:t>
            </w:r>
          </w:p>
        </w:tc>
        <w:tc>
          <w:tcPr>
            <w:tcW w:type="dxa" w:w="200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Volatility (annualized)</w:t>
            </w:r>
          </w:p>
        </w:tc>
        <w:tc>
          <w:tcPr>
            <w:tcW w:type="dxa" w:w="170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Avg. annual return</w:t>
            </w:r>
          </w:p>
        </w:tc>
        <w:tc>
          <w:tcPr>
            <w:tcW w:type="dxa" w:w="206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$100k after 20 years</w:t>
            </w:r>
          </w:p>
        </w:tc>
      </w:tr>
      <w:tr>
        <w:tc>
          <w:tcPr>
            <w:tcW w:type="dxa" w:w="1300"/>
            <w:tcMar>
              <w:top w:type="dxa" w:w="80"/>
              <w:left w:type="dxa" w:w="100"/>
              <w:bottom w:type="dxa" w:w="80"/>
              <w:right w:type="dxa" w:w="100"/>
            </w:tcMar>
          </w:tcPr>
          <w:p>
            <w:pPr>
              <w:spacing w:after="0"/>
            </w:pPr>
            <w:r>
              <w:rPr>
                <w:rFonts w:ascii="Arial" w:cs="Arial" w:eastAsia="Arial" w:hAnsi="Arial"/>
                <w:b w:val="false"/>
                <w:bCs w:val="false"/>
                <w:sz w:val="19"/>
                <w:szCs w:val="19"/>
              </w:rPr>
              <w:t xml:space="preserve">Stock E</w:t>
            </w:r>
          </w:p>
        </w:tc>
        <w:tc>
          <w:tcPr>
            <w:tcW w:type="dxa" w:w="2000"/>
            <w:tcMar>
              <w:top w:type="dxa" w:w="80"/>
              <w:left w:type="dxa" w:w="100"/>
              <w:bottom w:type="dxa" w:w="80"/>
              <w:right w:type="dxa" w:w="100"/>
            </w:tcMar>
          </w:tcPr>
          <w:p>
            <w:pPr>
              <w:spacing w:after="0"/>
            </w:pPr>
            <w:r>
              <w:rPr>
                <w:rFonts w:ascii="Arial" w:cs="Arial" w:eastAsia="Arial" w:hAnsi="Arial"/>
                <w:b w:val="false"/>
                <w:bCs w:val="false"/>
                <w:sz w:val="19"/>
                <w:szCs w:val="19"/>
              </w:rPr>
              <w:t xml:space="preserve">−12%</w:t>
            </w:r>
          </w:p>
        </w:tc>
        <w:tc>
          <w:tcPr>
            <w:tcW w:type="dxa" w:w="2000"/>
            <w:tcMar>
              <w:top w:type="dxa" w:w="80"/>
              <w:left w:type="dxa" w:w="100"/>
              <w:bottom w:type="dxa" w:w="80"/>
              <w:right w:type="dxa" w:w="100"/>
            </w:tcMar>
          </w:tcPr>
          <w:p>
            <w:pPr>
              <w:spacing w:after="0"/>
            </w:pPr>
            <w:r>
              <w:rPr>
                <w:rFonts w:ascii="Arial" w:cs="Arial" w:eastAsia="Arial" w:hAnsi="Arial"/>
                <w:b w:val="false"/>
                <w:bCs w:val="false"/>
                <w:sz w:val="19"/>
                <w:szCs w:val="19"/>
              </w:rPr>
              <w:t xml:space="preserve">11%</w:t>
            </w:r>
          </w:p>
        </w:tc>
        <w:tc>
          <w:tcPr>
            <w:tcW w:type="dxa" w:w="1700"/>
            <w:tcMar>
              <w:top w:type="dxa" w:w="80"/>
              <w:left w:type="dxa" w:w="100"/>
              <w:bottom w:type="dxa" w:w="80"/>
              <w:right w:type="dxa" w:w="100"/>
            </w:tcMar>
          </w:tcPr>
          <w:p>
            <w:pPr>
              <w:spacing w:after="0"/>
            </w:pPr>
            <w:r>
              <w:rPr>
                <w:rFonts w:ascii="Arial" w:cs="Arial" w:eastAsia="Arial" w:hAnsi="Arial"/>
                <w:b w:val="false"/>
                <w:bCs w:val="false"/>
                <w:sz w:val="19"/>
                <w:szCs w:val="19"/>
              </w:rPr>
              <w:t xml:space="preserve">+8.1%</w:t>
            </w:r>
          </w:p>
        </w:tc>
        <w:tc>
          <w:tcPr>
            <w:tcW w:type="dxa" w:w="2060"/>
            <w:tcMar>
              <w:top w:type="dxa" w:w="80"/>
              <w:left w:type="dxa" w:w="100"/>
              <w:bottom w:type="dxa" w:w="80"/>
              <w:right w:type="dxa" w:w="100"/>
            </w:tcMar>
          </w:tcPr>
          <w:p>
            <w:pPr>
              <w:spacing w:after="0"/>
            </w:pPr>
            <w:r>
              <w:rPr>
                <w:rFonts w:ascii="Arial" w:cs="Arial" w:eastAsia="Arial" w:hAnsi="Arial"/>
                <w:b w:val="false"/>
                <w:bCs w:val="false"/>
                <w:sz w:val="19"/>
                <w:szCs w:val="19"/>
              </w:rPr>
              <w:t xml:space="preserve">~$475,000</w:t>
            </w:r>
          </w:p>
        </w:tc>
      </w:tr>
      <w:tr>
        <w:tc>
          <w:tcPr>
            <w:tcW w:type="dxa" w:w="1300"/>
            <w:tcMar>
              <w:top w:type="dxa" w:w="80"/>
              <w:left w:type="dxa" w:w="100"/>
              <w:bottom w:type="dxa" w:w="80"/>
              <w:right w:type="dxa" w:w="100"/>
            </w:tcMar>
          </w:tcPr>
          <w:p>
            <w:pPr>
              <w:spacing w:after="0"/>
            </w:pPr>
            <w:r>
              <w:rPr>
                <w:rFonts w:ascii="Arial" w:cs="Arial" w:eastAsia="Arial" w:hAnsi="Arial"/>
                <w:b w:val="false"/>
                <w:bCs w:val="false"/>
                <w:sz w:val="19"/>
                <w:szCs w:val="19"/>
              </w:rPr>
              <w:t xml:space="preserve">Stock F</w:t>
            </w:r>
          </w:p>
        </w:tc>
        <w:tc>
          <w:tcPr>
            <w:tcW w:type="dxa" w:w="2000"/>
            <w:tcMar>
              <w:top w:type="dxa" w:w="80"/>
              <w:left w:type="dxa" w:w="100"/>
              <w:bottom w:type="dxa" w:w="80"/>
              <w:right w:type="dxa" w:w="100"/>
            </w:tcMar>
          </w:tcPr>
          <w:p>
            <w:pPr>
              <w:spacing w:after="0"/>
            </w:pPr>
            <w:r>
              <w:rPr>
                <w:rFonts w:ascii="Arial" w:cs="Arial" w:eastAsia="Arial" w:hAnsi="Arial"/>
                <w:b w:val="false"/>
                <w:bCs w:val="false"/>
                <w:sz w:val="19"/>
                <w:szCs w:val="19"/>
              </w:rPr>
              <w:t xml:space="preserve">−38%</w:t>
            </w:r>
          </w:p>
        </w:tc>
        <w:tc>
          <w:tcPr>
            <w:tcW w:type="dxa" w:w="2000"/>
            <w:tcMar>
              <w:top w:type="dxa" w:w="80"/>
              <w:left w:type="dxa" w:w="100"/>
              <w:bottom w:type="dxa" w:w="80"/>
              <w:right w:type="dxa" w:w="100"/>
            </w:tcMar>
          </w:tcPr>
          <w:p>
            <w:pPr>
              <w:spacing w:after="0"/>
            </w:pPr>
            <w:r>
              <w:rPr>
                <w:rFonts w:ascii="Arial" w:cs="Arial" w:eastAsia="Arial" w:hAnsi="Arial"/>
                <w:b w:val="false"/>
                <w:bCs w:val="false"/>
                <w:sz w:val="19"/>
                <w:szCs w:val="19"/>
              </w:rPr>
              <w:t xml:space="preserve">24%</w:t>
            </w:r>
          </w:p>
        </w:tc>
        <w:tc>
          <w:tcPr>
            <w:tcW w:type="dxa" w:w="1700"/>
            <w:tcMar>
              <w:top w:type="dxa" w:w="80"/>
              <w:left w:type="dxa" w:w="100"/>
              <w:bottom w:type="dxa" w:w="80"/>
              <w:right w:type="dxa" w:w="100"/>
            </w:tcMar>
          </w:tcPr>
          <w:p>
            <w:pPr>
              <w:spacing w:after="0"/>
            </w:pPr>
            <w:r>
              <w:rPr>
                <w:rFonts w:ascii="Arial" w:cs="Arial" w:eastAsia="Arial" w:hAnsi="Arial"/>
                <w:b w:val="false"/>
                <w:bCs w:val="false"/>
                <w:sz w:val="19"/>
                <w:szCs w:val="19"/>
              </w:rPr>
              <w:t xml:space="preserve">+9.4%</w:t>
            </w:r>
          </w:p>
        </w:tc>
        <w:tc>
          <w:tcPr>
            <w:tcW w:type="dxa" w:w="2060"/>
            <w:tcMar>
              <w:top w:type="dxa" w:w="80"/>
              <w:left w:type="dxa" w:w="100"/>
              <w:bottom w:type="dxa" w:w="80"/>
              <w:right w:type="dxa" w:w="100"/>
            </w:tcMar>
          </w:tcPr>
          <w:p>
            <w:pPr>
              <w:spacing w:after="0"/>
            </w:pPr>
            <w:r>
              <w:rPr>
                <w:rFonts w:ascii="Arial" w:cs="Arial" w:eastAsia="Arial" w:hAnsi="Arial"/>
                <w:b w:val="false"/>
                <w:bCs w:val="false"/>
                <w:sz w:val="19"/>
                <w:szCs w:val="19"/>
              </w:rPr>
              <w:t xml:space="preserve">~$410,000</w:t>
            </w:r>
          </w:p>
        </w:tc>
      </w:tr>
    </w:tbl>
    <w:p>
      <w:pPr>
        <w:spacing w:after="120" w:before="0" w:line="300"/>
      </w:pPr>
      <w:r>
        <w:rPr>
          <w:rFonts w:ascii="Arial" w:cs="Arial" w:eastAsia="Arial" w:hAnsi="Arial"/>
          <w:sz w:val="22"/>
          <w:szCs w:val="22"/>
        </w:rPr>
        <w:t xml:space="preserve"/>
      </w:r>
    </w:p>
    <w:p>
      <w:pPr>
        <w:spacing w:after="160" w:before="0" w:line="300"/>
      </w:pPr>
      <w:r>
        <w:rPr>
          <w:rFonts w:ascii="Arial" w:cs="Arial" w:eastAsia="Arial" w:hAnsi="Arial"/>
          <w:sz w:val="22"/>
          <w:szCs w:val="22"/>
        </w:rPr>
        <w:t xml:space="preserve">Stock F has a higher average return. It also dropped 38% in a single year – which means at some point you were sitting on a loss large enough to test anyone’s conviction. Stock E’s lower return compounds uninterrupted. Over 20 years, uninterrupted compounding wins.</w:t>
      </w:r>
    </w:p>
    <w:p>
      <w:pPr>
        <w:pBdr>
          <w:left w:val="single" w:color="1F3A5F" w:sz="18" w:space="12"/>
        </w:pBdr>
        <w:spacing w:after="240" w:before="200" w:line="300"/>
        <w:ind w:left="567"/>
      </w:pPr>
      <w:r>
        <w:rPr>
          <w:rFonts w:ascii="Arial" w:cs="Arial" w:eastAsia="Arial" w:hAnsi="Arial"/>
          <w:i/>
          <w:iCs/>
          <w:color w:val="1F3A5F"/>
          <w:sz w:val="24"/>
          <w:szCs w:val="24"/>
        </w:rPr>
        <w:t xml:space="preserve">“The best portfolio is not the one with the highest expected return. It’s the one you actually hold.”</w:t>
      </w:r>
    </w:p>
    <w:p>
      <w:pPr>
        <w:pStyle w:val="Heading2"/>
        <w:keepNext/>
        <w:spacing w:after="160" w:before="320"/>
      </w:pPr>
      <w:r>
        <w:rPr>
          <w:rFonts w:ascii="Arial" w:cs="Arial" w:eastAsia="Arial" w:hAnsi="Arial"/>
          <w:b/>
          <w:bCs/>
          <w:color w:val="1F3A5F"/>
          <w:sz w:val="28"/>
          <w:szCs w:val="28"/>
        </w:rPr>
        <w:t xml:space="preserve">Strategy 3 — Value</w:t>
      </w:r>
    </w:p>
    <w:p>
      <w:pPr>
        <w:spacing w:after="160" w:before="0" w:line="300"/>
      </w:pPr>
      <w:r>
        <w:rPr>
          <w:rFonts w:ascii="Arial" w:cs="Arial" w:eastAsia="Arial" w:hAnsi="Arial"/>
          <w:sz w:val="22"/>
          <w:szCs w:val="22"/>
        </w:rPr>
        <w:t xml:space="preserve">Value investing has a long theoretical pedigree. The method doesn’t change that. It does make the selection more honest.</w:t>
      </w:r>
    </w:p>
    <w:p>
      <w:pPr>
        <w:keepNext/>
        <w:spacing w:after="60" w:before="200" w:line="300"/>
      </w:pPr>
      <w:r>
        <w:rPr>
          <w:rFonts w:ascii="Arial" w:cs="Arial" w:eastAsia="Arial" w:hAnsi="Arial"/>
          <w:b/>
          <w:bCs/>
          <w:caps/>
          <w:color w:val="666666"/>
          <w:sz w:val="18"/>
          <w:szCs w:val="18"/>
        </w:rPr>
        <w:t xml:space="preserve">Primary goal</w:t>
      </w:r>
    </w:p>
    <w:p>
      <w:pPr>
        <w:spacing w:after="160" w:before="0" w:line="300"/>
      </w:pPr>
      <w:r>
        <w:rPr>
          <w:rFonts w:ascii="Arial" w:cs="Arial" w:eastAsia="Arial" w:hAnsi="Arial"/>
          <w:sz w:val="22"/>
          <w:szCs w:val="22"/>
        </w:rPr>
        <w:t xml:space="preserve">Valuation below a defined threshold – P/E below 15, or P/B below 1.5. Define “cheap” before you look at candidates, not after.</w:t>
      </w:r>
    </w:p>
    <w:p>
      <w:pPr>
        <w:keepNext/>
        <w:spacing w:after="60" w:before="200" w:line="300"/>
      </w:pPr>
      <w:r>
        <w:rPr>
          <w:rFonts w:ascii="Arial" w:cs="Arial" w:eastAsia="Arial" w:hAnsi="Arial"/>
          <w:b/>
          <w:bCs/>
          <w:caps/>
          <w:color w:val="666666"/>
          <w:sz w:val="18"/>
          <w:szCs w:val="18"/>
        </w:rPr>
        <w:t xml:space="preserve">Knock-out filters</w:t>
      </w:r>
    </w:p>
    <w:p>
      <w:pPr>
        <w:spacing w:after="160" w:before="0" w:line="300"/>
      </w:pPr>
      <w:r>
        <w:rPr>
          <w:rFonts w:ascii="Arial" w:cs="Arial" w:eastAsia="Arial" w:hAnsi="Arial"/>
          <w:sz w:val="22"/>
          <w:szCs w:val="22"/>
        </w:rPr>
        <w:t xml:space="preserve">Earnings consistency – how many of the last 20 years were profitable? Debt load. Dividend cuts or suspensions as a signal of financial stress.</w:t>
      </w:r>
    </w:p>
    <w:p>
      <w:pPr>
        <w:keepNext/>
        <w:spacing w:after="60" w:before="200" w:line="300"/>
      </w:pPr>
      <w:r>
        <w:rPr>
          <w:rFonts w:ascii="Arial" w:cs="Arial" w:eastAsia="Arial" w:hAnsi="Arial"/>
          <w:b/>
          <w:bCs/>
          <w:caps/>
          <w:color w:val="666666"/>
          <w:sz w:val="18"/>
          <w:szCs w:val="18"/>
        </w:rPr>
        <w:t xml:space="preserve">Ranking</w:t>
      </w:r>
    </w:p>
    <w:p>
      <w:pPr>
        <w:spacing w:after="160" w:before="0" w:line="300"/>
      </w:pPr>
      <w:r>
        <w:rPr>
          <w:rFonts w:ascii="Arial" w:cs="Arial" w:eastAsia="Arial" w:hAnsi="Arial"/>
          <w:sz w:val="22"/>
          <w:szCs w:val="22"/>
        </w:rPr>
        <w:t xml:space="preserve">Historical return on equity, or free cash flow yield – something that reflects what the business actually generates, not just what the market currently prices it at.</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2200"/>
        <w:gridCol w:w="2200"/>
        <w:gridCol w:w="2160"/>
      </w:tblGrid>
      <w:tr>
        <w:trPr>
          <w:tblHeader/>
        </w:trPr>
        <w:tc>
          <w:tcPr>
            <w:tcW w:type="dxa" w:w="130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
            </w:r>
          </w:p>
        </w:tc>
        <w:tc>
          <w:tcPr>
            <w:tcW w:type="dxa" w:w="120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P/E</w:t>
            </w:r>
          </w:p>
        </w:tc>
        <w:tc>
          <w:tcPr>
            <w:tcW w:type="dxa" w:w="220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Profitable years (20yr)</w:t>
            </w:r>
          </w:p>
        </w:tc>
        <w:tc>
          <w:tcPr>
            <w:tcW w:type="dxa" w:w="220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Free cash flow yield</w:t>
            </w:r>
          </w:p>
        </w:tc>
        <w:tc>
          <w:tcPr>
            <w:tcW w:type="dxa" w:w="216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$100k after 20 years</w:t>
            </w:r>
          </w:p>
        </w:tc>
      </w:tr>
      <w:tr>
        <w:tc>
          <w:tcPr>
            <w:tcW w:type="dxa" w:w="1300"/>
            <w:tcMar>
              <w:top w:type="dxa" w:w="80"/>
              <w:left w:type="dxa" w:w="100"/>
              <w:bottom w:type="dxa" w:w="80"/>
              <w:right w:type="dxa" w:w="100"/>
            </w:tcMar>
          </w:tcPr>
          <w:p>
            <w:pPr>
              <w:spacing w:after="0"/>
            </w:pPr>
            <w:r>
              <w:rPr>
                <w:rFonts w:ascii="Arial" w:cs="Arial" w:eastAsia="Arial" w:hAnsi="Arial"/>
                <w:b w:val="false"/>
                <w:bCs w:val="false"/>
                <w:sz w:val="19"/>
                <w:szCs w:val="19"/>
              </w:rPr>
              <w:t xml:space="preserve">Stock G</w:t>
            </w:r>
          </w:p>
        </w:tc>
        <w:tc>
          <w:tcPr>
            <w:tcW w:type="dxa" w:w="1200"/>
            <w:tcMar>
              <w:top w:type="dxa" w:w="80"/>
              <w:left w:type="dxa" w:w="100"/>
              <w:bottom w:type="dxa" w:w="80"/>
              <w:right w:type="dxa" w:w="100"/>
            </w:tcMar>
          </w:tcPr>
          <w:p>
            <w:pPr>
              <w:spacing w:after="0"/>
            </w:pPr>
            <w:r>
              <w:rPr>
                <w:rFonts w:ascii="Arial" w:cs="Arial" w:eastAsia="Arial" w:hAnsi="Arial"/>
                <w:b w:val="false"/>
                <w:bCs w:val="false"/>
                <w:sz w:val="19"/>
                <w:szCs w:val="19"/>
              </w:rPr>
              <w:t xml:space="preserve">11x</w:t>
            </w:r>
          </w:p>
        </w:tc>
        <w:tc>
          <w:tcPr>
            <w:tcW w:type="dxa" w:w="2200"/>
            <w:tcMar>
              <w:top w:type="dxa" w:w="80"/>
              <w:left w:type="dxa" w:w="100"/>
              <w:bottom w:type="dxa" w:w="80"/>
              <w:right w:type="dxa" w:w="100"/>
            </w:tcMar>
          </w:tcPr>
          <w:p>
            <w:pPr>
              <w:spacing w:after="0"/>
            </w:pPr>
            <w:r>
              <w:rPr>
                <w:rFonts w:ascii="Arial" w:cs="Arial" w:eastAsia="Arial" w:hAnsi="Arial"/>
                <w:b w:val="false"/>
                <w:bCs w:val="false"/>
                <w:sz w:val="19"/>
                <w:szCs w:val="19"/>
              </w:rPr>
              <w:t xml:space="preserve">18 / 20</w:t>
            </w:r>
          </w:p>
        </w:tc>
        <w:tc>
          <w:tcPr>
            <w:tcW w:type="dxa" w:w="2200"/>
            <w:tcMar>
              <w:top w:type="dxa" w:w="80"/>
              <w:left w:type="dxa" w:w="100"/>
              <w:bottom w:type="dxa" w:w="80"/>
              <w:right w:type="dxa" w:w="100"/>
            </w:tcMar>
          </w:tcPr>
          <w:p>
            <w:pPr>
              <w:spacing w:after="0"/>
            </w:pPr>
            <w:r>
              <w:rPr>
                <w:rFonts w:ascii="Arial" w:cs="Arial" w:eastAsia="Arial" w:hAnsi="Arial"/>
                <w:b w:val="false"/>
                <w:bCs w:val="false"/>
                <w:sz w:val="19"/>
                <w:szCs w:val="19"/>
              </w:rPr>
              <w:t xml:space="preserve">7.2%</w:t>
            </w:r>
          </w:p>
        </w:tc>
        <w:tc>
          <w:tcPr>
            <w:tcW w:type="dxa" w:w="2160"/>
            <w:tcMar>
              <w:top w:type="dxa" w:w="80"/>
              <w:left w:type="dxa" w:w="100"/>
              <w:bottom w:type="dxa" w:w="80"/>
              <w:right w:type="dxa" w:w="100"/>
            </w:tcMar>
          </w:tcPr>
          <w:p>
            <w:pPr>
              <w:spacing w:after="0"/>
            </w:pPr>
            <w:r>
              <w:rPr>
                <w:rFonts w:ascii="Arial" w:cs="Arial" w:eastAsia="Arial" w:hAnsi="Arial"/>
                <w:b w:val="false"/>
                <w:bCs w:val="false"/>
                <w:sz w:val="19"/>
                <w:szCs w:val="19"/>
              </w:rPr>
              <w:t xml:space="preserve">~$720,000</w:t>
            </w:r>
          </w:p>
        </w:tc>
      </w:tr>
      <w:tr>
        <w:tc>
          <w:tcPr>
            <w:tcW w:type="dxa" w:w="1300"/>
            <w:tcMar>
              <w:top w:type="dxa" w:w="80"/>
              <w:left w:type="dxa" w:w="100"/>
              <w:bottom w:type="dxa" w:w="80"/>
              <w:right w:type="dxa" w:w="100"/>
            </w:tcMar>
          </w:tcPr>
          <w:p>
            <w:pPr>
              <w:spacing w:after="0"/>
            </w:pPr>
            <w:r>
              <w:rPr>
                <w:rFonts w:ascii="Arial" w:cs="Arial" w:eastAsia="Arial" w:hAnsi="Arial"/>
                <w:b w:val="false"/>
                <w:bCs w:val="false"/>
                <w:sz w:val="19"/>
                <w:szCs w:val="19"/>
              </w:rPr>
              <w:t xml:space="preserve">Stock H</w:t>
            </w:r>
          </w:p>
        </w:tc>
        <w:tc>
          <w:tcPr>
            <w:tcW w:type="dxa" w:w="1200"/>
            <w:tcMar>
              <w:top w:type="dxa" w:w="80"/>
              <w:left w:type="dxa" w:w="100"/>
              <w:bottom w:type="dxa" w:w="80"/>
              <w:right w:type="dxa" w:w="100"/>
            </w:tcMar>
          </w:tcPr>
          <w:p>
            <w:pPr>
              <w:spacing w:after="0"/>
            </w:pPr>
            <w:r>
              <w:rPr>
                <w:rFonts w:ascii="Arial" w:cs="Arial" w:eastAsia="Arial" w:hAnsi="Arial"/>
                <w:b w:val="false"/>
                <w:bCs w:val="false"/>
                <w:sz w:val="19"/>
                <w:szCs w:val="19"/>
              </w:rPr>
              <w:t xml:space="preserve">9x</w:t>
            </w:r>
          </w:p>
        </w:tc>
        <w:tc>
          <w:tcPr>
            <w:tcW w:type="dxa" w:w="2200"/>
            <w:tcMar>
              <w:top w:type="dxa" w:w="80"/>
              <w:left w:type="dxa" w:w="100"/>
              <w:bottom w:type="dxa" w:w="80"/>
              <w:right w:type="dxa" w:w="100"/>
            </w:tcMar>
          </w:tcPr>
          <w:p>
            <w:pPr>
              <w:spacing w:after="0"/>
            </w:pPr>
            <w:r>
              <w:rPr>
                <w:rFonts w:ascii="Arial" w:cs="Arial" w:eastAsia="Arial" w:hAnsi="Arial"/>
                <w:b w:val="false"/>
                <w:bCs w:val="false"/>
                <w:sz w:val="19"/>
                <w:szCs w:val="19"/>
              </w:rPr>
              <w:t xml:space="preserve">11 / 20</w:t>
            </w:r>
          </w:p>
        </w:tc>
        <w:tc>
          <w:tcPr>
            <w:tcW w:type="dxa" w:w="2200"/>
            <w:tcMar>
              <w:top w:type="dxa" w:w="80"/>
              <w:left w:type="dxa" w:w="100"/>
              <w:bottom w:type="dxa" w:w="80"/>
              <w:right w:type="dxa" w:w="100"/>
            </w:tcMar>
          </w:tcPr>
          <w:p>
            <w:pPr>
              <w:spacing w:after="0"/>
            </w:pPr>
            <w:r>
              <w:rPr>
                <w:rFonts w:ascii="Arial" w:cs="Arial" w:eastAsia="Arial" w:hAnsi="Arial"/>
                <w:b w:val="false"/>
                <w:bCs w:val="false"/>
                <w:sz w:val="19"/>
                <w:szCs w:val="19"/>
              </w:rPr>
              <w:t xml:space="preserve">3.1%</w:t>
            </w:r>
          </w:p>
        </w:tc>
        <w:tc>
          <w:tcPr>
            <w:tcW w:type="dxa" w:w="2160"/>
            <w:tcMar>
              <w:top w:type="dxa" w:w="80"/>
              <w:left w:type="dxa" w:w="100"/>
              <w:bottom w:type="dxa" w:w="80"/>
              <w:right w:type="dxa" w:w="100"/>
            </w:tcMar>
          </w:tcPr>
          <w:p>
            <w:pPr>
              <w:spacing w:after="0"/>
            </w:pPr>
            <w:r>
              <w:rPr>
                <w:rFonts w:ascii="Arial" w:cs="Arial" w:eastAsia="Arial" w:hAnsi="Arial"/>
                <w:b w:val="false"/>
                <w:bCs w:val="false"/>
                <w:sz w:val="19"/>
                <w:szCs w:val="19"/>
              </w:rPr>
              <w:t xml:space="preserve">~$380,000</w:t>
            </w:r>
          </w:p>
        </w:tc>
      </w:tr>
    </w:tbl>
    <w:p>
      <w:pPr>
        <w:spacing w:after="120" w:before="0" w:line="300"/>
      </w:pPr>
      <w:r>
        <w:rPr>
          <w:rFonts w:ascii="Arial" w:cs="Arial" w:eastAsia="Arial" w:hAnsi="Arial"/>
          <w:sz w:val="22"/>
          <w:szCs w:val="22"/>
        </w:rPr>
        <w:t xml:space="preserve"/>
      </w:r>
    </w:p>
    <w:p>
      <w:pPr>
        <w:spacing w:after="160" w:before="0" w:line="300"/>
      </w:pPr>
      <w:r>
        <w:rPr>
          <w:rFonts w:ascii="Arial" w:cs="Arial" w:eastAsia="Arial" w:hAnsi="Arial"/>
          <w:sz w:val="22"/>
          <w:szCs w:val="22"/>
        </w:rPr>
        <w:t xml:space="preserve">Stock H is cheaper by the headline number. It was also unprofitable in nearly half the years under review. Cheap and cheap for a reason are not the same thing.</w:t>
      </w:r>
    </w:p>
    <w:p>
      <w:pPr>
        <w:pBdr>
          <w:left w:val="single" w:color="1F3A5F" w:sz="18" w:space="12"/>
        </w:pBdr>
        <w:spacing w:after="240" w:before="200" w:line="300"/>
        <w:ind w:left="567"/>
      </w:pPr>
      <w:r>
        <w:rPr>
          <w:rFonts w:ascii="Arial" w:cs="Arial" w:eastAsia="Arial" w:hAnsi="Arial"/>
          <w:i/>
          <w:iCs/>
          <w:color w:val="1F3A5F"/>
          <w:sz w:val="24"/>
          <w:szCs w:val="24"/>
        </w:rPr>
        <w:t xml:space="preserve">“A cheap stock that stays cheap is not a value investment. It’s a waiting room.”</w:t>
      </w:r>
    </w:p>
    <w:p>
      <w:pPr>
        <w:pStyle w:val="Heading2"/>
        <w:keepNext/>
        <w:spacing w:after="160" w:before="320"/>
      </w:pPr>
      <w:r>
        <w:rPr>
          <w:rFonts w:ascii="Arial" w:cs="Arial" w:eastAsia="Arial" w:hAnsi="Arial"/>
          <w:b/>
          <w:bCs/>
          <w:color w:val="1F3A5F"/>
          <w:sz w:val="28"/>
          <w:szCs w:val="28"/>
        </w:rPr>
        <w:t xml:space="preserve">Portfolio Composition — The Step Most Investors Skip</w:t>
      </w:r>
    </w:p>
    <w:p>
      <w:pPr>
        <w:spacing w:after="160" w:before="0" w:line="300"/>
      </w:pPr>
      <w:r>
        <w:rPr>
          <w:rFonts w:ascii="Arial" w:cs="Arial" w:eastAsia="Arial" w:hAnsi="Arial"/>
          <w:sz w:val="22"/>
          <w:szCs w:val="22"/>
        </w:rPr>
        <w:t xml:space="preserve">Individual stock selection is the visible part of investing. The decision that shapes everything else happens one level up – and most investors never make it explicitly.</w:t>
      </w:r>
    </w:p>
    <w:p>
      <w:pPr>
        <w:spacing w:after="160" w:before="0" w:line="300"/>
      </w:pPr>
      <w:r>
        <w:rPr>
          <w:rFonts w:ascii="Arial" w:cs="Arial" w:eastAsia="Arial" w:hAnsi="Arial"/>
          <w:sz w:val="22"/>
          <w:szCs w:val="22"/>
        </w:rPr>
        <w:t xml:space="preserve">Most investors think in stocks. The question is actually: what should my portfolio do, and in what proportion? Most investors build portfolios the way people pack for a trip without knowing the destination. They accumulate positions that individually made sense at the time, and end up with something that has no coherent purpose. Diversification by accident is not a strategy. It’s just variety.</w:t>
      </w:r>
    </w:p>
    <w:p>
      <w:pPr>
        <w:spacing w:after="160" w:before="0" w:line="300"/>
      </w:pPr>
      <w:r>
        <w:rPr>
          <w:rFonts w:ascii="Arial" w:cs="Arial" w:eastAsia="Arial" w:hAnsi="Arial"/>
          <w:sz w:val="22"/>
          <w:szCs w:val="22"/>
        </w:rPr>
        <w:t xml:space="preserve">Before selecting a single stock, define your allocation by objective:</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660"/>
        <w:gridCol w:w="1600"/>
      </w:tblGrid>
      <w:tr>
        <w:trPr>
          <w:tblHeader/>
        </w:trPr>
        <w:tc>
          <w:tcPr>
            <w:tcW w:type="dxa" w:w="200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Bucket</w:t>
            </w:r>
          </w:p>
        </w:tc>
        <w:tc>
          <w:tcPr>
            <w:tcW w:type="dxa" w:w="180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Allocation (example)</w:t>
            </w:r>
          </w:p>
        </w:tc>
        <w:tc>
          <w:tcPr>
            <w:tcW w:type="dxa" w:w="366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Goal</w:t>
            </w:r>
          </w:p>
        </w:tc>
        <w:tc>
          <w:tcPr>
            <w:tcW w:type="dxa" w:w="160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Method</w:t>
            </w:r>
          </w:p>
        </w:tc>
      </w:tr>
      <w:tr>
        <w:tc>
          <w:tcPr>
            <w:tcW w:type="dxa" w:w="2000"/>
            <w:tcMar>
              <w:top w:type="dxa" w:w="80"/>
              <w:left w:type="dxa" w:w="100"/>
              <w:bottom w:type="dxa" w:w="80"/>
              <w:right w:type="dxa" w:w="100"/>
            </w:tcMar>
          </w:tcPr>
          <w:p>
            <w:pPr>
              <w:spacing w:after="0"/>
            </w:pPr>
            <w:r>
              <w:rPr>
                <w:rFonts w:ascii="Arial" w:cs="Arial" w:eastAsia="Arial" w:hAnsi="Arial"/>
                <w:b w:val="false"/>
                <w:bCs w:val="false"/>
                <w:sz w:val="19"/>
                <w:szCs w:val="19"/>
              </w:rPr>
              <w:t xml:space="preserve">Outperformance</w:t>
            </w:r>
          </w:p>
        </w:tc>
        <w:tc>
          <w:tcPr>
            <w:tcW w:type="dxa" w:w="1800"/>
            <w:tcMar>
              <w:top w:type="dxa" w:w="80"/>
              <w:left w:type="dxa" w:w="100"/>
              <w:bottom w:type="dxa" w:w="80"/>
              <w:right w:type="dxa" w:w="100"/>
            </w:tcMar>
          </w:tcPr>
          <w:p>
            <w:pPr>
              <w:spacing w:after="0"/>
            </w:pPr>
            <w:r>
              <w:rPr>
                <w:rFonts w:ascii="Arial" w:cs="Arial" w:eastAsia="Arial" w:hAnsi="Arial"/>
                <w:b w:val="false"/>
                <w:bCs w:val="false"/>
                <w:sz w:val="19"/>
                <w:szCs w:val="19"/>
              </w:rPr>
              <w:t xml:space="preserve">50%</w:t>
            </w:r>
          </w:p>
        </w:tc>
        <w:tc>
          <w:tcPr>
            <w:tcW w:type="dxa" w:w="3660"/>
            <w:tcMar>
              <w:top w:type="dxa" w:w="80"/>
              <w:left w:type="dxa" w:w="100"/>
              <w:bottom w:type="dxa" w:w="80"/>
              <w:right w:type="dxa" w:w="100"/>
            </w:tcMar>
          </w:tcPr>
          <w:p>
            <w:pPr>
              <w:spacing w:after="0"/>
            </w:pPr>
            <w:r>
              <w:rPr>
                <w:rFonts w:ascii="Arial" w:cs="Arial" w:eastAsia="Arial" w:hAnsi="Arial"/>
                <w:b w:val="false"/>
                <w:bCs w:val="false"/>
                <w:sz w:val="19"/>
                <w:szCs w:val="19"/>
              </w:rPr>
              <w:t xml:space="preserve">Beat the benchmark consistently</w:t>
            </w:r>
          </w:p>
        </w:tc>
        <w:tc>
          <w:tcPr>
            <w:tcW w:type="dxa" w:w="1600"/>
            <w:tcMar>
              <w:top w:type="dxa" w:w="80"/>
              <w:left w:type="dxa" w:w="100"/>
              <w:bottom w:type="dxa" w:w="80"/>
              <w:right w:type="dxa" w:w="100"/>
            </w:tcMar>
          </w:tcPr>
          <w:p>
            <w:pPr>
              <w:spacing w:after="0"/>
            </w:pPr>
            <w:r>
              <w:rPr>
                <w:rFonts w:ascii="Arial" w:cs="Arial" w:eastAsia="Arial" w:hAnsi="Arial"/>
                <w:b w:val="false"/>
                <w:bCs w:val="false"/>
                <w:sz w:val="19"/>
                <w:szCs w:val="19"/>
              </w:rPr>
              <w:t xml:space="preserve">Strategy 1</w:t>
            </w:r>
          </w:p>
        </w:tc>
      </w:tr>
      <w:tr>
        <w:tc>
          <w:tcPr>
            <w:tcW w:type="dxa" w:w="2000"/>
            <w:tcMar>
              <w:top w:type="dxa" w:w="80"/>
              <w:left w:type="dxa" w:w="100"/>
              <w:bottom w:type="dxa" w:w="80"/>
              <w:right w:type="dxa" w:w="100"/>
            </w:tcMar>
          </w:tcPr>
          <w:p>
            <w:pPr>
              <w:spacing w:after="0"/>
            </w:pPr>
            <w:r>
              <w:rPr>
                <w:rFonts w:ascii="Arial" w:cs="Arial" w:eastAsia="Arial" w:hAnsi="Arial"/>
                <w:b w:val="false"/>
                <w:bCs w:val="false"/>
                <w:sz w:val="19"/>
                <w:szCs w:val="19"/>
              </w:rPr>
              <w:t xml:space="preserve">Dividend</w:t>
            </w:r>
          </w:p>
        </w:tc>
        <w:tc>
          <w:tcPr>
            <w:tcW w:type="dxa" w:w="1800"/>
            <w:tcMar>
              <w:top w:type="dxa" w:w="80"/>
              <w:left w:type="dxa" w:w="100"/>
              <w:bottom w:type="dxa" w:w="80"/>
              <w:right w:type="dxa" w:w="100"/>
            </w:tcMar>
          </w:tcPr>
          <w:p>
            <w:pPr>
              <w:spacing w:after="0"/>
            </w:pPr>
            <w:r>
              <w:rPr>
                <w:rFonts w:ascii="Arial" w:cs="Arial" w:eastAsia="Arial" w:hAnsi="Arial"/>
                <w:b w:val="false"/>
                <w:bCs w:val="false"/>
                <w:sz w:val="19"/>
                <w:szCs w:val="19"/>
              </w:rPr>
              <w:t xml:space="preserve">30%</w:t>
            </w:r>
          </w:p>
        </w:tc>
        <w:tc>
          <w:tcPr>
            <w:tcW w:type="dxa" w:w="3660"/>
            <w:tcMar>
              <w:top w:type="dxa" w:w="80"/>
              <w:left w:type="dxa" w:w="100"/>
              <w:bottom w:type="dxa" w:w="80"/>
              <w:right w:type="dxa" w:w="100"/>
            </w:tcMar>
          </w:tcPr>
          <w:p>
            <w:pPr>
              <w:spacing w:after="0"/>
            </w:pPr>
            <w:r>
              <w:rPr>
                <w:rFonts w:ascii="Arial" w:cs="Arial" w:eastAsia="Arial" w:hAnsi="Arial"/>
                <w:b w:val="false"/>
                <w:bCs w:val="false"/>
                <w:sz w:val="19"/>
                <w:szCs w:val="19"/>
              </w:rPr>
              <w:t xml:space="preserve">Stable income, capital intact</w:t>
            </w:r>
          </w:p>
        </w:tc>
        <w:tc>
          <w:tcPr>
            <w:tcW w:type="dxa" w:w="1600"/>
            <w:tcMar>
              <w:top w:type="dxa" w:w="80"/>
              <w:left w:type="dxa" w:w="100"/>
              <w:bottom w:type="dxa" w:w="80"/>
              <w:right w:type="dxa" w:w="100"/>
            </w:tcMar>
          </w:tcPr>
          <w:p>
            <w:pPr>
              <w:spacing w:after="0"/>
            </w:pPr>
            <w:r>
              <w:rPr>
                <w:rFonts w:ascii="Arial" w:cs="Arial" w:eastAsia="Arial" w:hAnsi="Arial"/>
                <w:b w:val="false"/>
                <w:bCs w:val="false"/>
                <w:sz w:val="19"/>
                <w:szCs w:val="19"/>
              </w:rPr>
              <w:t xml:space="preserve">Strategy 2</w:t>
            </w:r>
          </w:p>
        </w:tc>
      </w:tr>
      <w:tr>
        <w:tc>
          <w:tcPr>
            <w:tcW w:type="dxa" w:w="2000"/>
            <w:tcMar>
              <w:top w:type="dxa" w:w="80"/>
              <w:left w:type="dxa" w:w="100"/>
              <w:bottom w:type="dxa" w:w="80"/>
              <w:right w:type="dxa" w:w="100"/>
            </w:tcMar>
          </w:tcPr>
          <w:p>
            <w:pPr>
              <w:spacing w:after="0"/>
            </w:pPr>
            <w:r>
              <w:rPr>
                <w:rFonts w:ascii="Arial" w:cs="Arial" w:eastAsia="Arial" w:hAnsi="Arial"/>
                <w:b w:val="false"/>
                <w:bCs w:val="false"/>
                <w:sz w:val="19"/>
                <w:szCs w:val="19"/>
              </w:rPr>
              <w:t xml:space="preserve">Value</w:t>
            </w:r>
          </w:p>
        </w:tc>
        <w:tc>
          <w:tcPr>
            <w:tcW w:type="dxa" w:w="1800"/>
            <w:tcMar>
              <w:top w:type="dxa" w:w="80"/>
              <w:left w:type="dxa" w:w="100"/>
              <w:bottom w:type="dxa" w:w="80"/>
              <w:right w:type="dxa" w:w="100"/>
            </w:tcMar>
          </w:tcPr>
          <w:p>
            <w:pPr>
              <w:spacing w:after="0"/>
            </w:pPr>
            <w:r>
              <w:rPr>
                <w:rFonts w:ascii="Arial" w:cs="Arial" w:eastAsia="Arial" w:hAnsi="Arial"/>
                <w:b w:val="false"/>
                <w:bCs w:val="false"/>
                <w:sz w:val="19"/>
                <w:szCs w:val="19"/>
              </w:rPr>
              <w:t xml:space="preserve">20%</w:t>
            </w:r>
          </w:p>
        </w:tc>
        <w:tc>
          <w:tcPr>
            <w:tcW w:type="dxa" w:w="3660"/>
            <w:tcMar>
              <w:top w:type="dxa" w:w="80"/>
              <w:left w:type="dxa" w:w="100"/>
              <w:bottom w:type="dxa" w:w="80"/>
              <w:right w:type="dxa" w:w="100"/>
            </w:tcMar>
          </w:tcPr>
          <w:p>
            <w:pPr>
              <w:spacing w:after="0"/>
            </w:pPr>
            <w:r>
              <w:rPr>
                <w:rFonts w:ascii="Arial" w:cs="Arial" w:eastAsia="Arial" w:hAnsi="Arial"/>
                <w:b w:val="false"/>
                <w:bCs w:val="false"/>
                <w:sz w:val="19"/>
                <w:szCs w:val="19"/>
              </w:rPr>
              <w:t xml:space="preserve">Undervalued quality, long horizon</w:t>
            </w:r>
          </w:p>
        </w:tc>
        <w:tc>
          <w:tcPr>
            <w:tcW w:type="dxa" w:w="1600"/>
            <w:tcMar>
              <w:top w:type="dxa" w:w="80"/>
              <w:left w:type="dxa" w:w="100"/>
              <w:bottom w:type="dxa" w:w="80"/>
              <w:right w:type="dxa" w:w="100"/>
            </w:tcMar>
          </w:tcPr>
          <w:p>
            <w:pPr>
              <w:spacing w:after="0"/>
            </w:pPr>
            <w:r>
              <w:rPr>
                <w:rFonts w:ascii="Arial" w:cs="Arial" w:eastAsia="Arial" w:hAnsi="Arial"/>
                <w:b w:val="false"/>
                <w:bCs w:val="false"/>
                <w:sz w:val="19"/>
                <w:szCs w:val="19"/>
              </w:rPr>
              <w:t xml:space="preserve">Strategy 3</w:t>
            </w:r>
          </w:p>
        </w:tc>
      </w:tr>
    </w:tbl>
    <w:p>
      <w:pPr>
        <w:spacing w:after="120" w:before="0" w:line="300"/>
      </w:pPr>
      <w:r>
        <w:rPr>
          <w:rFonts w:ascii="Arial" w:cs="Arial" w:eastAsia="Arial" w:hAnsi="Arial"/>
          <w:sz w:val="22"/>
          <w:szCs w:val="22"/>
        </w:rPr>
        <w:t xml:space="preserve"/>
      </w:r>
    </w:p>
    <w:p>
      <w:pPr>
        <w:spacing w:after="160" w:before="0" w:line="300"/>
      </w:pPr>
      <w:r>
        <w:rPr>
          <w:rFonts w:ascii="Arial" w:cs="Arial" w:eastAsia="Arial" w:hAnsi="Arial"/>
          <w:sz w:val="22"/>
          <w:szCs w:val="22"/>
        </w:rPr>
        <w:t xml:space="preserve">These are illustrative numbers. Your allocation depends on your actual situation – your income needs, your time horizon, your tolerance for volatility. The point is that the allocation comes first, as a deliberate decision, not as the residue of individual stock picks.</w:t>
      </w:r>
    </w:p>
    <w:p>
      <w:pPr>
        <w:spacing w:after="160" w:before="0" w:line="300"/>
      </w:pPr>
      <w:r>
        <w:rPr>
          <w:rFonts w:ascii="Arial" w:cs="Arial" w:eastAsia="Arial" w:hAnsi="Arial"/>
          <w:sz w:val="22"/>
          <w:szCs w:val="22"/>
        </w:rPr>
        <w:t xml:space="preserve">Once the buckets are defined, each is filled independently using its own method. Outperformance stocks are not filtered by yield. Dividend stocks are not selected for growth potential. Value stocks are not ranked by trend. Each bucket has one goal and one set of knock-out filters appropriate to that goal.</w:t>
      </w:r>
    </w:p>
    <w:p>
      <w:pPr>
        <w:pBdr>
          <w:left w:val="single" w:color="1F3A5F" w:sz="18" w:space="12"/>
        </w:pBdr>
        <w:spacing w:after="240" w:before="200" w:line="300"/>
        <w:ind w:left="567"/>
      </w:pPr>
      <w:r>
        <w:rPr>
          <w:rFonts w:ascii="Arial" w:cs="Arial" w:eastAsia="Arial" w:hAnsi="Arial"/>
          <w:i/>
          <w:iCs/>
          <w:color w:val="1F3A5F"/>
          <w:sz w:val="24"/>
          <w:szCs w:val="24"/>
        </w:rPr>
        <w:t xml:space="preserve">“This is how the portfolio becomes diversified by design rather than by accident. Different objectives attract different stocks. You don’t need to engineer diversification – it follows from the structure.”</w:t>
      </w:r>
    </w:p>
    <w:p>
      <w:pPr>
        <w:spacing w:after="160" w:before="0" w:line="300"/>
      </w:pPr>
      <w:r>
        <w:rPr>
          <w:rFonts w:ascii="Arial" w:cs="Arial" w:eastAsia="Arial" w:hAnsi="Arial"/>
          <w:sz w:val="22"/>
          <w:szCs w:val="22"/>
        </w:rPr>
        <w:t xml:space="preserve">The result is a portfolio where you can answer, for every position: why is this here, and what is it supposed to do? That sounds like a low bar. For most portfolios, it isn’t.</w:t>
      </w:r>
    </w:p>
    <w:p>
      <w:pPr>
        <w:pageBreakBefore/>
        <w:spacing w:after="200" w:before="0" w:line="300"/>
      </w:pPr>
      <w:r>
        <w:rPr>
          <w:rFonts w:ascii="Arial" w:cs="Arial" w:eastAsia="Arial" w:hAnsi="Arial"/>
          <w:i/>
          <w:iCs/>
          <w:color w:val="666666"/>
          <w:sz w:val="20"/>
          <w:szCs w:val="20"/>
        </w:rPr>
        <w:t xml:space="preserve">Conclusion</w:t>
      </w:r>
    </w:p>
    <w:p>
      <w:pPr>
        <w:pStyle w:val="Heading1"/>
        <w:spacing w:after="240" w:before="0"/>
      </w:pPr>
      <w:r>
        <w:rPr>
          <w:rFonts w:ascii="Arial" w:cs="Arial" w:eastAsia="Arial" w:hAnsi="Arial"/>
          <w:b/>
          <w:bCs/>
          <w:color w:val="1F3A5F"/>
          <w:sz w:val="40"/>
          <w:szCs w:val="40"/>
        </w:rPr>
        <w:t xml:space="preserve">The Question Behind the Question</w:t>
      </w:r>
    </w:p>
    <w:p>
      <w:pPr>
        <w:spacing w:after="160" w:before="0" w:line="300"/>
      </w:pPr>
      <w:r>
        <w:rPr>
          <w:rFonts w:ascii="Arial" w:cs="Arial" w:eastAsia="Arial" w:hAnsi="Arial"/>
          <w:sz w:val="22"/>
          <w:szCs w:val="22"/>
        </w:rPr>
        <w:t xml:space="preserve">Most stock selection advice is answer-shaped. Buy quality. Diversify. Look for moats. Avoid high debt. The advice is not wrong. It’s just not specific enough to be useful, because it skips the question that should come first.</w:t>
      </w:r>
    </w:p>
    <w:p>
      <w:pPr>
        <w:spacing w:after="160" w:before="0" w:line="300"/>
      </w:pPr>
      <w:r>
        <w:rPr>
          <w:rFonts w:ascii="Arial" w:cs="Arial" w:eastAsia="Arial" w:hAnsi="Arial"/>
          <w:b/>
          <w:bCs/>
          <w:sz w:val="22"/>
          <w:szCs w:val="22"/>
        </w:rPr>
        <w:t xml:space="preserve">What does your portfolio need to do?</w:t>
      </w:r>
    </w:p>
    <w:p>
      <w:pPr>
        <w:spacing w:after="160" w:before="0" w:line="300"/>
      </w:pPr>
      <w:r>
        <w:rPr>
          <w:rFonts w:ascii="Arial" w:cs="Arial" w:eastAsia="Arial" w:hAnsi="Arial"/>
          <w:sz w:val="22"/>
          <w:szCs w:val="22"/>
        </w:rPr>
        <w:t xml:space="preserve">Not in the abstract. Not “grow over time” or “beat inflation.” Specifically – does it need to generate cash in the next three years? Does it need to survive a 40% drawdown without you selling? Does it need to outperform an index you’re benchmarked against, or does it need to let you sleep?</w:t>
      </w:r>
    </w:p>
    <w:p>
      <w:pPr>
        <w:spacing w:after="160" w:before="0" w:line="300"/>
      </w:pPr>
      <w:r>
        <w:rPr>
          <w:rFonts w:ascii="Arial" w:cs="Arial" w:eastAsia="Arial" w:hAnsi="Arial"/>
          <w:sz w:val="22"/>
          <w:szCs w:val="22"/>
        </w:rPr>
        <w:t xml:space="preserve">The answer to that question determines everything that follows. The metrics that matter. The filters that protect you. The candidates that make the list.</w:t>
      </w:r>
    </w:p>
    <w:p>
      <w:pPr>
        <w:spacing w:after="160" w:before="0" w:line="300"/>
      </w:pPr>
      <w:r>
        <w:rPr>
          <w:rFonts w:ascii="Arial" w:cs="Arial" w:eastAsia="Arial" w:hAnsi="Arial"/>
          <w:sz w:val="22"/>
          <w:szCs w:val="22"/>
        </w:rPr>
        <w:t xml:space="preserve">This guide has laid out one framework for getting there. It has a property that most screening approaches lack: it forces the decision about what you want before it lets you look at what’s available. That sequence matters more than any individual criterion.</w:t>
      </w:r>
    </w:p>
    <w:p>
      <w:pPr>
        <w:shd w:fill="F2F4F7" w:val="clear"/>
        <w:spacing w:after="240" w:before="120" w:line="300"/>
        <w:ind w:left="284" w:right="284"/>
      </w:pPr>
      <w:r>
        <w:rPr>
          <w:rFonts w:ascii="Arial" w:cs="Arial" w:eastAsia="Arial" w:hAnsi="Arial"/>
          <w:sz w:val="22"/>
          <w:szCs w:val="22"/>
        </w:rPr>
        <w:t xml:space="preserve">Most investors find a stock they like and then convince themselves it fits their goals. The method here runs in the opposite direction.</w:t>
      </w:r>
    </w:p>
    <w:p>
      <w:pPr>
        <w:spacing w:after="160" w:before="0" w:line="300"/>
      </w:pPr>
      <w:r>
        <w:rPr>
          <w:rFonts w:ascii="Arial" w:cs="Arial" w:eastAsia="Arial" w:hAnsi="Arial"/>
          <w:sz w:val="22"/>
          <w:szCs w:val="22"/>
        </w:rPr>
        <w:t xml:space="preserve">The negative examples in this guide – AT&amp;T, Snap, the stocks that looked right until they didn’t – are not cautionary tales about bad companies. They are illustrations of what happens when selection criteria are borrowed rather than derived. When yield is mistaken for quality. When past performance in a favorable window is mistaken for consistency. When a screener’s output is mistaken for a decision.</w:t>
      </w:r>
    </w:p>
    <w:p>
      <w:pPr>
        <w:spacing w:after="160" w:before="0" w:line="300"/>
      </w:pPr>
      <w:r>
        <w:rPr>
          <w:rFonts w:ascii="Arial" w:cs="Arial" w:eastAsia="Arial" w:hAnsi="Arial"/>
          <w:sz w:val="22"/>
          <w:szCs w:val="22"/>
        </w:rPr>
        <w:t xml:space="preserve">The framework doesn’t eliminate risk. Nothing does. What it eliminates is the specific, avoidable risk of not knowing what you were selecting for in the first place.</w:t>
      </w:r>
    </w:p>
    <w:p>
      <w:pPr>
        <w:spacing w:after="160" w:before="0" w:line="300"/>
      </w:pPr>
      <w:r>
        <w:rPr>
          <w:rFonts w:ascii="Arial" w:cs="Arial" w:eastAsia="Arial" w:hAnsi="Arial"/>
          <w:b/>
          <w:bCs/>
          <w:sz w:val="22"/>
          <w:szCs w:val="22"/>
        </w:rPr>
        <w:t xml:space="preserve">Goal first. Constraints second. Portfolio by design, not by accident.</w:t>
      </w:r>
    </w:p>
    <w:p>
      <w:pPr>
        <w:spacing w:after="160" w:before="0" w:line="300"/>
      </w:pPr>
      <w:r>
        <w:rPr>
          <w:rFonts w:ascii="Arial" w:cs="Arial" w:eastAsia="Arial" w:hAnsi="Arial"/>
          <w:sz w:val="22"/>
          <w:szCs w:val="22"/>
        </w:rPr>
        <w:t xml:space="preserve">The rest is execution.</w:t>
      </w:r>
    </w:p>
    <w:p>
      <w:pPr>
        <w:spacing w:after="120" w:before="0" w:line="300"/>
      </w:pPr>
      <w:r>
        <w:rPr>
          <w:rFonts w:ascii="Arial" w:cs="Arial" w:eastAsia="Arial" w:hAnsi="Arial"/>
          <w:sz w:val="22"/>
          <w:szCs w:val="22"/>
        </w:rPr>
        <w:t xml:space="preserve"/>
      </w:r>
    </w:p>
    <w:p>
      <w:pPr>
        <w:shd w:fill="F2F4F7" w:val="clear"/>
        <w:spacing w:after="240" w:before="120" w:line="300"/>
        <w:ind w:left="284" w:right="284"/>
      </w:pPr>
      <w:r>
        <w:rPr>
          <w:rFonts w:ascii="Arial" w:cs="Arial" w:eastAsia="Arial" w:hAnsi="Arial"/>
          <w:sz w:val="22"/>
          <w:szCs w:val="22"/>
        </w:rPr>
        <w:t xml:space="preserve">The method in this guide works without any tools. If at some point you want to run it across hundreds of tickers automatically – Part 2 of this series covers the Python implementation of the same framework. It includes a data quality layer that catches bad data before it reaches the screener, a configurable core screening function, three diagnostic metrics, and strategy variants for dividend income and low volatility. The logic is identical. The difference is scale.</w:t>
      </w:r>
    </w:p>
    <w:p>
      <w:pPr>
        <w:spacing w:after="160" w:before="0" w:line="300"/>
      </w:pPr>
      <w:r>
        <w:rPr>
          <w:rFonts w:ascii="Arial" w:cs="Arial" w:eastAsia="Arial" w:hAnsi="Arial"/>
          <w:b/>
          <w:bCs/>
          <w:sz w:val="22"/>
          <w:szCs w:val="22"/>
        </w:rPr>
        <w:t xml:space="preserve">→ Goal First in Python – available on Gumroad.</w:t>
      </w:r>
    </w:p>
    <w:p>
      <w:pPr>
        <w:pageBreakBefore/>
        <w:pStyle w:val="Heading1"/>
        <w:spacing w:after="240" w:before="0"/>
      </w:pPr>
      <w:r>
        <w:rPr>
          <w:rFonts w:ascii="Arial" w:cs="Arial" w:eastAsia="Arial" w:hAnsi="Arial"/>
          <w:b/>
          <w:bCs/>
          <w:color w:val="1F3A5F"/>
          <w:sz w:val="40"/>
          <w:szCs w:val="40"/>
        </w:rPr>
        <w:t xml:space="preserve">Glossary</w:t>
      </w:r>
    </w:p>
    <w:p>
      <w:pPr>
        <w:spacing w:after="240" w:before="0" w:line="300"/>
      </w:pPr>
      <w:r>
        <w:rPr>
          <w:rFonts w:ascii="Arial" w:cs="Arial" w:eastAsia="Arial" w:hAnsi="Arial"/>
          <w:color w:val="666666"/>
          <w:sz w:val="20"/>
          <w:szCs w:val="20"/>
        </w:rPr>
        <w:t xml:space="preserve">Terms as used in this guide and in Goal First in Python; code names in parentheses.</w:t>
      </w:r>
    </w:p>
    <w:p>
      <w:pPr>
        <w:keepNext/>
        <w:spacing w:after="40" w:before="0" w:line="300"/>
      </w:pPr>
      <w:r>
        <w:rPr>
          <w:rFonts w:ascii="Arial" w:cs="Arial" w:eastAsia="Arial" w:hAnsi="Arial"/>
          <w:b/>
          <w:bCs/>
          <w:sz w:val="22"/>
          <w:szCs w:val="22"/>
        </w:rPr>
        <w:t xml:space="preserve">Benchmark</w:t>
      </w:r>
    </w:p>
    <w:p>
      <w:pPr>
        <w:spacing w:after="200" w:before="0" w:line="300"/>
        <w:ind w:left="284"/>
      </w:pPr>
      <w:r>
        <w:rPr>
          <w:rFonts w:ascii="Arial" w:cs="Arial" w:eastAsia="Arial" w:hAnsi="Arial"/>
          <w:sz w:val="22"/>
          <w:szCs w:val="22"/>
        </w:rPr>
        <w:t xml:space="preserve">The yardstick a stock is compared against – here the S&amp;P 500. “Beating the benchmark” means a higher return than the index in a given calendar year.</w:t>
      </w:r>
    </w:p>
    <w:p>
      <w:pPr>
        <w:keepNext/>
        <w:spacing w:after="40" w:before="0" w:line="300"/>
      </w:pPr>
      <w:r>
        <w:rPr>
          <w:rFonts w:ascii="Arial" w:cs="Arial" w:eastAsia="Arial" w:hAnsi="Arial"/>
          <w:b/>
          <w:bCs/>
          <w:sz w:val="22"/>
          <w:szCs w:val="22"/>
        </w:rPr>
        <w:t xml:space="preserve">Benchmark bias score (bias_score)</w:t>
      </w:r>
    </w:p>
    <w:p>
      <w:pPr>
        <w:spacing w:after="200" w:before="0" w:line="300"/>
        <w:ind w:left="284"/>
      </w:pPr>
      <w:r>
        <w:rPr>
          <w:rFonts w:ascii="Arial" w:cs="Arial" w:eastAsia="Arial" w:hAnsi="Arial"/>
          <w:sz w:val="22"/>
          <w:szCs w:val="22"/>
        </w:rPr>
        <w:t xml:space="preserve">The fraction of years in which a stock beat the benchmark. 14 of 20 = 0.70.</w:t>
      </w:r>
    </w:p>
    <w:p>
      <w:pPr>
        <w:keepNext/>
        <w:spacing w:after="40" w:before="0" w:line="300"/>
      </w:pPr>
      <w:r>
        <w:rPr>
          <w:rFonts w:ascii="Arial" w:cs="Arial" w:eastAsia="Arial" w:hAnsi="Arial"/>
          <w:b/>
          <w:bCs/>
          <w:sz w:val="22"/>
          <w:szCs w:val="22"/>
        </w:rPr>
        <w:t xml:space="preserve">Calendar-year return</w:t>
      </w:r>
    </w:p>
    <w:p>
      <w:pPr>
        <w:spacing w:after="200" w:before="0" w:line="300"/>
        <w:ind w:left="284"/>
      </w:pPr>
      <w:r>
        <w:rPr>
          <w:rFonts w:ascii="Arial" w:cs="Arial" w:eastAsia="Arial" w:hAnsi="Arial"/>
          <w:sz w:val="22"/>
          <w:szCs w:val="22"/>
        </w:rPr>
        <w:t xml:space="preserve">Return from 1 January to 31 December. The method counts in calendar years, not rolling 12-month windows.</w:t>
      </w:r>
    </w:p>
    <w:p>
      <w:pPr>
        <w:keepNext/>
        <w:spacing w:after="40" w:before="0" w:line="300"/>
      </w:pPr>
      <w:r>
        <w:rPr>
          <w:rFonts w:ascii="Arial" w:cs="Arial" w:eastAsia="Arial" w:hAnsi="Arial"/>
          <w:b/>
          <w:bCs/>
          <w:sz w:val="22"/>
          <w:szCs w:val="22"/>
        </w:rPr>
        <w:t xml:space="preserve">Constraint / knock-out criterion</w:t>
      </w:r>
    </w:p>
    <w:p>
      <w:pPr>
        <w:spacing w:after="200" w:before="0" w:line="300"/>
        <w:ind w:left="284"/>
      </w:pPr>
      <w:r>
        <w:rPr>
          <w:rFonts w:ascii="Arial" w:cs="Arial" w:eastAsia="Arial" w:hAnsi="Arial"/>
          <w:sz w:val="22"/>
          <w:szCs w:val="22"/>
        </w:rPr>
        <w:t xml:space="preserve">A condition that disqualifies a candidate – pass or fail, no partial credit. Each one protects the primary goal against a specific failure mode.</w:t>
      </w:r>
    </w:p>
    <w:p>
      <w:pPr>
        <w:keepNext/>
        <w:spacing w:after="40" w:before="0" w:line="300"/>
      </w:pPr>
      <w:r>
        <w:rPr>
          <w:rFonts w:ascii="Arial" w:cs="Arial" w:eastAsia="Arial" w:hAnsi="Arial"/>
          <w:b/>
          <w:bCs/>
          <w:sz w:val="22"/>
          <w:szCs w:val="22"/>
        </w:rPr>
        <w:t xml:space="preserve">Dividend trap</w:t>
      </w:r>
    </w:p>
    <w:p>
      <w:pPr>
        <w:spacing w:after="200" w:before="0" w:line="300"/>
        <w:ind w:left="284"/>
      </w:pPr>
      <w:r>
        <w:rPr>
          <w:rFonts w:ascii="Arial" w:cs="Arial" w:eastAsia="Arial" w:hAnsi="Arial"/>
          <w:sz w:val="22"/>
          <w:szCs w:val="22"/>
        </w:rPr>
        <w:t xml:space="preserve">A high dividend yield that is high only because the share price is falling. The income is, in substance, a return of capital.</w:t>
      </w:r>
    </w:p>
    <w:p>
      <w:pPr>
        <w:keepNext/>
        <w:spacing w:after="40" w:before="0" w:line="300"/>
      </w:pPr>
      <w:r>
        <w:rPr>
          <w:rFonts w:ascii="Arial" w:cs="Arial" w:eastAsia="Arial" w:hAnsi="Arial"/>
          <w:b/>
          <w:bCs/>
          <w:sz w:val="22"/>
          <w:szCs w:val="22"/>
        </w:rPr>
        <w:t xml:space="preserve">Dividend yield</w:t>
      </w:r>
    </w:p>
    <w:p>
      <w:pPr>
        <w:spacing w:after="200" w:before="0" w:line="300"/>
        <w:ind w:left="284"/>
      </w:pPr>
      <w:r>
        <w:rPr>
          <w:rFonts w:ascii="Arial" w:cs="Arial" w:eastAsia="Arial" w:hAnsi="Arial"/>
          <w:sz w:val="22"/>
          <w:szCs w:val="22"/>
        </w:rPr>
        <w:t xml:space="preserve">Annual dividend divided by share price. When the price falls, the yield rises – without anything about the business improving.</w:t>
      </w:r>
    </w:p>
    <w:p>
      <w:pPr>
        <w:keepNext/>
        <w:spacing w:after="40" w:before="0" w:line="300"/>
      </w:pPr>
      <w:r>
        <w:rPr>
          <w:rFonts w:ascii="Arial" w:cs="Arial" w:eastAsia="Arial" w:hAnsi="Arial"/>
          <w:b/>
          <w:bCs/>
          <w:sz w:val="22"/>
          <w:szCs w:val="22"/>
        </w:rPr>
        <w:t xml:space="preserve">Drawdown</w:t>
      </w:r>
    </w:p>
    <w:p>
      <w:pPr>
        <w:spacing w:after="200" w:before="0" w:line="300"/>
        <w:ind w:left="284"/>
      </w:pPr>
      <w:r>
        <w:rPr>
          <w:rFonts w:ascii="Arial" w:cs="Arial" w:eastAsia="Arial" w:hAnsi="Arial"/>
          <w:sz w:val="22"/>
          <w:szCs w:val="22"/>
        </w:rPr>
        <w:t xml:space="preserve">Decline from a peak to the following trough, in percent. Maximum drawdown is the largest such decline in the period observed.</w:t>
      </w:r>
    </w:p>
    <w:p>
      <w:pPr>
        <w:keepNext/>
        <w:spacing w:after="40" w:before="0" w:line="300"/>
      </w:pPr>
      <w:r>
        <w:rPr>
          <w:rFonts w:ascii="Arial" w:cs="Arial" w:eastAsia="Arial" w:hAnsi="Arial"/>
          <w:b/>
          <w:bCs/>
          <w:sz w:val="22"/>
          <w:szCs w:val="22"/>
        </w:rPr>
        <w:t xml:space="preserve">Free cash flow yield</w:t>
      </w:r>
    </w:p>
    <w:p>
      <w:pPr>
        <w:spacing w:after="200" w:before="0" w:line="300"/>
        <w:ind w:left="284"/>
      </w:pPr>
      <w:r>
        <w:rPr>
          <w:rFonts w:ascii="Arial" w:cs="Arial" w:eastAsia="Arial" w:hAnsi="Arial"/>
          <w:sz w:val="22"/>
          <w:szCs w:val="22"/>
        </w:rPr>
        <w:t xml:space="preserve">Free cash flow relative to market value. Shows what the business actually generates, independent of reported earnings.</w:t>
      </w:r>
    </w:p>
    <w:p>
      <w:pPr>
        <w:keepNext/>
        <w:spacing w:after="40" w:before="0" w:line="300"/>
      </w:pPr>
      <w:r>
        <w:rPr>
          <w:rFonts w:ascii="Arial" w:cs="Arial" w:eastAsia="Arial" w:hAnsi="Arial"/>
          <w:b/>
          <w:bCs/>
          <w:sz w:val="22"/>
          <w:szCs w:val="22"/>
        </w:rPr>
        <w:t xml:space="preserve">Index</w:t>
      </w:r>
    </w:p>
    <w:p>
      <w:pPr>
        <w:spacing w:after="200" w:before="0" w:line="300"/>
        <w:ind w:left="284"/>
      </w:pPr>
      <w:r>
        <w:rPr>
          <w:rFonts w:ascii="Arial" w:cs="Arial" w:eastAsia="Arial" w:hAnsi="Arial"/>
          <w:sz w:val="22"/>
          <w:szCs w:val="22"/>
        </w:rPr>
        <w:t xml:space="preserve">A calculated basket of many stocks representing a market – the S&amp;P 500 covers the 500 largest US companies. Serves as the benchmark.</w:t>
      </w:r>
    </w:p>
    <w:p>
      <w:pPr>
        <w:keepNext/>
        <w:spacing w:after="40" w:before="0" w:line="300"/>
      </w:pPr>
      <w:r>
        <w:rPr>
          <w:rFonts w:ascii="Arial" w:cs="Arial" w:eastAsia="Arial" w:hAnsi="Arial"/>
          <w:b/>
          <w:bCs/>
          <w:sz w:val="22"/>
          <w:szCs w:val="22"/>
        </w:rPr>
        <w:t xml:space="preserve">Lexicographic preference</w:t>
      </w:r>
    </w:p>
    <w:p>
      <w:pPr>
        <w:spacing w:after="200" w:before="0" w:line="300"/>
        <w:ind w:left="284"/>
      </w:pPr>
      <w:r>
        <w:rPr>
          <w:rFonts w:ascii="Arial" w:cs="Arial" w:eastAsia="Arial" w:hAnsi="Arial"/>
          <w:sz w:val="22"/>
          <w:szCs w:val="22"/>
        </w:rPr>
        <w:t xml:space="preserve">Decision rule: sort by the most important criterion first; apply further criteria only to distinguish candidates that satisfy the first.</w:t>
      </w:r>
    </w:p>
    <w:p>
      <w:pPr>
        <w:keepNext/>
        <w:spacing w:after="40" w:before="0" w:line="300"/>
      </w:pPr>
      <w:r>
        <w:rPr>
          <w:rFonts w:ascii="Arial" w:cs="Arial" w:eastAsia="Arial" w:hAnsi="Arial"/>
          <w:b/>
          <w:bCs/>
          <w:sz w:val="22"/>
          <w:szCs w:val="22"/>
        </w:rPr>
        <w:t xml:space="preserve">Loss year (loss year ratio)</w:t>
      </w:r>
    </w:p>
    <w:p>
      <w:pPr>
        <w:spacing w:after="200" w:before="0" w:line="300"/>
        <w:ind w:left="284"/>
      </w:pPr>
      <w:r>
        <w:rPr>
          <w:rFonts w:ascii="Arial" w:cs="Arial" w:eastAsia="Arial" w:hAnsi="Arial"/>
          <w:sz w:val="22"/>
          <w:szCs w:val="22"/>
        </w:rPr>
        <w:t xml:space="preserve">A calendar year with a negative absolute return. The loss year ratio is the share of loss years in all years observed (code: loss_year_ratio).</w:t>
      </w:r>
    </w:p>
    <w:p>
      <w:pPr>
        <w:keepNext/>
        <w:spacing w:after="40" w:before="0" w:line="300"/>
      </w:pPr>
      <w:r>
        <w:rPr>
          <w:rFonts w:ascii="Arial" w:cs="Arial" w:eastAsia="Arial" w:hAnsi="Arial"/>
          <w:b/>
          <w:bCs/>
          <w:sz w:val="22"/>
          <w:szCs w:val="22"/>
        </w:rPr>
        <w:t xml:space="preserve">P/E, P/B</w:t>
      </w:r>
    </w:p>
    <w:p>
      <w:pPr>
        <w:spacing w:after="200" w:before="0" w:line="300"/>
        <w:ind w:left="284"/>
      </w:pPr>
      <w:r>
        <w:rPr>
          <w:rFonts w:ascii="Arial" w:cs="Arial" w:eastAsia="Arial" w:hAnsi="Arial"/>
          <w:sz w:val="22"/>
          <w:szCs w:val="22"/>
        </w:rPr>
        <w:t xml:space="preserve">Price-to-earnings and price-to-book ratios. Common valuation metrics; they say nothing about direction or quality.</w:t>
      </w:r>
    </w:p>
    <w:p>
      <w:pPr>
        <w:keepNext/>
        <w:spacing w:after="40" w:before="0" w:line="300"/>
      </w:pPr>
      <w:r>
        <w:rPr>
          <w:rFonts w:ascii="Arial" w:cs="Arial" w:eastAsia="Arial" w:hAnsi="Arial"/>
          <w:b/>
          <w:bCs/>
          <w:sz w:val="22"/>
          <w:szCs w:val="22"/>
        </w:rPr>
        <w:t xml:space="preserve">Payout ratio</w:t>
      </w:r>
    </w:p>
    <w:p>
      <w:pPr>
        <w:spacing w:after="200" w:before="0" w:line="300"/>
        <w:ind w:left="284"/>
      </w:pPr>
      <w:r>
        <w:rPr>
          <w:rFonts w:ascii="Arial" w:cs="Arial" w:eastAsia="Arial" w:hAnsi="Arial"/>
          <w:sz w:val="22"/>
          <w:szCs w:val="22"/>
        </w:rPr>
        <w:t xml:space="preserve">The share of earnings paid out as dividends. Consistently above 90–100%: the dividend is no longer funded by the ongoing business.</w:t>
      </w:r>
    </w:p>
    <w:p>
      <w:pPr>
        <w:keepNext/>
        <w:spacing w:after="40" w:before="0" w:line="300"/>
      </w:pPr>
      <w:r>
        <w:rPr>
          <w:rFonts w:ascii="Arial" w:cs="Arial" w:eastAsia="Arial" w:hAnsi="Arial"/>
          <w:b/>
          <w:bCs/>
          <w:sz w:val="22"/>
          <w:szCs w:val="22"/>
        </w:rPr>
        <w:t xml:space="preserve">Rollercoaster stock</w:t>
      </w:r>
    </w:p>
    <w:p>
      <w:pPr>
        <w:spacing w:after="200" w:before="0" w:line="300"/>
        <w:ind w:left="284"/>
      </w:pPr>
      <w:r>
        <w:rPr>
          <w:rFonts w:ascii="Arial" w:cs="Arial" w:eastAsia="Arial" w:hAnsi="Arial"/>
          <w:sz w:val="22"/>
          <w:szCs w:val="22"/>
        </w:rPr>
        <w:t xml:space="preserve">A stock with extreme up and down phases whose price follows the story rather than the fundamentals. Looks like a winner in short windows.</w:t>
      </w:r>
    </w:p>
    <w:p>
      <w:pPr>
        <w:keepNext/>
        <w:spacing w:after="40" w:before="0" w:line="300"/>
      </w:pPr>
      <w:r>
        <w:rPr>
          <w:rFonts w:ascii="Arial" w:cs="Arial" w:eastAsia="Arial" w:hAnsi="Arial"/>
          <w:b/>
          <w:bCs/>
          <w:sz w:val="22"/>
          <w:szCs w:val="22"/>
        </w:rPr>
        <w:t xml:space="preserve">Ticker</w:t>
      </w:r>
    </w:p>
    <w:p>
      <w:pPr>
        <w:spacing w:after="200" w:before="0" w:line="300"/>
        <w:ind w:left="284"/>
      </w:pPr>
      <w:r>
        <w:rPr>
          <w:rFonts w:ascii="Arial" w:cs="Arial" w:eastAsia="Arial" w:hAnsi="Arial"/>
          <w:sz w:val="22"/>
          <w:szCs w:val="22"/>
        </w:rPr>
        <w:t xml:space="preserve">A stock’s exchange symbol (T for AT&amp;T, SNAP for Snap). ^GSPC is the symbol of the S&amp;P 500.</w:t>
      </w:r>
    </w:p>
    <w:p>
      <w:pPr>
        <w:keepNext/>
        <w:spacing w:after="40" w:before="0" w:line="300"/>
      </w:pPr>
      <w:r>
        <w:rPr>
          <w:rFonts w:ascii="Arial" w:cs="Arial" w:eastAsia="Arial" w:hAnsi="Arial"/>
          <w:b/>
          <w:bCs/>
          <w:sz w:val="22"/>
          <w:szCs w:val="22"/>
        </w:rPr>
        <w:t xml:space="preserve">Total return</w:t>
      </w:r>
    </w:p>
    <w:p>
      <w:pPr>
        <w:spacing w:after="200" w:before="0" w:line="300"/>
        <w:ind w:left="284"/>
      </w:pPr>
      <w:r>
        <w:rPr>
          <w:rFonts w:ascii="Arial" w:cs="Arial" w:eastAsia="Arial" w:hAnsi="Arial"/>
          <w:sz w:val="22"/>
          <w:szCs w:val="22"/>
        </w:rPr>
        <w:t xml:space="preserve">Price change plus dividends. The number that actually ends up in your account.</w:t>
      </w:r>
    </w:p>
    <w:p>
      <w:pPr>
        <w:keepNext/>
        <w:spacing w:after="40" w:before="0" w:line="300"/>
      </w:pPr>
      <w:r>
        <w:rPr>
          <w:rFonts w:ascii="Arial" w:cs="Arial" w:eastAsia="Arial" w:hAnsi="Arial"/>
          <w:b/>
          <w:bCs/>
          <w:sz w:val="22"/>
          <w:szCs w:val="22"/>
        </w:rPr>
        <w:t xml:space="preserve">Universe</w:t>
      </w:r>
    </w:p>
    <w:p>
      <w:pPr>
        <w:spacing w:after="200" w:before="0" w:line="300"/>
        <w:ind w:left="284"/>
      </w:pPr>
      <w:r>
        <w:rPr>
          <w:rFonts w:ascii="Arial" w:cs="Arial" w:eastAsia="Arial" w:hAnsi="Arial"/>
          <w:sz w:val="22"/>
          <w:szCs w:val="22"/>
        </w:rPr>
        <w:t xml:space="preserve">The set of stocks you select from – for example, the constituents of the S&amp;P 500.</w:t>
      </w:r>
    </w:p>
    <w:p>
      <w:pPr>
        <w:keepNext/>
        <w:spacing w:after="40" w:before="0" w:line="300"/>
      </w:pPr>
      <w:r>
        <w:rPr>
          <w:rFonts w:ascii="Arial" w:cs="Arial" w:eastAsia="Arial" w:hAnsi="Arial"/>
          <w:b/>
          <w:bCs/>
          <w:sz w:val="22"/>
          <w:szCs w:val="22"/>
        </w:rPr>
        <w:t xml:space="preserve">Volatility</w:t>
      </w:r>
    </w:p>
    <w:p>
      <w:pPr>
        <w:spacing w:after="200" w:before="0" w:line="300"/>
        <w:ind w:left="284"/>
      </w:pPr>
      <w:r>
        <w:rPr>
          <w:rFonts w:ascii="Arial" w:cs="Arial" w:eastAsia="Arial" w:hAnsi="Arial"/>
          <w:sz w:val="22"/>
          <w:szCs w:val="22"/>
        </w:rPr>
        <w:t xml:space="preserve">The dispersion of returns, measured as annualized standard deviation. Low volatility means a calm price path, not automatically low risk.</w:t>
      </w:r>
    </w:p>
    <w:p>
      <w:pPr>
        <w:pageBreakBefore/>
        <w:pStyle w:val="Heading1"/>
        <w:spacing w:after="240" w:before="0"/>
      </w:pPr>
      <w:r>
        <w:rPr>
          <w:rFonts w:ascii="Arial" w:cs="Arial" w:eastAsia="Arial" w:hAnsi="Arial"/>
          <w:b/>
          <w:bCs/>
          <w:color w:val="1F3A5F"/>
          <w:sz w:val="40"/>
          <w:szCs w:val="40"/>
        </w:rPr>
        <w:t xml:space="preserve">About the Author</w:t>
      </w:r>
    </w:p>
    <w:p>
      <w:pPr>
        <w:spacing w:after="160" w:before="0" w:line="300"/>
      </w:pPr>
      <w:r>
        <w:rPr>
          <w:rFonts w:ascii="Arial" w:cs="Arial" w:eastAsia="Arial" w:hAnsi="Arial"/>
          <w:sz w:val="22"/>
          <w:szCs w:val="22"/>
        </w:rPr>
        <w:t>Leverage Thinking is the pen name of Laura Kruse-Stecher. Equity investor for 20+ years. Proprietary stock selection algorithms in live trading. Data integrity and backtesting infrastructure: Python, PostgreSQL/TimescaleDB. Economist; managing director and sole shareholder of Elcando GmbH. The practice mentioned in the introduction to the first guide was brought through the crisis and later sold.</w:t>
      </w:r>
    </w:p>
    <w:p>
      <w:pPr>
        <w:spacing w:after="160" w:before="0" w:line="300"/>
      </w:pPr>
      <w:r>
        <w:rPr>
          <w:rFonts w:ascii="Arial" w:cs="Arial" w:eastAsia="Arial" w:hAnsi="Arial"/>
          <w:sz w:val="22"/>
          <w:szCs w:val="22"/>
        </w:rPr>
        <w:t xml:space="preserve">Questions, comments, custom builds: via Gumroad.</w:t>
      </w:r>
    </w:p>
    <w:p>
      <w:pPr>
        <w:spacing w:after="120" w:before="0" w:line="300"/>
      </w:pPr>
      <w:r>
        <w:rPr>
          <w:rFonts w:ascii="Arial" w:cs="Arial" w:eastAsia="Arial" w:hAnsi="Arial"/>
          <w:sz w:val="22"/>
          <w:szCs w:val="22"/>
        </w:rPr>
        <w:t xml:space="preserve"/>
      </w:r>
    </w:p>
    <w:p>
      <w:pPr>
        <w:pStyle w:val="Heading1"/>
        <w:spacing w:after="240" w:before="0"/>
      </w:pPr>
      <w:r>
        <w:rPr>
          <w:rFonts w:ascii="Arial" w:cs="Arial" w:eastAsia="Arial" w:hAnsi="Arial"/>
          <w:b/>
          <w:bCs/>
          <w:color w:val="1F3A5F"/>
          <w:sz w:val="40"/>
          <w:szCs w:val="40"/>
        </w:rPr>
        <w:t xml:space="preserve">Code &amp; Updates</w:t>
      </w:r>
    </w:p>
    <w:p>
      <w:pPr>
        <w:spacing w:after="160" w:before="0" w:line="300"/>
      </w:pPr>
      <w:r>
        <w:rPr>
          <w:rFonts w:ascii="Arial" w:cs="Arial" w:eastAsia="Arial" w:hAnsi="Arial"/>
          <w:sz w:val="22"/>
          <w:szCs w:val="22"/>
        </w:rPr>
        <w:t xml:space="preserve">The code behind this framework – data quality layer, screener, and metrics from Goal First in Python – lives in a public repository:</w:t>
      </w:r>
    </w:p>
    <w:p>
      <w:pPr>
        <w:spacing w:after="160" w:before="0" w:line="300"/>
      </w:pPr>
      <w:r>
        <w:rPr>
          <w:rFonts w:ascii="Arial" w:cs="Arial" w:eastAsia="Arial" w:hAnsi="Arial"/>
          <w:b/>
          <w:bCs/>
          <w:sz w:val="22"/>
          <w:szCs w:val="22"/>
        </w:rPr>
        <w:t xml:space="preserve">https://github.com/Elcando-GmbH/goal-first</w:t>
      </w:r>
    </w:p>
    <w:p>
      <w:pPr>
        <w:spacing w:after="160" w:before="0" w:line="300"/>
      </w:pPr>
      <w:r>
        <w:rPr>
          <w:rFonts w:ascii="Arial" w:cs="Arial" w:eastAsia="Arial" w:hAnsi="Arial"/>
          <w:sz w:val="22"/>
          <w:szCs w:val="22"/>
        </w:rPr>
        <w:t xml:space="preserve">Corrections and updates to both guides are published there as well. Error reports are welcome – via Gumroad or directly in the repository. The code is released under the MIT License.</w:t>
      </w:r>
    </w:p>
    <w:p>
      <w:pPr>
        <w:spacing w:after="120" w:before="0" w:line="300"/>
      </w:pPr>
      <w:r>
        <w:rPr>
          <w:rFonts w:ascii="Arial" w:cs="Arial" w:eastAsia="Arial" w:hAnsi="Arial"/>
          <w:sz w:val="22"/>
          <w:szCs w:val="22"/>
        </w:rPr>
        <w:t xml:space="preserve"/>
      </w:r>
    </w:p>
    <w:p>
      <w:pPr>
        <w:pStyle w:val="Heading1"/>
        <w:spacing w:after="240" w:before="0"/>
      </w:pPr>
      <w:r>
        <w:rPr>
          <w:rFonts w:ascii="Arial" w:cs="Arial" w:eastAsia="Arial" w:hAnsi="Arial"/>
          <w:b/>
          <w:bCs/>
          <w:color w:val="1F3A5F"/>
          <w:sz w:val="40"/>
          <w:szCs w:val="40"/>
        </w:rPr>
        <w:t xml:space="preserve">Imprint</w:t>
      </w:r>
    </w:p>
    <w:p>
      <w:pPr>
        <w:spacing w:after="160" w:before="0" w:line="300"/>
      </w:pPr>
      <w:r>
        <w:rPr>
          <w:rFonts w:ascii="Arial" w:cs="Arial" w:eastAsia="Arial" w:hAnsi="Arial"/>
          <w:sz w:val="22"/>
          <w:szCs w:val="22"/>
        </w:rPr>
        <w:t xml:space="preserve">Author: Laura Kruse-Stecher, writing as Leverage Thinking.</w:t>
      </w:r>
    </w:p>
    <w:p>
      <w:pPr>
        <w:spacing w:after="160" w:before="0" w:line="300"/>
      </w:pPr>
      <w:r>
        <w:rPr>
          <w:rFonts w:ascii="Arial" w:cs="Arial" w:eastAsia="Arial" w:hAnsi="Arial"/>
          <w:sz w:val="22"/>
          <w:szCs w:val="22"/>
        </w:rPr>
        <w:t xml:space="preserve">Legal notice and contact: leveragethinking.gumroad.com</w:t>
      </w:r>
    </w:p>
    <w:p>
      <w:pPr>
        <w:spacing w:after="160" w:before="0" w:line="300"/>
      </w:pPr>
      <w:r>
        <w:rPr>
          <w:rFonts w:ascii="Arial" w:cs="Arial" w:eastAsia="Arial" w:hAnsi="Arial"/>
          <w:sz w:val="22"/>
          <w:szCs w:val="22"/>
        </w:rPr>
        <w:t xml:space="preserve">This guide was produced with the help of AI tools for research, editing, and translation. The method, the content, the examples, and every decision are the author’s own.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color w:val="666666"/>
        <w:sz w:val="16"/>
        <w:szCs w:val="16"/>
      </w:rPr>
      <w:t xml:space="preserve">For informational purposes only. Not investment advice.</w:t>
    </w:r>
    <w:r>
      <w:rPr>
        <w:rFonts w:ascii="Arial" w:cs="Arial" w:eastAsia="Arial" w:hAnsi="Arial"/>
        <w:sz w:val="16"/>
        <w:szCs w:val="16"/>
      </w:rPr>
      <w:t xml:space="preserv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300"/>
    </w:pPr>
    <w:r>
      <w:rPr>
        <w:rFonts w:ascii="Arial" w:cs="Arial" w:eastAsia="Arial" w:hAnsi="Arial"/>
        <w:color w:val="666666"/>
        <w:sz w:val="16"/>
        <w:szCs w:val="16"/>
      </w:rPr>
      <w:t xml:space="preserve">LEVERAGE THINKING</w:t>
    </w:r>
    <w:r>
      <w:rPr>
        <w:rFonts w:ascii="Arial" w:cs="Arial" w:eastAsia="Arial" w:hAnsi="Arial"/>
        <w:color w:val="666666"/>
        <w:sz w:val="16"/>
        <w:szCs w:val="16"/>
      </w:rPr>
      <w:t xml:space="preserve">	Goal First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2026-10-23T11:19:48.164Z</dcterms:created>
  <dcterms:modified xsi:type="dcterms:W3CDTF">2026-10-23T11:19:48.165Z</dcterms:modified>
</cp:coreProperties>
</file>

<file path=docProps/custom.xml><?xml version="1.0" encoding="utf-8"?>
<Properties xmlns="http://schemas.openxmlformats.org/officeDocument/2006/custom-properties" xmlns:vt="http://schemas.openxmlformats.org/officeDocument/2006/docPropsVTypes"/>
</file>