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56"/>
          <w:szCs w:val="56"/>
        </w:rPr>
        <w:t xml:space="preserve">Code Walkthrough</w:t>
      </w:r>
    </w:p>
    <w:p>
      <w:pPr>
        <w:spacing w:after="300"/>
      </w:pPr>
      <w:r>
        <w:rPr>
          <w:rFonts w:ascii="Consolas" w:cs="Consolas" w:eastAsia="Consolas" w:hAnsi="Consolas"/>
          <w:b/>
          <w:bCs/>
          <w:color w:val="2F6FBB"/>
          <w:sz w:val="34"/>
          <w:szCs w:val="34"/>
        </w:rPr>
        <w:t xml:space="preserve">app_subghz_phy.c</w:t>
      </w:r>
    </w:p>
    <w:p>
      <w:pPr>
        <w:spacing w:after="40"/>
      </w:pPr>
      <w:r>
        <w:rPr>
          <w:i/>
          <w:iCs/>
          <w:sz w:val="22"/>
          <w:szCs w:val="22"/>
        </w:rPr>
        <w:t xml:space="preserve">Project: self_healing_TX_Wio-e5-mini-p2p-tx (STM32WLE5 / SubGHz_Phy Middleware)</w:t>
      </w:r>
    </w:p>
    <w:p>
      <w:pPr>
        <w:spacing w:after="400"/>
      </w:pPr>
      <w:r>
        <w:rPr>
          <w:i/>
          <w:iCs/>
          <w:sz w:val="22"/>
          <w:szCs w:val="22"/>
        </w:rPr>
        <w:t xml:space="preserve">Logic-wise, block-by-block explanation of the SubGHz_Phy middleware entry-point file</w:t>
      </w:r>
    </w:p>
    <w:p>
      <w:pPr>
        <w:pStyle w:val="Heading1"/>
        <w:spacing w:after="160" w:before="360"/>
      </w:pPr>
      <w:r>
        <w:rPr>
          <w:b/>
          <w:bCs/>
        </w:rPr>
        <w:t xml:space="preserve">1. Overview</w:t>
      </w:r>
    </w:p>
    <w:p>
      <w:pPr>
        <w:spacing w:after="160"/>
      </w:pPr>
      <w:r>
        <w:rPr>
          <w:rFonts w:ascii="Calibri" w:cs="Calibri" w:eastAsia="Calibri" w:hAnsi="Calibri"/>
          <w:sz w:val="22"/>
          <w:szCs w:val="22"/>
        </w:rPr>
        <w:t xml:space="preserve">app_subghz_phy.c is a file auto-generated by STM32CubeMX for the SubGHz_Phy middleware. It is intentionally thin: it does not contain any application-specific radio logic (packet framing, TX scheduling, retry / self-healing behaviour, etc.). Instead, it wires together the system-level startup and the cooperative task scheduler that drives the real application code, which lives in subghz_phy_app.c.</w:t>
      </w:r>
    </w:p>
    <w:p>
      <w:pPr>
        <w:pBdr>
          <w:left w:val="single" w:color="2F6FBB" w:sz="24"/>
        </w:pBdr>
        <w:shd w:fill="EAF3FF" w:val="clear"/>
        <w:spacing w:after="200" w:before="160"/>
        <w:ind w:left="200"/>
      </w:pPr>
      <w:r>
        <w:rPr>
          <w:rFonts w:ascii="Calibri" w:cs="Calibri" w:eastAsia="Calibri" w:hAnsi="Calibri"/>
          <w:i/>
          <w:iCs/>
          <w:color w:val="1F3864"/>
          <w:sz w:val="21"/>
          <w:szCs w:val="21"/>
        </w:rPr>
        <w:t xml:space="preserve">Key takeaway: this file only exposes two functions — MX_SubGHz_Phy_Init() and MX_SubGHz_Phy_Process() — that are called once and repeatedly (respectively) from main.c.</w:t>
      </w:r>
    </w:p>
    <w:p>
      <w:pPr>
        <w:pStyle w:val="Heading1"/>
        <w:spacing w:after="160" w:before="360"/>
      </w:pPr>
      <w:r>
        <w:rPr>
          <w:b/>
          <w:bCs/>
        </w:rPr>
        <w:t xml:space="preserve">2. File Structure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Mar>
              <w:top w:type="dxa" w:w="100"/>
              <w:left w:type="dxa" w:w="120"/>
              <w:bottom w:type="dxa" w:w="100"/>
              <w:right w:type="dxa" w:w="120"/>
            </w:tcMar>
          </w:tcPr>
          <w:p>
            <w:r>
              <w:rPr>
                <w:rFonts w:ascii="Calibri" w:cs="Calibri" w:eastAsia="Calibri" w:hAnsi="Calibri"/>
                <w:b/>
                <w:bCs/>
                <w:sz w:val="21"/>
                <w:szCs w:val="21"/>
              </w:rPr>
              <w:t xml:space="preserve">Lines 1–19</w:t>
            </w:r>
          </w:p>
        </w:tc>
        <w:tc>
          <w:tcPr>
            <w:tcW w:type="dxa" w:w="6400"/>
            <w:tcMar>
              <w:top w:type="dxa" w:w="100"/>
              <w:left w:type="dxa" w:w="120"/>
              <w:bottom w:type="dxa" w:w="100"/>
              <w:right w:type="dxa" w:w="120"/>
            </w:tcMar>
          </w:tcPr>
          <w:p>
            <w:r>
              <w:rPr>
                <w:rFonts w:ascii="Calibri" w:cs="Calibri" w:eastAsia="Calibri" w:hAnsi="Calibri"/>
                <w:sz w:val="21"/>
                <w:szCs w:val="21"/>
              </w:rPr>
              <w:t xml:space="preserve">File header — ST copyright / license banner (documentation only).</w:t>
            </w:r>
          </w:p>
        </w:tc>
      </w:tr>
      <w:tr>
        <w:tc>
          <w:tcPr>
            <w:tcW w:type="dxa" w:w="2600"/>
            <w:shd w:fill="F2F2F2" w:val="clear"/>
            <w:tcMar>
              <w:top w:type="dxa" w:w="100"/>
              <w:left w:type="dxa" w:w="120"/>
              <w:bottom w:type="dxa" w:w="100"/>
              <w:right w:type="dxa" w:w="120"/>
            </w:tcMar>
          </w:tcPr>
          <w:p>
            <w:r>
              <w:rPr>
                <w:rFonts w:ascii="Calibri" w:cs="Calibri" w:eastAsia="Calibri" w:hAnsi="Calibri"/>
                <w:b/>
                <w:bCs/>
                <w:sz w:val="21"/>
                <w:szCs w:val="21"/>
              </w:rPr>
              <w:t xml:space="preserve">Lines 21–28</w:t>
            </w:r>
          </w:p>
        </w:tc>
        <w:tc>
          <w:tcPr>
            <w:tcW w:type="dxa" w:w="6400"/>
            <w:tcMar>
              <w:top w:type="dxa" w:w="100"/>
              <w:left w:type="dxa" w:w="120"/>
              <w:bottom w:type="dxa" w:w="100"/>
              <w:right w:type="dxa" w:w="120"/>
            </w:tcMar>
          </w:tcPr>
          <w:p>
            <w:r>
              <w:rPr>
                <w:rFonts w:ascii="Calibri" w:cs="Calibri" w:eastAsia="Calibri" w:hAnsi="Calibri"/>
                <w:sz w:val="21"/>
                <w:szCs w:val="21"/>
              </w:rPr>
              <w:t xml:space="preserve">Includes — pulls in this file's header, the real radio app, system app, and the sequencer utility.</w:t>
            </w:r>
          </w:p>
        </w:tc>
      </w:tr>
      <w:tr>
        <w:tc>
          <w:tcPr>
            <w:tcW w:type="dxa" w:w="2600"/>
            <w:shd w:fill="F2F2F2" w:val="clear"/>
            <w:tcMar>
              <w:top w:type="dxa" w:w="100"/>
              <w:left w:type="dxa" w:w="120"/>
              <w:bottom w:type="dxa" w:w="100"/>
              <w:right w:type="dxa" w:w="120"/>
            </w:tcMar>
          </w:tcPr>
          <w:p>
            <w:r>
              <w:rPr>
                <w:rFonts w:ascii="Calibri" w:cs="Calibri" w:eastAsia="Calibri" w:hAnsi="Calibri"/>
                <w:b/>
                <w:bCs/>
                <w:sz w:val="21"/>
                <w:szCs w:val="21"/>
              </w:rPr>
              <w:t xml:space="preserve">Lines 30–58</w:t>
            </w:r>
          </w:p>
        </w:tc>
        <w:tc>
          <w:tcPr>
            <w:tcW w:type="dxa" w:w="6400"/>
            <w:tcMar>
              <w:top w:type="dxa" w:w="100"/>
              <w:left w:type="dxa" w:w="120"/>
              <w:bottom w:type="dxa" w:w="100"/>
              <w:right w:type="dxa" w:w="120"/>
            </w:tcMar>
          </w:tcPr>
          <w:p>
            <w:r>
              <w:rPr>
                <w:rFonts w:ascii="Calibri" w:cs="Calibri" w:eastAsia="Calibri" w:hAnsi="Calibri"/>
                <w:sz w:val="21"/>
                <w:szCs w:val="21"/>
              </w:rPr>
              <w:t xml:space="preserve">Empty CubeMX placeholder sections (typedefs, defines, macros, variables, prototypes) — all unused here.</w:t>
            </w:r>
          </w:p>
        </w:tc>
      </w:tr>
      <w:tr>
        <w:tc>
          <w:tcPr>
            <w:tcW w:type="dxa" w:w="2600"/>
            <w:shd w:fill="F2F2F2" w:val="clear"/>
            <w:tcMar>
              <w:top w:type="dxa" w:w="100"/>
              <w:left w:type="dxa" w:w="120"/>
              <w:bottom w:type="dxa" w:w="100"/>
              <w:right w:type="dxa" w:w="120"/>
            </w:tcMar>
          </w:tcPr>
          <w:p>
            <w:r>
              <w:rPr>
                <w:rFonts w:ascii="Calibri" w:cs="Calibri" w:eastAsia="Calibri" w:hAnsi="Calibri"/>
                <w:b/>
                <w:bCs/>
                <w:sz w:val="21"/>
                <w:szCs w:val="21"/>
              </w:rPr>
              <w:t xml:space="preserve">Lines 62–75</w:t>
            </w:r>
          </w:p>
        </w:tc>
        <w:tc>
          <w:tcPr>
            <w:tcW w:type="dxa" w:w="6400"/>
            <w:tcMar>
              <w:top w:type="dxa" w:w="100"/>
              <w:left w:type="dxa" w:w="120"/>
              <w:bottom w:type="dxa" w:w="100"/>
              <w:right w:type="dxa" w:w="120"/>
            </w:tcMar>
          </w:tcPr>
          <w:p>
            <w:r>
              <w:rPr>
                <w:rFonts w:ascii="Calibri" w:cs="Calibri" w:eastAsia="Calibri" w:hAnsi="Calibri"/>
                <w:sz w:val="21"/>
                <w:szCs w:val="21"/>
              </w:rPr>
              <w:t xml:space="preserve">MX_SubGHz_Phy_Init() — one-time initialization entry point.</w:t>
            </w:r>
          </w:p>
        </w:tc>
      </w:tr>
      <w:tr>
        <w:tc>
          <w:tcPr>
            <w:tcW w:type="dxa" w:w="2600"/>
            <w:shd w:fill="F2F2F2" w:val="clear"/>
            <w:tcMar>
              <w:top w:type="dxa" w:w="100"/>
              <w:left w:type="dxa" w:w="120"/>
              <w:bottom w:type="dxa" w:w="100"/>
              <w:right w:type="dxa" w:w="120"/>
            </w:tcMar>
          </w:tcPr>
          <w:p>
            <w:r>
              <w:rPr>
                <w:rFonts w:ascii="Calibri" w:cs="Calibri" w:eastAsia="Calibri" w:hAnsi="Calibri"/>
                <w:b/>
                <w:bCs/>
                <w:sz w:val="21"/>
                <w:szCs w:val="21"/>
              </w:rPr>
              <w:t xml:space="preserve">Lines 77–86</w:t>
            </w:r>
          </w:p>
        </w:tc>
        <w:tc>
          <w:tcPr>
            <w:tcW w:type="dxa" w:w="6400"/>
            <w:tcMar>
              <w:top w:type="dxa" w:w="100"/>
              <w:left w:type="dxa" w:w="120"/>
              <w:bottom w:type="dxa" w:w="100"/>
              <w:right w:type="dxa" w:w="120"/>
            </w:tcMar>
          </w:tcPr>
          <w:p>
            <w:r>
              <w:rPr>
                <w:rFonts w:ascii="Calibri" w:cs="Calibri" w:eastAsia="Calibri" w:hAnsi="Calibri"/>
                <w:sz w:val="21"/>
                <w:szCs w:val="21"/>
              </w:rPr>
              <w:t xml:space="preserve">MX_SubGHz_Phy_Process() — repeated runtime pump, called from the main superloop.</w:t>
            </w:r>
          </w:p>
        </w:tc>
      </w:tr>
      <w:tr>
        <w:tc>
          <w:tcPr>
            <w:tcW w:type="dxa" w:w="2600"/>
            <w:shd w:fill="F2F2F2" w:val="clear"/>
            <w:tcMar>
              <w:top w:type="dxa" w:w="100"/>
              <w:left w:type="dxa" w:w="120"/>
              <w:bottom w:type="dxa" w:w="100"/>
              <w:right w:type="dxa" w:w="120"/>
            </w:tcMar>
          </w:tcPr>
          <w:p>
            <w:r>
              <w:rPr>
                <w:rFonts w:ascii="Calibri" w:cs="Calibri" w:eastAsia="Calibri" w:hAnsi="Calibri"/>
                <w:b/>
                <w:bCs/>
                <w:sz w:val="21"/>
                <w:szCs w:val="21"/>
              </w:rPr>
              <w:t xml:space="preserve">Lines 88–95</w:t>
            </w:r>
          </w:p>
        </w:tc>
        <w:tc>
          <w:tcPr>
            <w:tcW w:type="dxa" w:w="6400"/>
            <w:tcMar>
              <w:top w:type="dxa" w:w="100"/>
              <w:left w:type="dxa" w:w="120"/>
              <w:bottom w:type="dxa" w:w="100"/>
              <w:right w:type="dxa" w:w="120"/>
            </w:tcMar>
          </w:tcPr>
          <w:p>
            <w:r>
              <w:rPr>
                <w:rFonts w:ascii="Calibri" w:cs="Calibri" w:eastAsia="Calibri" w:hAnsi="Calibri"/>
                <w:sz w:val="21"/>
                <w:szCs w:val="21"/>
              </w:rPr>
              <w:t xml:space="preserve">Trailing empty CubeMX placeholders (extra functions / private definitions) — unused.</w:t>
            </w:r>
          </w:p>
        </w:tc>
      </w:tr>
    </w:tbl>
    <w:p>
      <w:pPr>
        <w:pStyle w:val="Heading1"/>
        <w:spacing w:after="160" w:before="360"/>
      </w:pPr>
      <w:r>
        <w:rPr>
          <w:b/>
          <w:bCs/>
        </w:rPr>
        <w:t xml:space="preserve">3. Block-by-Block Explanation</w:t>
      </w:r>
    </w:p>
    <w:p>
      <w:pPr>
        <w:pStyle w:val="Heading2"/>
        <w:spacing w:after="120" w:before="260"/>
      </w:pPr>
      <w:r>
        <w:rPr>
          <w:b/>
          <w:bCs/>
        </w:rPr>
        <w:t xml:space="preserve">3.1 File Header Comment (lines 1–19)</w:t>
      </w:r>
    </w:p>
    <w:p>
      <w:pPr>
        <w:spacing w:after="160"/>
      </w:pPr>
      <w:r>
        <w:rPr>
          <w:rFonts w:ascii="Calibri" w:cs="Calibri" w:eastAsia="Calibri" w:hAnsi="Calibri"/>
          <w:sz w:val="22"/>
          <w:szCs w:val="22"/>
        </w:rPr>
        <w:t xml:space="preserve">Standard ST auto-generated banner: filename, author tag ("MCD Application Team"), a one-line brief, and the ST software license notice. Pure documentation — no executable logic.</w:t>
      </w:r>
    </w:p>
    <w:p>
      <w:pPr>
        <w:pStyle w:val="Heading2"/>
        <w:spacing w:after="120" w:before="260"/>
      </w:pPr>
      <w:r>
        <w:rPr>
          <w:b/>
          <w:bCs/>
        </w:rPr>
        <w:t xml:space="preserve">3.2 Includes (lines 21–28)</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#include "app_subghz_phy.h"</w:t>
      </w:r>
      <w:r>
        <w:rPr>
          <w:rFonts w:ascii="Consolas" w:cs="Consolas" w:eastAsia="Consolas" w:hAnsi="Consolas"/>
          <w:sz w:val="19"/>
          <w:szCs w:val="19"/>
        </w:rPr>
        <w:br/>
        <w:t xml:space="preserve">#include "subghz_phy_app.h"</w:t>
      </w:r>
      <w:r>
        <w:rPr>
          <w:rFonts w:ascii="Consolas" w:cs="Consolas" w:eastAsia="Consolas" w:hAnsi="Consolas"/>
          <w:sz w:val="19"/>
          <w:szCs w:val="19"/>
        </w:rPr>
        <w:br/>
        <w:t xml:space="preserve">#include "sys_app.h"</w:t>
      </w:r>
      <w:r>
        <w:rPr>
          <w:rFonts w:ascii="Consolas" w:cs="Consolas" w:eastAsia="Consolas" w:hAnsi="Consolas"/>
          <w:sz w:val="19"/>
          <w:szCs w:val="19"/>
        </w:rPr>
        <w:br/>
        <w:t xml:space="preserve"/>
      </w:r>
      <w:r>
        <w:rPr>
          <w:rFonts w:ascii="Consolas" w:cs="Consolas" w:eastAsia="Consolas" w:hAnsi="Consolas"/>
          <w:sz w:val="19"/>
          <w:szCs w:val="19"/>
        </w:rPr>
        <w:br/>
        <w:t xml:space="preserve">/* USER CODE BEGIN Includes */</w:t>
      </w:r>
      <w:r>
        <w:rPr>
          <w:rFonts w:ascii="Consolas" w:cs="Consolas" w:eastAsia="Consolas" w:hAnsi="Consolas"/>
          <w:sz w:val="19"/>
          <w:szCs w:val="19"/>
        </w:rPr>
        <w:br/>
        <w:t xml:space="preserve">#include "stm32_seq.h"</w:t>
      </w:r>
      <w:r>
        <w:rPr>
          <w:rFonts w:ascii="Consolas" w:cs="Consolas" w:eastAsia="Consolas" w:hAnsi="Consolas"/>
          <w:sz w:val="19"/>
          <w:szCs w:val="19"/>
        </w:rPr>
        <w:br/>
        <w:t xml:space="preserve">/* USER CODE END Includes */</w:t>
      </w:r>
    </w:p>
    <w:p>
      <w:pPr>
        <w:pStyle w:val="ListParagraph"/>
        <w:numPr>
          <w:ilvl w:val="0"/>
          <w:numId w:val="2"/>
        </w:numPr>
        <w:spacing w:after="100"/>
      </w:pPr>
      <w:r>
        <w:rPr>
          <w:rFonts w:ascii="Calibri" w:cs="Calibri" w:eastAsia="Calibri" w:hAnsi="Calibri"/>
          <w:sz w:val="22"/>
          <w:szCs w:val="22"/>
        </w:rPr>
        <w:t xml:space="preserve">app_subghz_phy.h — this file's own header; declares the two public functions defined below.</w:t>
      </w:r>
    </w:p>
    <w:p>
      <w:pPr>
        <w:pStyle w:val="ListParagraph"/>
        <w:numPr>
          <w:ilvl w:val="0"/>
          <w:numId w:val="2"/>
        </w:numPr>
        <w:spacing w:after="100"/>
      </w:pPr>
      <w:r>
        <w:rPr>
          <w:rFonts w:ascii="Calibri" w:cs="Calibri" w:eastAsia="Calibri" w:hAnsi="Calibri"/>
          <w:sz w:val="22"/>
          <w:szCs w:val="22"/>
        </w:rPr>
        <w:t xml:space="preserve">subghz_phy_app.h — pulls in the actual radio application (SubghzApp_Init()), where the real TX packet logic, timers, and radio callbacks live.</w:t>
      </w:r>
    </w:p>
    <w:p>
      <w:pPr>
        <w:pStyle w:val="ListParagraph"/>
        <w:numPr>
          <w:ilvl w:val="0"/>
          <w:numId w:val="2"/>
        </w:numPr>
        <w:spacing w:after="100"/>
      </w:pPr>
      <w:r>
        <w:rPr>
          <w:rFonts w:ascii="Calibri" w:cs="Calibri" w:eastAsia="Calibri" w:hAnsi="Calibri"/>
          <w:sz w:val="22"/>
          <w:szCs w:val="22"/>
        </w:rPr>
        <w:t xml:space="preserve">sys_app.h — system-level app init: tracing/logging, RTC, low-power manager setup, etc., via SystemApp_Init().</w:t>
      </w:r>
    </w:p>
    <w:p>
      <w:pPr>
        <w:pStyle w:val="ListParagraph"/>
        <w:numPr>
          <w:ilvl w:val="0"/>
          <w:numId w:val="2"/>
        </w:numPr>
        <w:spacing w:after="100"/>
      </w:pPr>
      <w:r>
        <w:rPr>
          <w:rFonts w:ascii="Calibri" w:cs="Calibri" w:eastAsia="Calibri" w:hAnsi="Calibri"/>
          <w:sz w:val="22"/>
          <w:szCs w:val="22"/>
        </w:rPr>
        <w:t xml:space="preserve">stm32_seq.h — the STM32 sequencer utility: a lightweight cooperative task scheduler used instead of a full RTOS. This is what allows tasks to be queued (e.g. from an ISR) and run later inside the main loop.</w:t>
      </w:r>
    </w:p>
    <w:p>
      <w:pPr>
        <w:pStyle w:val="Heading2"/>
        <w:spacing w:after="120" w:before="260"/>
      </w:pPr>
      <w:r>
        <w:rPr>
          <w:b/>
          <w:bCs/>
        </w:rPr>
        <w:t xml:space="preserve">3.3 Boilerplate Placeholder Sections (lines 30–58)</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 External variables ... USER CODE BEGIN EV / END EV */</w:t>
      </w:r>
      <w:r>
        <w:rPr>
          <w:rFonts w:ascii="Consolas" w:cs="Consolas" w:eastAsia="Consolas" w:hAnsi="Consolas"/>
          <w:sz w:val="19"/>
          <w:szCs w:val="19"/>
        </w:rPr>
        <w:br/>
        <w:t xml:space="preserve">/* Private typedef ... PTD */</w:t>
      </w:r>
      <w:r>
        <w:rPr>
          <w:rFonts w:ascii="Consolas" w:cs="Consolas" w:eastAsia="Consolas" w:hAnsi="Consolas"/>
          <w:sz w:val="19"/>
          <w:szCs w:val="19"/>
        </w:rPr>
        <w:br/>
        <w:t xml:space="preserve">/* Private define ... PD */</w:t>
      </w:r>
      <w:r>
        <w:rPr>
          <w:rFonts w:ascii="Consolas" w:cs="Consolas" w:eastAsia="Consolas" w:hAnsi="Consolas"/>
          <w:sz w:val="19"/>
          <w:szCs w:val="19"/>
        </w:rPr>
        <w:br/>
        <w:t xml:space="preserve">/* Private macro ... PM */</w:t>
      </w:r>
      <w:r>
        <w:rPr>
          <w:rFonts w:ascii="Consolas" w:cs="Consolas" w:eastAsia="Consolas" w:hAnsi="Consolas"/>
          <w:sz w:val="19"/>
          <w:szCs w:val="19"/>
        </w:rPr>
        <w:br/>
        <w:t xml:space="preserve">/* Private variables ... PV */</w:t>
      </w:r>
      <w:r>
        <w:rPr>
          <w:rFonts w:ascii="Consolas" w:cs="Consolas" w:eastAsia="Consolas" w:hAnsi="Consolas"/>
          <w:sz w:val="19"/>
          <w:szCs w:val="19"/>
        </w:rPr>
        <w:br/>
        <w:t xml:space="preserve">/* Private function prototypes ... PFP */</w:t>
      </w:r>
    </w:p>
    <w:p>
      <w:pPr>
        <w:spacing w:after="160"/>
      </w:pPr>
      <w:r>
        <w:rPr>
          <w:rFonts w:ascii="Calibri" w:cs="Calibri" w:eastAsia="Calibri" w:hAnsi="Calibri"/>
          <w:sz w:val="22"/>
          <w:szCs w:val="22"/>
        </w:rPr>
        <w:t xml:space="preserve">These are empty USER CODE BEGIN / END slots generated by STM32CubeMX so custom typedefs, defines, macros, static variables, or private function prototypes can be added without CubeMX overwriting them on the next code regeneration. In this project none of them are used — all custom logic was placed in subghz_phy_app.c instead.</w:t>
      </w:r>
    </w:p>
    <w:p>
      <w:pPr>
        <w:pStyle w:val="Heading2"/>
        <w:spacing w:after="120" w:before="260"/>
      </w:pPr>
      <w:r>
        <w:rPr>
          <w:b/>
          <w:bCs/>
        </w:rPr>
        <w:t xml:space="preserve">3.4 MX_SubGHz_Phy_Init(void) — lines 62–75</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void MX_SubGHz_Phy_Init(void)</w:t>
      </w:r>
      <w:r>
        <w:rPr>
          <w:rFonts w:ascii="Consolas" w:cs="Consolas" w:eastAsia="Consolas" w:hAnsi="Consolas"/>
          <w:sz w:val="19"/>
          <w:szCs w:val="19"/>
        </w:rPr>
        <w:br/>
        <w:t xml:space="preserve">{</w:t>
      </w:r>
      <w:r>
        <w:rPr>
          <w:rFonts w:ascii="Consolas" w:cs="Consolas" w:eastAsia="Consolas" w:hAnsi="Consolas"/>
          <w:sz w:val="19"/>
          <w:szCs w:val="19"/>
        </w:rPr>
        <w:br/>
        <w:t xml:space="preserve">  SystemApp_Init();</w:t>
      </w:r>
      <w:r>
        <w:rPr>
          <w:rFonts w:ascii="Consolas" w:cs="Consolas" w:eastAsia="Consolas" w:hAnsi="Consolas"/>
          <w:sz w:val="19"/>
          <w:szCs w:val="19"/>
        </w:rPr>
        <w:br/>
        <w:t xml:space="preserve">  SubghzApp_Init();</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This is the middleware initialization entry point, called once from main() during startup. Logic-wise, it performs two sequential steps:</w:t>
      </w:r>
    </w:p>
    <w:p>
      <w:pPr>
        <w:pStyle w:val="ListParagraph"/>
        <w:numPr>
          <w:ilvl w:val="0"/>
          <w:numId w:val="2"/>
        </w:numPr>
        <w:spacing w:after="100"/>
      </w:pPr>
      <w:r>
        <w:rPr>
          <w:rFonts w:ascii="Calibri" w:cs="Calibri" w:eastAsia="Calibri" w:hAnsi="Calibri"/>
          <w:sz w:val="22"/>
          <w:szCs w:val="22"/>
        </w:rPr>
        <w:t xml:space="preserve">SystemApp_Init() — sets up the generic system-level services the radio app depends on: trace/logging (stm32_adv_trace), RTC-based system time, low-power manager registration, and CRC/random-seed init. This is shared infrastructure, not radio-specific.</w:t>
      </w:r>
    </w:p>
    <w:p>
      <w:pPr>
        <w:pStyle w:val="ListParagraph"/>
        <w:numPr>
          <w:ilvl w:val="0"/>
          <w:numId w:val="2"/>
        </w:numPr>
        <w:spacing w:after="100"/>
      </w:pPr>
      <w:r>
        <w:rPr>
          <w:rFonts w:ascii="Calibri" w:cs="Calibri" w:eastAsia="Calibri" w:hAnsi="Calibri"/>
          <w:sz w:val="22"/>
          <w:szCs w:val="22"/>
        </w:rPr>
        <w:t xml:space="preserve">SubghzApp_Init() — the real radio bring-up, defined in subghz_phy_app.c. It configures the SX126x sub-GHz radio (frequency, power, modulation, packet parameters), registers radio IRQ callbacks (TxDone, RxDone, Timeout, Error), and — in this "self-healing TX" project — most likely arms the periodic transmit timer and registers the sequencer task that drives the send loop.</w:t>
      </w:r>
    </w:p>
    <w:p>
      <w:pPr>
        <w:spacing w:after="160"/>
      </w:pPr>
      <w:r>
        <w:rPr>
          <w:rFonts w:ascii="Calibri" w:cs="Calibri" w:eastAsia="Calibri" w:hAnsi="Calibri"/>
          <w:sz w:val="22"/>
          <w:szCs w:val="22"/>
        </w:rPr>
        <w:t xml:space="preserve">The USER CODE BEGIN/END MX_SubGHz_Phy_Init_1 / _1_1 / _2 markers around and between these calls are insertion points for extra init code; all are currently empty.</w:t>
      </w:r>
    </w:p>
    <w:p>
      <w:pPr>
        <w:pStyle w:val="Heading2"/>
        <w:spacing w:after="120" w:before="260"/>
      </w:pPr>
      <w:r>
        <w:rPr>
          <w:b/>
          <w:bCs/>
        </w:rPr>
        <w:t xml:space="preserve">3.5 MX_SubGHz_Phy_Process(void) — lines 77–86</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void MX_SubGHz_Phy_Process(void)</w:t>
      </w:r>
      <w:r>
        <w:rPr>
          <w:rFonts w:ascii="Consolas" w:cs="Consolas" w:eastAsia="Consolas" w:hAnsi="Consolas"/>
          <w:sz w:val="19"/>
          <w:szCs w:val="19"/>
        </w:rPr>
        <w:br/>
        <w:t xml:space="preserve">{</w:t>
      </w:r>
      <w:r>
        <w:rPr>
          <w:rFonts w:ascii="Consolas" w:cs="Consolas" w:eastAsia="Consolas" w:hAnsi="Consolas"/>
          <w:sz w:val="19"/>
          <w:szCs w:val="19"/>
        </w:rPr>
        <w:br/>
        <w:t xml:space="preserve">  UTIL_SEQ_Run(UTIL_SEQ_DEFAULT);</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This is the runtime pump, called repeatedly inside the main superloop (while(1) in main.c). Logic-wise:</w:t>
      </w:r>
    </w:p>
    <w:p>
      <w:pPr>
        <w:pStyle w:val="ListParagraph"/>
        <w:numPr>
          <w:ilvl w:val="0"/>
          <w:numId w:val="2"/>
        </w:numPr>
        <w:spacing w:after="100"/>
      </w:pPr>
      <w:r>
        <w:rPr>
          <w:rFonts w:ascii="Calibri" w:cs="Calibri" w:eastAsia="Calibri" w:hAnsi="Calibri"/>
          <w:sz w:val="22"/>
          <w:szCs w:val="22"/>
        </w:rPr>
        <w:t xml:space="preserve">UTIL_SEQ_Run(UTIL_SEQ_DEFAULT) asks the sequencer to execute any pending tasks in the default task mask.</w:t>
      </w:r>
    </w:p>
    <w:p>
      <w:pPr>
        <w:pStyle w:val="ListParagraph"/>
        <w:numPr>
          <w:ilvl w:val="0"/>
          <w:numId w:val="2"/>
        </w:numPr>
        <w:spacing w:after="100"/>
      </w:pPr>
      <w:r>
        <w:rPr>
          <w:rFonts w:ascii="Calibri" w:cs="Calibri" w:eastAsia="Calibri" w:hAnsi="Calibri"/>
          <w:sz w:val="22"/>
          <w:szCs w:val="22"/>
        </w:rPr>
        <w:t xml:space="preserve">Concretely, this is what actually invokes the deferred work that radio ISRs schedule. When a TxDone / RxDone / Timeout interrupt fires, the ISR does not do heavy work itself — it calls UTIL_SEQ_SetTask() to flag a task. It is this line, running in the main loop, that later executes that task: restarting the next TX, checking for timeouts, and — presumably — the "self-healing" recovery logic that detects a stuck/failed radio state and resets it.</w:t>
      </w:r>
    </w:p>
    <w:p>
      <w:pPr>
        <w:pStyle w:val="ListParagraph"/>
        <w:numPr>
          <w:ilvl w:val="0"/>
          <w:numId w:val="2"/>
        </w:numPr>
        <w:spacing w:after="100"/>
      </w:pPr>
      <w:r>
        <w:rPr>
          <w:rFonts w:ascii="Calibri" w:cs="Calibri" w:eastAsia="Calibri" w:hAnsi="Calibri"/>
          <w:sz w:val="22"/>
          <w:szCs w:val="22"/>
        </w:rPr>
        <w:t xml:space="preserve">This function is effectively a cooperative-scheduler tick: no work happens unless something (a timer, an IRQ handler, or another task) has already flagged it via the sequencer.</w:t>
      </w:r>
    </w:p>
    <w:p>
      <w:pPr>
        <w:pStyle w:val="Heading2"/>
        <w:spacing w:after="120" w:before="260"/>
      </w:pPr>
      <w:r>
        <w:rPr>
          <w:b/>
          <w:bCs/>
        </w:rPr>
        <w:t xml:space="preserve">3.6 Trailing Empty Sections (lines 88–95)</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 USER CODE BEGIN EF */ ... /* USER CODE END EF */</w:t>
      </w:r>
      <w:r>
        <w:rPr>
          <w:rFonts w:ascii="Consolas" w:cs="Consolas" w:eastAsia="Consolas" w:hAnsi="Consolas"/>
          <w:sz w:val="19"/>
          <w:szCs w:val="19"/>
        </w:rPr>
        <w:br/>
        <w:t xml:space="preserve">/* Private Functions Definition ... PrFD */</w:t>
      </w:r>
    </w:p>
    <w:p>
      <w:pPr>
        <w:spacing w:after="160"/>
      </w:pPr>
      <w:r>
        <w:rPr>
          <w:rFonts w:ascii="Calibri" w:cs="Calibri" w:eastAsia="Calibri" w:hAnsi="Calibri"/>
          <w:sz w:val="22"/>
          <w:szCs w:val="22"/>
        </w:rPr>
        <w:t xml:space="preserve">More unused CubeMX-preserved insertion points, for extra exported functions or private function definitions. Empty in this file.</w:t>
      </w:r>
    </w:p>
    <w:p>
      <w:pPr>
        <w:pStyle w:val="Heading1"/>
        <w:spacing w:after="160" w:before="360"/>
      </w:pPr>
      <w:r>
        <w:rPr>
          <w:b/>
          <w:bCs/>
        </w:rPr>
        <w:t xml:space="preserve">4. The Bigger Picture</w:t>
      </w:r>
    </w:p>
    <w:p>
      <w:pPr>
        <w:spacing w:after="160"/>
      </w:pPr>
      <w:r>
        <w:rPr>
          <w:rFonts w:ascii="Calibri" w:cs="Calibri" w:eastAsia="Calibri" w:hAnsi="Calibri"/>
          <w:sz w:val="22"/>
          <w:szCs w:val="22"/>
        </w:rPr>
        <w:t xml:space="preserve">app_subghz_phy.c itself contains no application-specific logic. It is a thin CubeMX-generated shim that chains two things together:</w:t>
      </w:r>
    </w:p>
    <w:p>
      <w:pPr>
        <w:pStyle w:val="ListParagraph"/>
        <w:numPr>
          <w:ilvl w:val="0"/>
          <w:numId w:val="2"/>
        </w:numPr>
        <w:spacing w:after="100"/>
      </w:pPr>
      <w:r>
        <w:rPr>
          <w:rFonts w:ascii="Calibri" w:cs="Calibri" w:eastAsia="Calibri" w:hAnsi="Calibri"/>
          <w:sz w:val="22"/>
          <w:szCs w:val="22"/>
        </w:rPr>
        <w:t xml:space="preserve">MX_SubGHz_Phy_Init() → bootstraps system services, then hands off to SubghzApp_Init().</w:t>
      </w:r>
    </w:p>
    <w:p>
      <w:pPr>
        <w:pStyle w:val="ListParagraph"/>
        <w:numPr>
          <w:ilvl w:val="0"/>
          <w:numId w:val="2"/>
        </w:numPr>
        <w:spacing w:after="100"/>
      </w:pPr>
      <w:r>
        <w:rPr>
          <w:rFonts w:ascii="Calibri" w:cs="Calibri" w:eastAsia="Calibri" w:hAnsi="Calibri"/>
          <w:sz w:val="22"/>
          <w:szCs w:val="22"/>
        </w:rPr>
        <w:t xml:space="preserve">MX_SubGHz_Phy_Process() → pumps the sequencer so scheduled radio tasks actually run.</w:t>
      </w:r>
    </w:p>
    <w:p>
      <w:pPr>
        <w:spacing w:after="160"/>
      </w:pPr>
      <w:r>
        <w:rPr>
          <w:rFonts w:ascii="Calibri" w:cs="Calibri" w:eastAsia="Calibri" w:hAnsi="Calibri"/>
          <w:sz w:val="22"/>
          <w:szCs w:val="22"/>
        </w:rPr>
        <w:t xml:space="preserve">All of the interesting behaviour for this project — TX scheduling, retry / self-healing logic, the radio state machine, and interrupt callback handlers — lives in subghz_phy_app.c, which this file simply initializes and keeps alive via the sequencer.</w:t>
      </w:r>
    </w:p>
    <w:p>
      <w:pPr>
        <w:pBdr>
          <w:left w:val="single" w:color="2F6FBB" w:sz="24"/>
        </w:pBdr>
        <w:shd w:fill="EAF3FF" w:val="clear"/>
        <w:spacing w:after="200" w:before="160"/>
        <w:ind w:left="200"/>
      </w:pPr>
      <w:r>
        <w:rPr>
          <w:rFonts w:ascii="Calibri" w:cs="Calibri" w:eastAsia="Calibri" w:hAnsi="Calibri"/>
          <w:i/>
          <w:iCs/>
          <w:color w:val="1F3864"/>
          <w:sz w:val="21"/>
          <w:szCs w:val="21"/>
        </w:rPr>
        <w:t xml:space="preserve">Suggested next step: walk through subghz_phy_app.c, since that is almost certainly where the "self-healing TX" mechanism (timeout detection, radio reset/re-init, retransmission) actually lives.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app_subghz_phy.c —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2026-09-05T09:09:18.326Z</dcterms:created>
  <dcterms:modified xsi:type="dcterms:W3CDTF">2026-09-05T09:09:18.340Z</dcterms:modified>
</cp:coreProperties>
</file>

<file path=docProps/custom.xml><?xml version="1.0" encoding="utf-8"?>
<Properties xmlns="http://schemas.openxmlformats.org/officeDocument/2006/custom-properties" xmlns:vt="http://schemas.openxmlformats.org/officeDocument/2006/docPropsVTypes"/>
</file>