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sz w:val="36"/>
          <w:szCs w:val="36"/>
        </w:rPr>
        <w:t xml:space="preserve">Informe de prueba de concepto</w:t>
      </w:r>
    </w:p>
    <w:p>
      <w:pPr>
        <w:spacing w:after="60"/>
        <w:jc w:val="center"/>
      </w:pPr>
      <w:r>
        <w:rPr>
          <w:rFonts w:ascii="Times New Roman" w:cs="Times New Roman" w:eastAsia="Times New Roman" w:hAnsi="Times New Roman"/>
          <w:sz w:val="26"/>
          <w:szCs w:val="26"/>
        </w:rPr>
        <w:t xml:space="preserve">Estimación del riesgo de mala calidad de sueño a partir de datos de smartwatch</w:t>
      </w:r>
    </w:p>
    <w:p>
      <w:pPr>
        <w:spacing w:after="360"/>
        <w:jc w:val="center"/>
      </w:pPr>
      <w:r>
        <w:rPr>
          <w:rFonts w:ascii="Times New Roman" w:cs="Times New Roman" w:eastAsia="Times New Roman" w:hAnsi="Times New Roman"/>
          <w:sz w:val="22"/>
          <w:szCs w:val="22"/>
        </w:rPr>
        <w:t xml:space="preserve">Proyecto HapSleep. Septiembre de 2026</w:t>
      </w:r>
    </w:p>
    <w:p>
      <w:pPr>
        <w:pStyle w:val="Heading1"/>
        <w:keepNext/>
        <w:spacing w:after="120" w:before="280"/>
      </w:pPr>
      <w:r>
        <w:rPr>
          <w:rFonts w:ascii="Times New Roman" w:cs="Times New Roman" w:eastAsia="Times New Roman" w:hAnsi="Times New Roman"/>
          <w:b/>
          <w:bCs/>
          <w:sz w:val="26"/>
          <w:szCs w:val="26"/>
        </w:rPr>
        <w:t xml:space="preserve">1. Objetivo</w:t>
      </w:r>
    </w:p>
    <w:p>
      <w:pPr>
        <w:spacing w:after="140" w:line="300"/>
        <w:jc w:val="both"/>
      </w:pPr>
      <w:r>
        <w:rPr>
          <w:rFonts w:ascii="Times New Roman" w:cs="Times New Roman" w:eastAsia="Times New Roman" w:hAnsi="Times New Roman"/>
          <w:sz w:val="24"/>
          <w:szCs w:val="24"/>
        </w:rPr>
        <w:t xml:space="preserve">Este informe resume las pruebas de concepto realizadas sobre el componente de aprendizaje automático de HapSleep (ML1), que estima el riesgo de mala calidad de sueño de un estudiante a partir de los datos de su smartwatch. La salida de ML1 alimenta a un modelo de lenguaje (LLM), que redacta la recomendación que ve el estudiante en la aplicación. Lo que se quería comprobar es si el flujo completo es viable: un modelo que discrimine mejor que el azar, explicaciones por persona que el LLM pueda usar, y una regla clara para convertir el resultado en un nivel de riesgo (leve, moderado o alto).</w:t>
      </w:r>
    </w:p>
    <w:p>
      <w:pPr>
        <w:spacing w:after="140" w:line="300"/>
        <w:jc w:val="both"/>
      </w:pPr>
      <w:r>
        <w:rPr>
          <w:rFonts w:ascii="Times New Roman" w:cs="Times New Roman" w:eastAsia="Times New Roman" w:hAnsi="Times New Roman"/>
          <w:sz w:val="24"/>
          <w:szCs w:val="24"/>
        </w:rPr>
        <w:t xml:space="preserve">Los resultados no son el desempeño final del sistema. Todavía no se cuenta con datos del PSQI de estudiantes de Lima, así que se trabajó con un dataset público y una etiqueta sustituta. Lo que se evaluó es el diseño.</w:t>
      </w:r>
    </w:p>
    <w:p>
      <w:pPr>
        <w:pStyle w:val="Heading1"/>
        <w:keepNext/>
        <w:spacing w:after="120" w:before="280"/>
      </w:pPr>
      <w:r>
        <w:rPr>
          <w:rFonts w:ascii="Times New Roman" w:cs="Times New Roman" w:eastAsia="Times New Roman" w:hAnsi="Times New Roman"/>
          <w:b/>
          <w:bCs/>
          <w:sz w:val="26"/>
          <w:szCs w:val="26"/>
        </w:rPr>
        <w:t xml:space="preserve">2. Datos</w:t>
      </w:r>
    </w:p>
    <w:p>
      <w:pPr>
        <w:spacing w:after="140" w:line="300"/>
        <w:jc w:val="both"/>
      </w:pPr>
      <w:r>
        <w:rPr>
          <w:rFonts w:ascii="Times New Roman" w:cs="Times New Roman" w:eastAsia="Times New Roman" w:hAnsi="Times New Roman"/>
          <w:sz w:val="24"/>
          <w:szCs w:val="24"/>
        </w:rPr>
        <w:t xml:space="preserve">Se usó LifeSnaps, un dataset público con datos de Fitbit Sense de 71 personas, entre abril de 2021 y enero de 2022 (7,410 filas persona-día, entre 64 y 244 días por persona). De sus columnas se emplearon once variables: frecuencia cardíaca en reposo, pulso durante el sueño, variabilidad de la frecuencia cardíaca (HRV), saturación de oxígeno, frecuencia respiratoria, latencia de sueño, minutos dormido, minutos despierto, eficiencia del sueño, pasos y minutos sedentarios. Los datos tienen muchos vacíos: la saturación de oxígeno existe solo para 28 personas y la HRV para 43.</w:t>
      </w:r>
    </w:p>
    <w:p>
      <w:pPr>
        <w:spacing w:after="140" w:line="300"/>
        <w:jc w:val="both"/>
      </w:pPr>
      <w:r>
        <w:rPr>
          <w:rFonts w:ascii="Times New Roman" w:cs="Times New Roman" w:eastAsia="Times New Roman" w:hAnsi="Times New Roman"/>
          <w:sz w:val="24"/>
          <w:szCs w:val="24"/>
        </w:rPr>
        <w:t xml:space="preserve">LifeSnaps no incluye el PSQI. Como etiqueta sustituta se usó la columna sleep_points_percentage, que llamamos “puntaje de sueño de Fitbit”. Por la evidencia revisada, esta columna corresponde a un componente del Stress Score de Fitbit y no al Sleep Score de 1 a 100. Solo 37 de las 71 personas la tienen. En la primera prueba, a las otras 34 se les rellenó con la mediana y quedaron clasificadas como riesgo bajo, lo que le añade ruido a la etiqueta.</w:t>
      </w:r>
    </w:p>
    <w:p>
      <w:pPr>
        <w:pStyle w:val="Heading1"/>
        <w:keepNext/>
        <w:spacing w:after="120" w:before="280"/>
      </w:pPr>
      <w:r>
        <w:rPr>
          <w:rFonts w:ascii="Times New Roman" w:cs="Times New Roman" w:eastAsia="Times New Roman" w:hAnsi="Times New Roman"/>
          <w:b/>
          <w:bCs/>
          <w:sz w:val="26"/>
          <w:szCs w:val="26"/>
        </w:rPr>
        <w:t xml:space="preserve">3. Método</w:t>
      </w:r>
    </w:p>
    <w:p>
      <w:pPr>
        <w:spacing w:after="140" w:line="300"/>
        <w:jc w:val="both"/>
      </w:pPr>
      <w:r>
        <w:rPr>
          <w:rFonts w:ascii="Times New Roman" w:cs="Times New Roman" w:eastAsia="Times New Roman" w:hAnsi="Times New Roman"/>
          <w:sz w:val="24"/>
          <w:szCs w:val="24"/>
        </w:rPr>
        <w:t xml:space="preserve">Cada variable se resumió por persona con su media y su desviación estándar a lo largo de los días, lo que da 22 números por estudiante. Se trabajó a nivel de persona porque el riesgo es un rasgo bastante estable, mientras que la calidad de una noche puntual es casi impredecible. Se excluyeron todas las variantes de la columna usada para la etiqueta, para evitar que el modelo la vea por otra vía.</w:t>
      </w:r>
    </w:p>
    <w:p>
      <w:pPr>
        <w:spacing w:after="140" w:line="300"/>
        <w:jc w:val="both"/>
      </w:pPr>
      <w:r>
        <w:rPr>
          <w:rFonts w:ascii="Times New Roman" w:cs="Times New Roman" w:eastAsia="Times New Roman" w:hAnsi="Times New Roman"/>
          <w:sz w:val="24"/>
          <w:szCs w:val="24"/>
        </w:rPr>
        <w:t xml:space="preserve">En la primera prueba se definió riesgo alto como el 25 % con peor puntaje. Se compararon cuatro modelos: Random Forest, regresión logística, XGBoost y SVM. Se descartó Deep Learning porque la literatura de la tesis solo lo usa sobre señales crudas y no sobre datos agregados con tan pocas personas. Como la muestra es pequeña, la evaluación se hizo con validación cruzada de 5 particiones repetida 20 veces, y se reporta el promedio con su desviación. Se usaron F1, ROC-AUC y PR-AUC, comparados con un baseline, y no se reportó accuracy sola.</w:t>
      </w:r>
    </w:p>
    <w:p>
      <w:pPr>
        <w:pStyle w:val="Heading1"/>
        <w:keepNext/>
        <w:spacing w:after="120" w:before="280"/>
      </w:pPr>
      <w:r>
        <w:rPr>
          <w:rFonts w:ascii="Times New Roman" w:cs="Times New Roman" w:eastAsia="Times New Roman" w:hAnsi="Times New Roman"/>
          <w:b/>
          <w:bCs/>
          <w:sz w:val="26"/>
          <w:szCs w:val="26"/>
        </w:rPr>
        <w:t xml:space="preserve">4. Resultados</w:t>
      </w:r>
    </w:p>
    <w:p>
      <w:pPr>
        <w:pStyle w:val="Heading2"/>
        <w:keepNext/>
        <w:spacing w:after="100" w:before="200"/>
      </w:pPr>
      <w:r>
        <w:rPr>
          <w:rFonts w:ascii="Times New Roman" w:cs="Times New Roman" w:eastAsia="Times New Roman" w:hAnsi="Times New Roman"/>
          <w:b/>
          <w:bCs/>
          <w:i/>
          <w:iCs/>
          <w:sz w:val="24"/>
          <w:szCs w:val="24"/>
        </w:rPr>
        <w:t xml:space="preserve">4.1 Comparación de modelos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00"/>
      </w:tblGrid>
      <w:tr>
        <w:trPr>
          <w:cantSplit/>
          <w:tblHeader/>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1"/>
                <w:szCs w:val="21"/>
              </w:rPr>
              <w:t xml:space="preserve">Modelo</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1"/>
                <w:szCs w:val="21"/>
              </w:rPr>
              <w:t xml:space="preserve">F1</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1"/>
                <w:szCs w:val="21"/>
              </w:rPr>
              <w:t xml:space="preserve">ROC-AUC</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1"/>
                <w:szCs w:val="21"/>
              </w:rPr>
              <w:t xml:space="preserve">PR-AUC</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Random Forest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0.478 ± 0.077</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0.728 ± 0.033</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0.481 ± 0.046</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Regresión logística</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0.462</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0.669</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0.428</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XGBoost</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0.414</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0.755</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0.493</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SVM</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0.088</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0.668</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0.397</w:t>
            </w:r>
          </w:p>
        </w:tc>
      </w:tr>
    </w:tbl>
    <w:p>
      <w:pPr>
        <w:spacing w:after="200" w:before="60"/>
      </w:pPr>
      <w:r>
        <w:rPr>
          <w:rFonts w:ascii="Times New Roman" w:cs="Times New Roman" w:eastAsia="Times New Roman" w:hAnsi="Times New Roman"/>
          <w:i/>
          <w:iCs/>
          <w:sz w:val="20"/>
          <w:szCs w:val="20"/>
        </w:rPr>
        <w:t xml:space="preserve">Tabla 1. Validación cruzada repetida, 71 personas. Con 25 % de riesgo alto, el azar da ROC-AUC de 0.5 y PR-AUC de 0.25.</w:t>
      </w:r>
    </w:p>
    <w:p>
      <w:pPr>
        <w:spacing w:after="140" w:line="300"/>
        <w:jc w:val="both"/>
      </w:pPr>
      <w:r>
        <w:rPr>
          <w:rFonts w:ascii="Times New Roman" w:cs="Times New Roman" w:eastAsia="Times New Roman" w:hAnsi="Times New Roman"/>
          <w:sz w:val="24"/>
          <w:szCs w:val="24"/>
        </w:rPr>
        <w:t xml:space="preserve">Ningún modelo domina en todas las métricas. Random Forest tiene el mejor F1, XGBoost el mejor ROC-AUC, y el F1 del SVM es muy bajo. Se eligió Random Forest porque no pierde desempeño de forma relevante y permite explicar las predicciones, que es lo que necesita el LLM. Como la etiqueta tiene ruido, el 0.73 de ROC-AUC debe leerse como una cota conservadora.</w:t>
      </w:r>
    </w:p>
    <w:p>
      <w:pPr>
        <w:pStyle w:val="Heading2"/>
        <w:keepNext/>
        <w:spacing w:after="100" w:before="200"/>
      </w:pPr>
      <w:r>
        <w:rPr>
          <w:rFonts w:ascii="Times New Roman" w:cs="Times New Roman" w:eastAsia="Times New Roman" w:hAnsi="Times New Roman"/>
          <w:b/>
          <w:bCs/>
          <w:i/>
          <w:iCs/>
          <w:sz w:val="24"/>
          <w:szCs w:val="24"/>
        </w:rPr>
        <w:t xml:space="preserve">4.2 Puntaje continuo en lugar de percentil</w:t>
      </w:r>
    </w:p>
    <w:p>
      <w:pPr>
        <w:spacing w:after="140" w:line="300"/>
        <w:jc w:val="both"/>
      </w:pPr>
      <w:r>
        <w:rPr>
          <w:rFonts w:ascii="Times New Roman" w:cs="Times New Roman" w:eastAsia="Times New Roman" w:hAnsi="Times New Roman"/>
          <w:sz w:val="24"/>
          <w:szCs w:val="24"/>
        </w:rPr>
        <w:t xml:space="preserve">Definir riesgo alto como el 25 % peor del grupo siempre marca a una cuarta parte de la población, sin importar cómo duerma. Si la mayoría duerme mal, el criterio deja pasar a casi todos los casos. Por eso se probó predecir un índice continuo (uno menos el puntaje de Fitbit, de modo que más alto sea peor, como el PSQI) y decidir el riesgo después con un corte fijo. Con las 37 personas que tienen el puntaje real, Random Forest obtuvo una correlación de Spearman de 0.70 y un error medio de 0.108, frente a 0.165 de un modelo que siempre predice el promedio. Usando cortes que dejan entre 22 % y 78 % de personas en riesgo alto, el ROC-AUC estuvo entre 0.79 y 0.93.</w:t>
      </w:r>
    </w:p>
    <w:p>
      <w:pPr>
        <w:pStyle w:val="Heading2"/>
        <w:keepNext/>
        <w:spacing w:after="100" w:before="200"/>
      </w:pPr>
      <w:r>
        <w:rPr>
          <w:rFonts w:ascii="Times New Roman" w:cs="Times New Roman" w:eastAsia="Times New Roman" w:hAnsi="Times New Roman"/>
          <w:b/>
          <w:bCs/>
          <w:i/>
          <w:iCs/>
          <w:sz w:val="24"/>
          <w:szCs w:val="24"/>
        </w:rPr>
        <w:t xml:space="preserve">4.3 Laboratorio con datos sintéticos</w:t>
      </w:r>
    </w:p>
    <w:p>
      <w:pPr>
        <w:spacing w:after="140" w:line="300"/>
        <w:jc w:val="both"/>
      </w:pPr>
      <w:r>
        <w:rPr>
          <w:rFonts w:ascii="Times New Roman" w:cs="Times New Roman" w:eastAsia="Times New Roman" w:hAnsi="Times New Roman"/>
          <w:sz w:val="24"/>
          <w:szCs w:val="24"/>
        </w:rPr>
        <w:t xml:space="preserve">Para entender qué esperar con una validación final de unas 50 personas se armó un laboratorio con poblaciones simuladas, donde el puntaje verdadero de cada persona es conocido. Estos resultados dependen de los supuestos del simulador y no miden desempeño real. Se observó lo siguiente. El criterio por percentil marca cerca de 30 % de riesgo alto en cualquier población; en una donde el 77 % duerme mal, detectó solo el 37 % de los casos, mientras que un corte fijo detectó el 85 %. Predecir el puntaje y luego aplicar un corte tiende a acercar todo al promedio cuando el reloj refleja poco del puntaje verdadero. El F1 se confunde con el de un modelo que siempre responde “alto” cuando la prevalencia es alta, así que hay que apoyarse en el ROC-AUC. Y con 50 personas el ROC-AUC varía en torno a ±0.1 solo por qué personas se incluyan; el promedio esperado fue 0.75 si el reloj refleja bien el puntaje y 0.63 si lo refleja poco.</w:t>
      </w:r>
    </w:p>
    <w:p>
      <w:pPr>
        <w:pStyle w:val="Heading2"/>
        <w:keepNext/>
        <w:spacing w:after="100" w:before="200"/>
      </w:pPr>
      <w:r>
        <w:rPr>
          <w:rFonts w:ascii="Times New Roman" w:cs="Times New Roman" w:eastAsia="Times New Roman" w:hAnsi="Times New Roman"/>
          <w:b/>
          <w:bCs/>
          <w:i/>
          <w:iCs/>
          <w:sz w:val="24"/>
          <w:szCs w:val="24"/>
        </w:rPr>
        <w:t xml:space="preserve">4.4 Explicaciones con SHAP y niveles de riesgo</w:t>
      </w:r>
    </w:p>
    <w:p>
      <w:pPr>
        <w:spacing w:after="140" w:line="300"/>
        <w:jc w:val="both"/>
      </w:pPr>
      <w:r>
        <w:rPr>
          <w:rFonts w:ascii="Times New Roman" w:cs="Times New Roman" w:eastAsia="Times New Roman" w:hAnsi="Times New Roman"/>
          <w:sz w:val="24"/>
          <w:szCs w:val="24"/>
        </w:rPr>
        <w:t xml:space="preserve">Se integró SHAP (TreeSHAP) al Random Forest. SHAP descompone la estimación de cada persona en el aporte de cada variable respecto al promedio del grupo, de modo que se puede decir qué la empuja hacia arriba o hacia abajo. Como varias variables están correlacionadas y esto distorsiona a SHAP, las 22 variables se agruparon en cinco grupos: duración y eficiencia del sueño, regularidad entre noches, frecuencia cardíaca y HRV, respiración y oxígeno, y actividad y sedentarismo. Cada persona se evaluó con un modelo entrenado con las otras 36, de manera que tanto la estimación como la explicación provienen de un modelo que no la vio.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cantSplit/>
          <w:tblHeader/>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1"/>
                <w:szCs w:val="21"/>
              </w:rPr>
              <w:t xml:space="preserve">Prueba</w:t>
            </w:r>
          </w:p>
        </w:tc>
        <w:tc>
          <w:tcPr>
            <w:tcW w:type="dxa" w:w="5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1"/>
                <w:szCs w:val="21"/>
              </w:rPr>
              <w:t xml:space="preserve">Resultado</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La suma de aportes reproduce la estimación</w:t>
            </w:r>
          </w:p>
        </w:tc>
        <w:tc>
          <w:tcPr>
            <w:tcW w:type="dxa" w:w="5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Sí, diferencia del orden de 1e-15</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Neutralizar el grupo que SHAP señala</w:t>
            </w:r>
          </w:p>
        </w:tc>
        <w:tc>
          <w:tcPr>
            <w:tcW w:type="dxa" w:w="5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El índice baja 0.096 en promedio; con un grupo cualquiera baja 0.001. En 94 % de las personas baja más</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Estabilidad en 20 repeticiones con 80 % de las personas</w:t>
            </w:r>
          </w:p>
        </w:tc>
        <w:tc>
          <w:tcPr>
            <w:tcW w:type="dxa" w:w="5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El grupo principal es el mismo las 20 veces (actividad y sedentarismo); el orden de los demás cambia (acuerdo 0.69)</w:t>
            </w:r>
          </w:p>
        </w:tc>
      </w:tr>
      <w:tr>
        <w:trPr>
          <w:cantSplit/>
          <w:tblHeader w:val="false"/>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Comparación con la importancia clásica (Gini)</w:t>
            </w:r>
          </w:p>
        </w:tc>
        <w:tc>
          <w:tcPr>
            <w:tcW w:type="dxa" w:w="5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Coinciden en las variables principales (Spearman 0.96)</w:t>
            </w:r>
          </w:p>
        </w:tc>
      </w:tr>
    </w:tbl>
    <w:p>
      <w:pPr>
        <w:spacing w:after="200" w:before="60"/>
      </w:pPr>
      <w:r>
        <w:rPr>
          <w:rFonts w:ascii="Times New Roman" w:cs="Times New Roman" w:eastAsia="Times New Roman" w:hAnsi="Times New Roman"/>
          <w:i/>
          <w:iCs/>
          <w:sz w:val="20"/>
          <w:szCs w:val="20"/>
        </w:rPr>
        <w:t xml:space="preserve">Tabla 2. Pruebas sobre las explicaciones SHAP, 37 personas.</w:t>
      </w:r>
    </w:p>
    <w:p>
      <w:pPr>
        <w:spacing w:after="140" w:line="300"/>
        <w:jc w:val="both"/>
      </w:pPr>
      <w:r>
        <w:rPr>
          <w:rFonts w:ascii="Times New Roman" w:cs="Times New Roman" w:eastAsia="Times New Roman" w:hAnsi="Times New Roman"/>
          <w:sz w:val="24"/>
          <w:szCs w:val="24"/>
        </w:rPr>
        <w:t xml:space="preserve">El índice estimado se convierte en un nivel mediante una regla fija en código, no por el LLM, para que una misma persona no reciba niveles distintos según el momento. El LLM recibe el nivel ya definido, el rango de incertidumbre, los factores que suben el riesgo, el que más lo baja y el valor de la persona frente al típico del grupo, junto con una nota que aclara que son factores asociados y no causas.</w:t>
      </w:r>
    </w:p>
    <w:p>
      <w:pPr>
        <w:pStyle w:val="Heading1"/>
        <w:keepNext/>
        <w:spacing w:after="120" w:before="280"/>
      </w:pPr>
      <w:r>
        <w:rPr>
          <w:rFonts w:ascii="Times New Roman" w:cs="Times New Roman" w:eastAsia="Times New Roman" w:hAnsi="Times New Roman"/>
          <w:b/>
          <w:bCs/>
          <w:sz w:val="26"/>
          <w:szCs w:val="26"/>
        </w:rPr>
        <w:t xml:space="preserve">5. Niveles de riesgo</w:t>
      </w:r>
    </w:p>
    <w:p>
      <w:pPr>
        <w:spacing w:after="140" w:line="300"/>
        <w:jc w:val="both"/>
      </w:pPr>
      <w:r>
        <w:rPr>
          <w:rFonts w:ascii="Times New Roman" w:cs="Times New Roman" w:eastAsia="Times New Roman" w:hAnsi="Times New Roman"/>
          <w:sz w:val="24"/>
          <w:szCs w:val="24"/>
        </w:rPr>
        <w:t xml:space="preserve">Se buscó si el PSQI (0 a 21, más alto es peor) tiene niveles oficiales. El estudio original de Buysse (1989) solo distingue dos grupos: buen dormidor, con puntaje menor o igual a 5, y mal dormidor, con puntaje mayor a 5 (sensibilidad de 89.6 % y especificidad de 86.5 %). No existe una división validada en leve, moderado y severo. El valor de 10 se usa en la práctica como umbral de derivación, pero es una convención.</w:t>
      </w:r>
    </w:p>
    <w:p>
      <w:pPr>
        <w:spacing w:after="140" w:line="300"/>
        <w:jc w:val="both"/>
      </w:pPr>
      <w:r>
        <w:rPr>
          <w:rFonts w:ascii="Times New Roman" w:cs="Times New Roman" w:eastAsia="Times New Roman" w:hAnsi="Times New Roman"/>
          <w:sz w:val="24"/>
          <w:szCs w:val="24"/>
        </w:rPr>
        <w:t xml:space="preserve">Se propone entonces leve hasta 5, moderado de 6 a 10 y alto por encima de 10. El primer corte tiene respaldo y el segundo es una convención, y así debe indicarse en la tesis. Se descartó dividir la escala en tres tercios iguales porque no respeta el único corte validado. Como el proxy no es PSQI, en la prueba el índice se multiplicó por 21 para poder ensayar la regla; con el PSQI real los cortes se aplican directamente. Los cortes finales los define el equipo. Las fuentes provienen de una búsqueda y falta verificarlas contra los documentos originales, y queda por unificar el criterio “mayor a 5” con el “mayor o igual a 5” que se venía usando en el proyecto.</w:t>
      </w:r>
    </w:p>
    <w:p>
      <w:pPr>
        <w:spacing w:after="140" w:line="300"/>
        <w:jc w:val="both"/>
      </w:pPr>
      <w:r>
        <w:rPr>
          <w:rFonts w:ascii="Times New Roman" w:cs="Times New Roman" w:eastAsia="Times New Roman" w:hAnsi="Times New Roman"/>
          <w:sz w:val="24"/>
          <w:szCs w:val="24"/>
        </w:rPr>
        <w:t xml:space="preserve">Con los cortes propuestos, el modelo dejó a 1 persona en leve, 24 en moderado y 12 en alto. Según el proxy había 8, 18 y 11. El nivel coincidió en 62 % de los casos (49 % si siempre se respondiera el más frecuente) y nunca se diferenció en más de un nivel.</w:t>
      </w:r>
    </w:p>
    <w:p>
      <w:pPr>
        <w:pStyle w:val="Heading1"/>
        <w:keepNext/>
        <w:spacing w:after="120" w:before="280"/>
      </w:pPr>
      <w:r>
        <w:rPr>
          <w:rFonts w:ascii="Times New Roman" w:cs="Times New Roman" w:eastAsia="Times New Roman" w:hAnsi="Times New Roman"/>
          <w:b/>
          <w:bCs/>
          <w:sz w:val="26"/>
          <w:szCs w:val="26"/>
        </w:rPr>
        <w:t xml:space="preserve">6. Limitaciones</w:t>
      </w:r>
    </w:p>
    <w:p>
      <w:pPr>
        <w:spacing w:after="140" w:line="300"/>
        <w:jc w:val="both"/>
      </w:pPr>
      <w:r>
        <w:rPr>
          <w:rFonts w:ascii="Times New Roman" w:cs="Times New Roman" w:eastAsia="Times New Roman" w:hAnsi="Times New Roman"/>
          <w:sz w:val="24"/>
          <w:szCs w:val="24"/>
        </w:rPr>
        <w:t xml:space="preserve">La etiqueta es un sustituto débil: proviene de un derivado del Stress Score, cubre solo a 37 personas y no es un instrumento de calidad de sueño. Con 37 a 71 personas los resultados son ruidosos. El modelo tiende a concentrar a casi todos en el nivel moderado, tal como anticipó el laboratorio sintético. Solo el factor principal de las explicaciones es estable; los demás deben presentarse como secundarios. El factor dominante, los minutos sedentarios, probablemente no está disponible en Health Connect, y no se descarta que su peso venga en parte de cómo se construye la etiqueta. Además, SHAP explica el comportamiento del modelo y no la causa real del mal sueño. Por último, la latencia de sueño no es utilizable en este dataset, porque el 99.4 % de sus valores son cero (Fitbit la deja en cero por defecto), y la HRV falta en más de un tercio de las personas.</w:t>
      </w:r>
    </w:p>
    <w:p>
      <w:pPr>
        <w:pStyle w:val="Heading1"/>
        <w:keepNext/>
        <w:spacing w:after="120" w:before="280"/>
      </w:pPr>
      <w:r>
        <w:rPr>
          <w:rFonts w:ascii="Times New Roman" w:cs="Times New Roman" w:eastAsia="Times New Roman" w:hAnsi="Times New Roman"/>
          <w:b/>
          <w:bCs/>
          <w:sz w:val="26"/>
          <w:szCs w:val="26"/>
        </w:rPr>
        <w:t xml:space="preserve">7. Conclusiones y siguientes pasos</w:t>
      </w:r>
    </w:p>
    <w:p>
      <w:pPr>
        <w:spacing w:after="140" w:line="300"/>
        <w:jc w:val="both"/>
      </w:pPr>
      <w:r>
        <w:rPr>
          <w:rFonts w:ascii="Times New Roman" w:cs="Times New Roman" w:eastAsia="Times New Roman" w:hAnsi="Times New Roman"/>
          <w:sz w:val="24"/>
          <w:szCs w:val="24"/>
        </w:rPr>
        <w:t xml:space="preserve">El flujo de datos de smartwatch, modelo, explicación SHAP, regla de nivel y payload para el LLM funciona de punta a punta y sus explicaciones son coherentes con el modelo y estables en el factor principal. El modelo discrimina mejor que el azar con la etiqueta disponible, aunque este resultado no puede citarse como desempeño final.</w:t>
      </w:r>
    </w:p>
    <w:p>
      <w:pPr>
        <w:spacing w:after="140" w:line="300"/>
        <w:jc w:val="both"/>
      </w:pPr>
      <w:r>
        <w:rPr>
          <w:rFonts w:ascii="Times New Roman" w:cs="Times New Roman" w:eastAsia="Times New Roman" w:hAnsi="Times New Roman"/>
          <w:sz w:val="24"/>
          <w:szCs w:val="24"/>
        </w:rPr>
        <w:t xml:space="preserve">Lo siguiente es probar el LLM con la salida de ML1, comparando las recomendaciones con y sin los factores SHAP; recolectar el PSQI de al menos 50 estudiantes junto con sus datos de reloj del mismo periodo, para reemplazar la etiqueta sustituta y repetir todo el análisis; y, más adelante, evaluar qué variables entregan otros relojes Android además de Fitbit. Con el PSQI cambian solo la etiqueta y la aplicación directa de los cortes; el resto del flujo se mantiene.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2026-09-19T11:49:23.306Z</dcterms:created>
  <dcterms:modified xsi:type="dcterms:W3CDTF">2026-09-19T11:49:23.307Z</dcterms:modified>
</cp:coreProperties>
</file>

<file path=docProps/custom.xml><?xml version="1.0" encoding="utf-8"?>
<Properties xmlns="http://schemas.openxmlformats.org/officeDocument/2006/custom-properties" xmlns:vt="http://schemas.openxmlformats.org/officeDocument/2006/docPropsVTypes"/>
</file>