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</w:t>
      </w:r>
    </w:p>
    <w:p>
      <w:r>
        <w:t>Deploy the service from the approved package.</w:t>
      </w:r>
    </w:p>
    <w:p>
      <w:pPr>
        <w:pStyle w:val="ListBullet"/>
      </w:pPr>
      <w:r>
        <w:t>Verify readiness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8000</w:t>
            </w:r>
          </w:p>
        </w:tc>
      </w:tr>
    </w:tbl>
    <w:p>
      <w:r>
        <w:t>Console screenshot</w:t>
      </w:r>
      <w:r>
        <w:drawing>
          <wp:inline xmlns:a="http://schemas.openxmlformats.org/drawingml/2006/main" xmlns:pic="http://schemas.openxmlformats.org/drawingml/2006/picture">
            <wp:extent cx="2286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x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Rollback</w:t>
      </w:r>
    </w:p>
    <w:p>
      <w:r>
        <w:t>ניתן לצרף קבצים בגודל של עד 10MB במייל אישי.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