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left"/>
      </w:pPr>
      <w:r>
        <w:rPr>
          <w:rFonts w:ascii="Calibri" w:cs="Calibri" w:eastAsia="Calibri" w:hAnsi="Calibri"/>
          <w:caps/>
          <w:color w:val="888780"/>
          <w:sz w:val="18"/>
          <w:szCs w:val="18"/>
        </w:rPr>
        <w:t xml:space="preserve">LOGISTICS &amp; IMPORT-EXPORT MANAGEMENT PLATFORM</w:t>
      </w:r>
    </w:p>
    <w:p>
      <w:pPr>
        <w:spacing w:after="200" w:before="0"/>
        <w:jc w:val="left"/>
      </w:pPr>
      <w:r>
        <w:rPr>
          <w:rFonts w:ascii="Calibri" w:cs="Calibri" w:eastAsia="Calibri" w:hAnsi="Calibri"/>
          <w:b/>
          <w:bCs/>
          <w:color w:val="1A1A1A"/>
          <w:sz w:val="56"/>
          <w:szCs w:val="56"/>
        </w:rPr>
        <w:t xml:space="preserve">Project Roadmap</w:t>
      </w:r>
    </w:p>
    <w:p>
      <w:pPr>
        <w:spacing w:after="80" w:before="0"/>
        <w:jc w:val="left"/>
      </w:pPr>
      <w:r>
        <w:rPr>
          <w:rFonts w:ascii="Calibri" w:cs="Calibri" w:eastAsia="Calibri" w:hAnsi="Calibri"/>
          <w:color w:val="555555"/>
          <w:sz w:val="24"/>
          <w:szCs w:val="24"/>
        </w:rPr>
        <w:t xml:space="preserve">Phases · Milestones · Gate Checkpoints</w:t>
      </w:r>
    </w:p>
    <w:p>
      <w:pPr>
        <w:pBdr>
          <w:bottom w:val="single" w:color="DDDDDD" w:sz="4"/>
        </w:pBdr>
        <w:spacing w:after="80" w:before="0"/>
      </w:pPr>
    </w:p>
    <w:p>
      <w:pPr>
        <w:spacing w:after="40" w:before="80"/>
        <w:jc w:val="left"/>
      </w:pPr>
      <w:r>
        <w:rPr>
          <w:rFonts w:ascii="Calibri" w:cs="Calibri" w:eastAsia="Calibri" w:hAnsi="Calibri"/>
          <w:color w:val="555555"/>
          <w:sz w:val="20"/>
          <w:szCs w:val="20"/>
        </w:rPr>
        <w:t xml:space="preserve">7 Phases  ·  24 Milestones  ·  7 Gate Checkpoints  ·  ~5 Months</w:t>
      </w:r>
    </w:p>
    <w:p>
      <w:pPr>
        <w:spacing w:after="0" w:before="40"/>
        <w:jc w:val="left"/>
      </w:pPr>
      <w:r>
        <w:rPr>
          <w:rFonts w:ascii="Calibri" w:cs="Calibri" w:eastAsia="Calibri" w:hAnsi="Calibri"/>
          <w:color w:val="888780"/>
          <w:sz w:val="18"/>
          <w:szCs w:val="18"/>
        </w:rPr>
        <w:t xml:space="preserve">Document date: 18 August 2026</w:t>
      </w:r>
    </w:p>
    <w:p>
      <w:r>
        <w:br w:type="page"/>
      </w:r>
    </w:p>
    <w:p>
      <w:pPr>
        <w:pStyle w:val="Heading1"/>
        <w:spacing w:after="120" w:before="0"/>
      </w:pPr>
      <w:r>
        <w:rPr>
          <w:rFonts w:ascii="Calibri" w:cs="Calibri" w:eastAsia="Calibri" w:hAnsi="Calibri"/>
          <w:b/>
          <w:bCs/>
          <w:color w:val="1A1A1A"/>
          <w:sz w:val="36"/>
          <w:szCs w:val="36"/>
        </w:rPr>
        <w:t xml:space="preserve">Project roadmap overview</w:t>
      </w:r>
    </w:p>
    <w:p>
      <w:pPr>
        <w:spacing w:after="120" w:before="0"/>
      </w:pPr>
      <w:r>
        <w:rPr>
          <w:rFonts w:ascii="Calibri" w:cs="Calibri" w:eastAsia="Calibri" w:hAnsi="Calibri"/>
          <w:color w:val="555555"/>
          <w:sz w:val="20"/>
          <w:szCs w:val="20"/>
        </w:rPr>
        <w:t xml:space="preserve">This document structures the Cargo Track platform build into seven sequential phases, each ending at a concrete gate checkpoint. Gates are binary: either the condition is met or work continues in that phase. No gate may be bypassed.</w:t>
      </w:r>
    </w:p>
    <w:p>
      <w:pPr>
        <w:spacing w:after="200" w:before="0"/>
      </w:pPr>
      <w:r>
        <w:rPr>
          <w:rFonts w:ascii="Calibri" w:cs="Calibri" w:eastAsia="Calibri" w:hAnsi="Calibri"/>
          <w:color w:val="555555"/>
          <w:sz w:val="20"/>
          <w:szCs w:val="20"/>
        </w:rPr>
        <w:t xml:space="preserve">The roadmap covers everything from design artifact completion (Phase 0, current position) through core backend implementation, shipping and warehousing logic, the document/payment pipeline, frontend delivery, and finally production deployment with portfolio polish.</w:t>
      </w:r>
    </w:p>
    <w:tbl>
      <w:tblPr>
        <w:tblW w:type="dxa" w:w="9360"/>
        <w:tblBorders>
          <w:top w:val="none"/>
          <w:left w:val="none"/>
          <w:bottom w:val="none"/>
          <w:right w:val="none"/>
          <w:insideH w:val="single" w:color="auto" w:sz="4"/>
          <w:insideV w:val="single" w:color="auto" w:sz="4"/>
        </w:tblBorders>
      </w:tblPr>
      <w:tblGrid>
        <w:gridCol w:w="2340"/>
        <w:gridCol w:w="2340"/>
        <w:gridCol w:w="2340"/>
        <w:gridCol w:w="2340"/>
      </w:tblGrid>
      <w:tr>
        <w:tc>
          <w:tcPr>
            <w:tcW w:type="dxa" w:w="2340"/>
            <w:shd w:fill="F5F4F0" w:val="clear"/>
            <w:tcMar>
              <w:top w:type="dxa" w:w="160"/>
              <w:left w:type="dxa" w:w="160"/>
              <w:bottom w:type="dxa" w:w="160"/>
              <w:right w:type="dxa" w:w="160"/>
            </w:tcMar>
          </w:tcPr>
          <w:p>
            <w:pPr>
              <w:spacing w:after="40" w:before="0"/>
              <w:jc w:val="center"/>
            </w:pPr>
            <w:r>
              <w:rPr>
                <w:rFonts w:ascii="Calibri" w:cs="Calibri" w:eastAsia="Calibri" w:hAnsi="Calibri"/>
                <w:b/>
                <w:bCs/>
                <w:color w:val="1A1A1A"/>
                <w:sz w:val="40"/>
                <w:szCs w:val="40"/>
              </w:rPr>
              <w:t xml:space="preserve">7</w:t>
            </w:r>
          </w:p>
          <w:p>
            <w:pPr>
              <w:jc w:val="center"/>
            </w:pPr>
            <w:r>
              <w:rPr>
                <w:rFonts w:ascii="Calibri" w:cs="Calibri" w:eastAsia="Calibri" w:hAnsi="Calibri"/>
                <w:color w:val="555555"/>
                <w:sz w:val="18"/>
                <w:szCs w:val="18"/>
              </w:rPr>
              <w:t xml:space="preserve">Phases</w:t>
            </w:r>
          </w:p>
        </w:tc>
        <w:tc>
          <w:tcPr>
            <w:tcW w:type="dxa" w:w="2340"/>
            <w:shd w:fill="F5F4F0" w:val="clear"/>
            <w:tcMar>
              <w:top w:type="dxa" w:w="160"/>
              <w:left w:type="dxa" w:w="160"/>
              <w:bottom w:type="dxa" w:w="160"/>
              <w:right w:type="dxa" w:w="160"/>
            </w:tcMar>
          </w:tcPr>
          <w:p>
            <w:pPr>
              <w:spacing w:after="40" w:before="0"/>
              <w:jc w:val="center"/>
            </w:pPr>
            <w:r>
              <w:rPr>
                <w:rFonts w:ascii="Calibri" w:cs="Calibri" w:eastAsia="Calibri" w:hAnsi="Calibri"/>
                <w:b/>
                <w:bCs/>
                <w:color w:val="1A1A1A"/>
                <w:sz w:val="40"/>
                <w:szCs w:val="40"/>
              </w:rPr>
              <w:t xml:space="preserve">24</w:t>
            </w:r>
          </w:p>
          <w:p>
            <w:pPr>
              <w:jc w:val="center"/>
            </w:pPr>
            <w:r>
              <w:rPr>
                <w:rFonts w:ascii="Calibri" w:cs="Calibri" w:eastAsia="Calibri" w:hAnsi="Calibri"/>
                <w:color w:val="555555"/>
                <w:sz w:val="18"/>
                <w:szCs w:val="18"/>
              </w:rPr>
              <w:t xml:space="preserve">Milestones</w:t>
            </w:r>
          </w:p>
        </w:tc>
        <w:tc>
          <w:tcPr>
            <w:tcW w:type="dxa" w:w="2340"/>
            <w:shd w:fill="F5F4F0" w:val="clear"/>
            <w:tcMar>
              <w:top w:type="dxa" w:w="160"/>
              <w:left w:type="dxa" w:w="160"/>
              <w:bottom w:type="dxa" w:w="160"/>
              <w:right w:type="dxa" w:w="160"/>
            </w:tcMar>
          </w:tcPr>
          <w:p>
            <w:pPr>
              <w:spacing w:after="40" w:before="0"/>
              <w:jc w:val="center"/>
            </w:pPr>
            <w:r>
              <w:rPr>
                <w:rFonts w:ascii="Calibri" w:cs="Calibri" w:eastAsia="Calibri" w:hAnsi="Calibri"/>
                <w:b/>
                <w:bCs/>
                <w:color w:val="1A1A1A"/>
                <w:sz w:val="40"/>
                <w:szCs w:val="40"/>
              </w:rPr>
              <w:t xml:space="preserve">7</w:t>
            </w:r>
          </w:p>
          <w:p>
            <w:pPr>
              <w:jc w:val="center"/>
            </w:pPr>
            <w:r>
              <w:rPr>
                <w:rFonts w:ascii="Calibri" w:cs="Calibri" w:eastAsia="Calibri" w:hAnsi="Calibri"/>
                <w:color w:val="555555"/>
                <w:sz w:val="18"/>
                <w:szCs w:val="18"/>
              </w:rPr>
              <w:t xml:space="preserve">Gate checkpoints</w:t>
            </w:r>
          </w:p>
        </w:tc>
        <w:tc>
          <w:tcPr>
            <w:tcW w:type="dxa" w:w="2340"/>
            <w:shd w:fill="F5F4F0" w:val="clear"/>
            <w:tcMar>
              <w:top w:type="dxa" w:w="160"/>
              <w:left w:type="dxa" w:w="160"/>
              <w:bottom w:type="dxa" w:w="160"/>
              <w:right w:type="dxa" w:w="160"/>
            </w:tcMar>
          </w:tcPr>
          <w:p>
            <w:pPr>
              <w:spacing w:after="40" w:before="0"/>
              <w:jc w:val="center"/>
            </w:pPr>
            <w:r>
              <w:rPr>
                <w:rFonts w:ascii="Calibri" w:cs="Calibri" w:eastAsia="Calibri" w:hAnsi="Calibri"/>
                <w:b/>
                <w:bCs/>
                <w:color w:val="1A1A1A"/>
                <w:sz w:val="40"/>
                <w:szCs w:val="40"/>
              </w:rPr>
              <w:t xml:space="preserve">~5 mo</w:t>
            </w:r>
          </w:p>
          <w:p>
            <w:pPr>
              <w:jc w:val="center"/>
            </w:pPr>
            <w:r>
              <w:rPr>
                <w:rFonts w:ascii="Calibri" w:cs="Calibri" w:eastAsia="Calibri" w:hAnsi="Calibri"/>
                <w:color w:val="555555"/>
                <w:sz w:val="18"/>
                <w:szCs w:val="18"/>
              </w:rPr>
              <w:t xml:space="preserve">Estimated duration</w:t>
            </w:r>
          </w:p>
        </w:tc>
      </w:tr>
    </w:tbl>
    <w:p>
      <w:pPr>
        <w:spacing w:after="0" w:before="200"/>
      </w:pPr>
    </w:p>
    <w:p>
      <w:pPr>
        <w:pStyle w:val="Heading2"/>
        <w:spacing w:after="120" w:before="120"/>
      </w:pPr>
      <w:r>
        <w:rPr>
          <w:rFonts w:ascii="Calibri" w:cs="Calibri" w:eastAsia="Calibri" w:hAnsi="Calibri"/>
          <w:b/>
          <w:bCs/>
          <w:color w:val="1A1A1A"/>
          <w:sz w:val="26"/>
          <w:szCs w:val="26"/>
        </w:rPr>
        <w:t xml:space="preserve">Deliverable tag legend</w:t>
      </w:r>
    </w:p>
    <w:tbl>
      <w:tblPr>
        <w:tblW w:type="dxa" w:w="7560"/>
        <w:tblBorders>
          <w:top w:val="none"/>
          <w:left w:val="none"/>
          <w:bottom w:val="none"/>
          <w:right w:val="none"/>
          <w:insideH w:val="single" w:color="auto" w:sz="4"/>
          <w:insideV w:val="single" w:color="auto" w:sz="4"/>
        </w:tblBorders>
      </w:tblPr>
      <w:tblGrid>
        <w:gridCol w:w="1440"/>
        <w:gridCol w:w="6120"/>
      </w:tblGrid>
      <w:tr>
        <w:tc>
          <w:tcPr>
            <w:tcW w:type="dxa" w:w="1440"/>
            <w:shd w:fill="E6F1FB" w:val="clear"/>
            <w:tcMar>
              <w:top w:type="dxa" w:w="60"/>
              <w:left w:type="dxa" w:w="120"/>
              <w:bottom w:type="dxa" w:w="60"/>
              <w:right w:type="dxa" w:w="120"/>
            </w:tcMar>
          </w:tcPr>
          <w:p>
            <w:pPr>
              <w:jc w:val="center"/>
            </w:pPr>
            <w:r>
              <w:rPr>
                <w:rFonts w:ascii="Calibri" w:cs="Calibri" w:eastAsia="Calibri" w:hAnsi="Calibri"/>
                <w:b/>
                <w:bCs/>
                <w:color w:val="0C447C"/>
                <w:sz w:val="18"/>
                <w:szCs w:val="18"/>
              </w:rPr>
              <w:t xml:space="preserve">Doc</w:t>
            </w:r>
          </w:p>
        </w:tc>
        <w:tc>
          <w:tcPr>
            <w:tcW w:type="dxa" w:w="6120"/>
            <w:shd w:fill="F5F4F0" w:val="clear"/>
            <w:tcMar>
              <w:top w:type="dxa" w:w="60"/>
              <w:left w:type="dxa" w:w="120"/>
              <w:bottom w:type="dxa" w:w="60"/>
              <w:right w:type="dxa" w:w="120"/>
            </w:tcMar>
          </w:tcPr>
          <w:p>
            <w:r>
              <w:rPr>
                <w:rFonts w:ascii="Calibri" w:cs="Calibri" w:eastAsia="Calibri" w:hAnsi="Calibri"/>
                <w:color w:val="555555"/>
                <w:sz w:val="18"/>
                <w:szCs w:val="18"/>
              </w:rPr>
              <w:t xml:space="preserve">Documentation artifact</w:t>
            </w:r>
          </w:p>
        </w:tc>
      </w:tr>
      <w:tr>
        <w:tc>
          <w:tcPr>
            <w:tcW w:type="dxa" w:w="1440"/>
            <w:shd w:fill="EAF3DE" w:val="clear"/>
            <w:tcMar>
              <w:top w:type="dxa" w:w="60"/>
              <w:left w:type="dxa" w:w="120"/>
              <w:bottom w:type="dxa" w:w="60"/>
              <w:right w:type="dxa" w:w="120"/>
            </w:tcMar>
          </w:tcPr>
          <w:p>
            <w:pPr>
              <w:jc w:val="center"/>
            </w:pPr>
            <w:r>
              <w:rPr>
                <w:rFonts w:ascii="Calibri" w:cs="Calibri" w:eastAsia="Calibri" w:hAnsi="Calibri"/>
                <w:b/>
                <w:bCs/>
                <w:color w:val="27500A"/>
                <w:sz w:val="18"/>
                <w:szCs w:val="18"/>
              </w:rPr>
              <w:t xml:space="preserve">Code</w:t>
            </w:r>
          </w:p>
        </w:tc>
        <w:tc>
          <w:tcPr>
            <w:tcW w:type="dxa" w:w="6120"/>
            <w:shd w:fill="F5F4F0" w:val="clear"/>
            <w:tcMar>
              <w:top w:type="dxa" w:w="60"/>
              <w:left w:type="dxa" w:w="120"/>
              <w:bottom w:type="dxa" w:w="60"/>
              <w:right w:type="dxa" w:w="120"/>
            </w:tcMar>
          </w:tcPr>
          <w:p>
            <w:r>
              <w:rPr>
                <w:rFonts w:ascii="Calibri" w:cs="Calibri" w:eastAsia="Calibri" w:hAnsi="Calibri"/>
                <w:color w:val="555555"/>
                <w:sz w:val="18"/>
                <w:szCs w:val="18"/>
              </w:rPr>
              <w:t xml:space="preserve">Implementation deliverable</w:t>
            </w:r>
          </w:p>
        </w:tc>
      </w:tr>
      <w:tr>
        <w:tc>
          <w:tcPr>
            <w:tcW w:type="dxa" w:w="1440"/>
            <w:shd w:fill="EEEDFE" w:val="clear"/>
            <w:tcMar>
              <w:top w:type="dxa" w:w="60"/>
              <w:left w:type="dxa" w:w="120"/>
              <w:bottom w:type="dxa" w:w="60"/>
              <w:right w:type="dxa" w:w="120"/>
            </w:tcMar>
          </w:tcPr>
          <w:p>
            <w:pPr>
              <w:jc w:val="center"/>
            </w:pPr>
            <w:r>
              <w:rPr>
                <w:rFonts w:ascii="Calibri" w:cs="Calibri" w:eastAsia="Calibri" w:hAnsi="Calibri"/>
                <w:b/>
                <w:bCs/>
                <w:color w:val="3C3489"/>
                <w:sz w:val="18"/>
                <w:szCs w:val="18"/>
              </w:rPr>
              <w:t xml:space="preserve">Design</w:t>
            </w:r>
          </w:p>
        </w:tc>
        <w:tc>
          <w:tcPr>
            <w:tcW w:type="dxa" w:w="6120"/>
            <w:shd w:fill="F5F4F0" w:val="clear"/>
            <w:tcMar>
              <w:top w:type="dxa" w:w="60"/>
              <w:left w:type="dxa" w:w="120"/>
              <w:bottom w:type="dxa" w:w="60"/>
              <w:right w:type="dxa" w:w="120"/>
            </w:tcMar>
          </w:tcPr>
          <w:p>
            <w:r>
              <w:rPr>
                <w:rFonts w:ascii="Calibri" w:cs="Calibri" w:eastAsia="Calibri" w:hAnsi="Calibri"/>
                <w:color w:val="555555"/>
                <w:sz w:val="18"/>
                <w:szCs w:val="18"/>
              </w:rPr>
              <w:t xml:space="preserve">Visual / design artifact</w:t>
            </w:r>
          </w:p>
        </w:tc>
      </w:tr>
      <w:tr>
        <w:tc>
          <w:tcPr>
            <w:tcW w:type="dxa" w:w="1440"/>
            <w:shd w:fill="FAECE7" w:val="clear"/>
            <w:tcMar>
              <w:top w:type="dxa" w:w="60"/>
              <w:left w:type="dxa" w:w="120"/>
              <w:bottom w:type="dxa" w:w="60"/>
              <w:right w:type="dxa" w:w="120"/>
            </w:tcMar>
          </w:tcPr>
          <w:p>
            <w:pPr>
              <w:jc w:val="center"/>
            </w:pPr>
            <w:r>
              <w:rPr>
                <w:rFonts w:ascii="Calibri" w:cs="Calibri" w:eastAsia="Calibri" w:hAnsi="Calibri"/>
                <w:b/>
                <w:bCs/>
                <w:color w:val="712B13"/>
                <w:sz w:val="18"/>
                <w:szCs w:val="18"/>
              </w:rPr>
              <w:t xml:space="preserve">Test</w:t>
            </w:r>
          </w:p>
        </w:tc>
        <w:tc>
          <w:tcPr>
            <w:tcW w:type="dxa" w:w="6120"/>
            <w:shd w:fill="F5F4F0" w:val="clear"/>
            <w:tcMar>
              <w:top w:type="dxa" w:w="60"/>
              <w:left w:type="dxa" w:w="120"/>
              <w:bottom w:type="dxa" w:w="60"/>
              <w:right w:type="dxa" w:w="120"/>
            </w:tcMar>
          </w:tcPr>
          <w:p>
            <w:r>
              <w:rPr>
                <w:rFonts w:ascii="Calibri" w:cs="Calibri" w:eastAsia="Calibri" w:hAnsi="Calibri"/>
                <w:color w:val="555555"/>
                <w:sz w:val="18"/>
                <w:szCs w:val="18"/>
              </w:rPr>
              <w:t xml:space="preserve">Testing / verification</w:t>
            </w:r>
          </w:p>
        </w:tc>
      </w:tr>
      <w:tr>
        <w:tc>
          <w:tcPr>
            <w:tcW w:type="dxa" w:w="1440"/>
            <w:shd w:fill="FFF8E6" w:val="clear"/>
            <w:tcMar>
              <w:top w:type="dxa" w:w="60"/>
              <w:left w:type="dxa" w:w="120"/>
              <w:bottom w:type="dxa" w:w="60"/>
              <w:right w:type="dxa" w:w="120"/>
            </w:tcMar>
          </w:tcPr>
          <w:p>
            <w:pPr>
              <w:jc w:val="center"/>
            </w:pPr>
            <w:r>
              <w:rPr>
                <w:rFonts w:ascii="Calibri" w:cs="Calibri" w:eastAsia="Calibri" w:hAnsi="Calibri"/>
                <w:b/>
                <w:bCs/>
                <w:color w:val="633806"/>
                <w:sz w:val="18"/>
                <w:szCs w:val="18"/>
              </w:rPr>
              <w:t xml:space="preserve">Gate ✓</w:t>
            </w:r>
          </w:p>
        </w:tc>
        <w:tc>
          <w:tcPr>
            <w:tcW w:type="dxa" w:w="6120"/>
            <w:shd w:fill="F5F4F0" w:val="clear"/>
            <w:tcMar>
              <w:top w:type="dxa" w:w="60"/>
              <w:left w:type="dxa" w:w="120"/>
              <w:bottom w:type="dxa" w:w="60"/>
              <w:right w:type="dxa" w:w="120"/>
            </w:tcMar>
          </w:tcPr>
          <w:p>
            <w:r>
              <w:rPr>
                <w:rFonts w:ascii="Calibri" w:cs="Calibri" w:eastAsia="Calibri" w:hAnsi="Calibri"/>
                <w:color w:val="555555"/>
                <w:sz w:val="18"/>
                <w:szCs w:val="18"/>
              </w:rPr>
              <w:t xml:space="preserve">Go / no-go checkpoint</w:t>
            </w:r>
          </w:p>
        </w:tc>
      </w:tr>
    </w:tbl>
    <w:p>
      <w:pPr>
        <w:spacing w:after="0" w:before="160"/>
      </w:pPr>
    </w:p>
    <w:p>
      <w:pPr>
        <w:pBdr>
          <w:bottom w:val="single" w:color="DDDDDD" w:sz="4"/>
        </w:pBdr>
        <w:spacing w:after="80" w:before="0"/>
      </w:pPr>
    </w:p>
    <w:p>
      <w:pPr>
        <w:spacing w:after="0" w:before="160"/>
      </w:pPr>
    </w:p>
    <w:tbl>
      <w:tblPr>
        <w:tblW w:type="dxa" w:w="9360"/>
        <w:tblBorders>
          <w:top w:val="none"/>
          <w:left w:val="none"/>
          <w:bottom w:val="none"/>
          <w:right w:val="none"/>
          <w:insideH w:val="single" w:color="auto" w:sz="4"/>
          <w:insideV w:val="single" w:color="auto" w:sz="4"/>
        </w:tblBorders>
      </w:tblPr>
      <w:tblGrid>
        <w:gridCol w:w="360"/>
        <w:gridCol w:w="6360"/>
        <w:gridCol w:w="2640"/>
      </w:tblGrid>
      <w:tr>
        <w:tc>
          <w:tcPr>
            <w:tcW w:type="dxa" w:w="360"/>
            <w:shd w:fill="7F77DD" w:val="clear"/>
            <w:tcMar>
              <w:top w:type="dxa" w:w="120"/>
              <w:left w:type="dxa" w:w="120"/>
              <w:bottom w:type="dxa" w:w="120"/>
              <w:right w:type="dxa" w:w="120"/>
            </w:tcMar>
          </w:tcPr>
          <w:p>
            <w:pPr>
              <w:jc w:val="center"/>
            </w:pPr>
            <w:r>
              <w:rPr>
                <w:rFonts w:ascii="Calibri" w:cs="Calibri" w:eastAsia="Calibri" w:hAnsi="Calibri"/>
                <w:b/>
                <w:bCs/>
                <w:color w:val="FFFFFF"/>
                <w:sz w:val="24"/>
                <w:szCs w:val="24"/>
              </w:rPr>
              <w:t xml:space="preserve">0</w:t>
            </w:r>
          </w:p>
        </w:tc>
        <w:tc>
          <w:tcPr>
            <w:tcW w:type="dxa" w:w="6360"/>
            <w:shd w:fill="EEEDFE" w:val="clear"/>
            <w:tcMar>
              <w:top w:type="dxa" w:w="120"/>
              <w:left w:type="dxa" w:w="160"/>
              <w:bottom w:type="dxa" w:w="120"/>
              <w:right w:type="dxa" w:w="120"/>
            </w:tcMar>
          </w:tcPr>
          <w:p>
            <w:r>
              <w:rPr>
                <w:rFonts w:ascii="Calibri" w:cs="Calibri" w:eastAsia="Calibri" w:hAnsi="Calibri"/>
                <w:b/>
                <w:bCs/>
                <w:color w:val="3C3489"/>
                <w:sz w:val="26"/>
                <w:szCs w:val="26"/>
              </w:rPr>
              <w:t xml:space="preserve">Foundation &amp; design artifacts</w:t>
            </w:r>
          </w:p>
        </w:tc>
        <w:tc>
          <w:tcPr>
            <w:tcW w:type="dxa" w:w="2640"/>
            <w:shd w:fill="EEEDFE" w:val="clear"/>
            <w:tcMar>
              <w:top w:type="dxa" w:w="120"/>
              <w:left w:type="dxa" w:w="120"/>
              <w:bottom w:type="dxa" w:w="120"/>
              <w:right w:type="dxa" w:w="160"/>
            </w:tcMar>
          </w:tcPr>
          <w:p>
            <w:pPr>
              <w:jc w:val="right"/>
            </w:pPr>
            <w:r>
              <w:rPr>
                <w:rFonts w:ascii="Calibri" w:cs="Calibri" w:eastAsia="Calibri" w:hAnsi="Calibri"/>
                <w:color w:val="7F77DD"/>
                <w:sz w:val="20"/>
                <w:szCs w:val="20"/>
              </w:rPr>
              <w:t xml:space="preserve">Weeks 1–2</w:t>
            </w:r>
          </w:p>
        </w:tc>
      </w:tr>
    </w:tbl>
    <w:p>
      <w:pPr>
        <w:spacing w:after="0" w:before="6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Requirements document finalized</w:t>
            </w:r>
          </w:p>
          <w:p>
            <w:pPr>
              <w:spacing w:after="60" w:before="0"/>
            </w:pPr>
            <w:r>
              <w:rPr>
                <w:rFonts w:ascii="Calibri" w:cs="Calibri" w:eastAsia="Calibri" w:hAnsi="Calibri"/>
                <w:color w:val="555555"/>
                <w:sz w:val="18"/>
                <w:szCs w:val="18"/>
              </w:rPr>
              <w:t xml:space="preserve">Interview notes consolidated, Part 9 outstanding questions resolved, and all assumptions confirmed with the domain expert. This is the single source of truth for domain rules throughout the build.</w:t>
            </w:r>
          </w:p>
          <w:p>
            <w:pPr>
              <w:spacing w:after="0" w:before="0"/>
            </w:pPr>
            <w:r>
              <w:rPr>
                <w:rFonts w:ascii="Calibri" w:cs="Calibri" w:eastAsia="Calibri" w:hAnsi="Calibri"/>
                <w:b/>
                <w:bCs/>
                <w:color w:val="0C447C"/>
                <w:sz w:val="17"/>
                <w:szCs w:val="17"/>
                <w:shd w:fill="E6F1FB" w:val="clear"/>
              </w:rPr>
              <w:t xml:space="preserve"> Doc </w:t>
            </w:r>
            <w:r>
              <w:rPr>
                <w:rFonts w:ascii="Calibri" w:cs="Calibri" w:eastAsia="Calibri" w:hAnsi="Calibri"/>
                <w:sz w:val="17"/>
                <w:szCs w:val="17"/>
              </w:rPr>
              <w:t xml:space="preserve">  </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ERD signed off</w:t>
            </w:r>
          </w:p>
          <w:p>
            <w:pPr>
              <w:spacing w:after="60" w:before="0"/>
            </w:pPr>
            <w:r>
              <w:rPr>
                <w:rFonts w:ascii="Calibri" w:cs="Calibri" w:eastAsia="Calibri" w:hAnsi="Calibri"/>
                <w:color w:val="555555"/>
                <w:sz w:val="18"/>
                <w:szCs w:val="18"/>
              </w:rPr>
              <w:t xml:space="preserve">All 19 entities and 16 relationships reviewed. Junction tables (CONTAINER_ALLOCATIONS), self-referencing structure (DOCUMENTS.supersedes_id), and all append-only tables confirmed. No schema change proceeds without updating the ERD.</w:t>
            </w:r>
          </w:p>
          <w:p>
            <w:pPr>
              <w:spacing w:after="0" w:before="0"/>
            </w:pPr>
            <w:r>
              <w:rPr>
                <w:rFonts w:ascii="Calibri" w:cs="Calibri" w:eastAsia="Calibri" w:hAnsi="Calibri"/>
                <w:b/>
                <w:bCs/>
                <w:color w:val="0C447C"/>
                <w:sz w:val="17"/>
                <w:szCs w:val="17"/>
                <w:shd w:fill="E6F1FB" w:val="clear"/>
              </w:rPr>
              <w:t xml:space="preserve"> Doc </w:t>
            </w:r>
            <w:r>
              <w:rPr>
                <w:rFonts w:ascii="Calibri" w:cs="Calibri" w:eastAsia="Calibri" w:hAnsi="Calibri"/>
                <w:sz w:val="17"/>
                <w:szCs w:val="17"/>
              </w:rPr>
              <w:t xml:space="preserve">  </w:t>
            </w:r>
            <w:r>
              <w:rPr>
                <w:rFonts w:ascii="Calibri" w:cs="Calibri" w:eastAsia="Calibri" w:hAnsi="Calibri"/>
                <w:b/>
                <w:bCs/>
                <w:color w:val="3C3489"/>
                <w:sz w:val="17"/>
                <w:szCs w:val="17"/>
                <w:shd w:fill="EEEDFE" w:val="clear"/>
              </w:rPr>
              <w:t xml:space="preserve"> Design </w:t>
            </w:r>
            <w:r>
              <w:rPr>
                <w:rFonts w:ascii="Calibri" w:cs="Calibri" w:eastAsia="Calibri" w:hAnsi="Calibri"/>
                <w:sz w:val="17"/>
                <w:szCs w:val="17"/>
              </w:rPr>
              <w:t xml:space="preserve">  </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State diagrams complete</w:t>
            </w:r>
          </w:p>
          <w:p>
            <w:pPr>
              <w:spacing w:after="60" w:before="0"/>
            </w:pPr>
            <w:r>
              <w:rPr>
                <w:rFonts w:ascii="Calibri" w:cs="Calibri" w:eastAsia="Calibri" w:hAnsi="Calibri"/>
                <w:color w:val="555555"/>
                <w:sz w:val="18"/>
                <w:szCs w:val="18"/>
              </w:rPr>
              <w:t xml:space="preserve">Order lifecycle (8 states, 4 exception paths) and Container lifecycle (5 states, 1 sub-flow) delivered as Mermaid source for the repo and presentation-quality PNG for the portfolio.</w:t>
            </w:r>
          </w:p>
          <w:p>
            <w:pPr>
              <w:spacing w:after="0" w:before="0"/>
            </w:pPr>
            <w:r>
              <w:rPr>
                <w:rFonts w:ascii="Calibri" w:cs="Calibri" w:eastAsia="Calibri" w:hAnsi="Calibri"/>
                <w:b/>
                <w:bCs/>
                <w:color w:val="0C447C"/>
                <w:sz w:val="17"/>
                <w:szCs w:val="17"/>
                <w:shd w:fill="E6F1FB" w:val="clear"/>
              </w:rPr>
              <w:t xml:space="preserve"> Doc </w:t>
            </w:r>
            <w:r>
              <w:rPr>
                <w:rFonts w:ascii="Calibri" w:cs="Calibri" w:eastAsia="Calibri" w:hAnsi="Calibri"/>
                <w:sz w:val="17"/>
                <w:szCs w:val="17"/>
              </w:rPr>
              <w:t xml:space="preserve">  </w:t>
            </w:r>
            <w:r>
              <w:rPr>
                <w:rFonts w:ascii="Calibri" w:cs="Calibri" w:eastAsia="Calibri" w:hAnsi="Calibri"/>
                <w:b/>
                <w:bCs/>
                <w:color w:val="3C3489"/>
                <w:sz w:val="17"/>
                <w:szCs w:val="17"/>
                <w:shd w:fill="EEEDFE" w:val="clear"/>
              </w:rPr>
              <w:t xml:space="preserve"> Design </w:t>
            </w:r>
            <w:r>
              <w:rPr>
                <w:rFonts w:ascii="Calibri" w:cs="Calibri" w:eastAsia="Calibri" w:hAnsi="Calibri"/>
                <w:sz w:val="17"/>
                <w:szCs w:val="17"/>
              </w:rPr>
              <w:t xml:space="preserve">  </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Remaining system design diagrams</w:t>
            </w:r>
          </w:p>
          <w:p>
            <w:pPr>
              <w:spacing w:after="60" w:before="0"/>
            </w:pPr>
            <w:r>
              <w:rPr>
                <w:rFonts w:ascii="Calibri" w:cs="Calibri" w:eastAsia="Calibri" w:hAnsi="Calibri"/>
                <w:color w:val="555555"/>
                <w:sz w:val="18"/>
                <w:szCs w:val="18"/>
              </w:rPr>
              <w:t xml:space="preserve">Actor/swimlane flow diagram and NOTIFICATIONS retry pipeline diagram, both matching the established visual system (color-coding, arrow conventions, legend).</w:t>
            </w:r>
          </w:p>
          <w:p>
            <w:pPr>
              <w:spacing w:after="0" w:before="0"/>
            </w:pPr>
            <w:r>
              <w:rPr>
                <w:rFonts w:ascii="Calibri" w:cs="Calibri" w:eastAsia="Calibri" w:hAnsi="Calibri"/>
                <w:b/>
                <w:bCs/>
                <w:color w:val="0C447C"/>
                <w:sz w:val="17"/>
                <w:szCs w:val="17"/>
                <w:shd w:fill="E6F1FB" w:val="clear"/>
              </w:rPr>
              <w:t xml:space="preserve"> Doc </w:t>
            </w:r>
            <w:r>
              <w:rPr>
                <w:rFonts w:ascii="Calibri" w:cs="Calibri" w:eastAsia="Calibri" w:hAnsi="Calibri"/>
                <w:sz w:val="17"/>
                <w:szCs w:val="17"/>
              </w:rPr>
              <w:t xml:space="preserve">  </w:t>
            </w:r>
            <w:r>
              <w:rPr>
                <w:rFonts w:ascii="Calibri" w:cs="Calibri" w:eastAsia="Calibri" w:hAnsi="Calibri"/>
                <w:b/>
                <w:bCs/>
                <w:color w:val="3C3489"/>
                <w:sz w:val="17"/>
                <w:szCs w:val="17"/>
                <w:shd w:fill="EEEDFE" w:val="clear"/>
              </w:rPr>
              <w:t xml:space="preserve"> Design </w:t>
            </w:r>
            <w:r>
              <w:rPr>
                <w:rFonts w:ascii="Calibri" w:cs="Calibri" w:eastAsia="Calibri" w:hAnsi="Calibri"/>
                <w:sz w:val="17"/>
                <w:szCs w:val="17"/>
              </w:rPr>
              <w:t xml:space="preserve">  </w:t>
            </w:r>
          </w:p>
        </w:tc>
      </w:tr>
    </w:tbl>
    <w:p>
      <w:pPr>
        <w:spacing w:after="0" w:before="40"/>
      </w:pPr>
    </w:p>
    <w:p>
      <w:pPr>
        <w:spacing w:after="0" w:before="2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FF8E6" w:val="clear"/>
            <w:tcMar>
              <w:top w:type="dxa" w:w="100"/>
              <w:left w:type="dxa" w:w="80"/>
              <w:bottom w:type="dxa" w:w="100"/>
              <w:right w:type="dxa" w:w="0"/>
            </w:tcMar>
          </w:tcPr>
          <w:p>
            <w:pPr>
              <w:jc w:val="center"/>
            </w:pPr>
            <w:r>
              <w:rPr>
                <w:rFonts w:ascii="Calibri" w:cs="Calibri" w:eastAsia="Calibri" w:hAnsi="Calibri"/>
                <w:color w:val="BA7517"/>
                <w:sz w:val="20"/>
                <w:szCs w:val="20"/>
              </w:rPr>
              <w:t xml:space="preserve">⚑</w:t>
            </w:r>
          </w:p>
        </w:tc>
        <w:tc>
          <w:tcPr>
            <w:tcW w:type="dxa" w:w="9080"/>
            <w:shd w:fill="FFF8E6" w:val="clear"/>
            <w:tcMar>
              <w:top w:type="dxa" w:w="100"/>
              <w:left w:type="dxa" w:w="160"/>
              <w:bottom w:type="dxa" w:w="100"/>
              <w:right w:type="dxa" w:w="160"/>
            </w:tcMar>
          </w:tcPr>
          <w:p>
            <w:pPr>
              <w:spacing w:after="40" w:before="0"/>
            </w:pPr>
            <w:r>
              <w:rPr>
                <w:rFonts w:ascii="Calibri" w:cs="Calibri" w:eastAsia="Calibri" w:hAnsi="Calibri"/>
                <w:b/>
                <w:bCs/>
                <w:color w:val="BA7517"/>
                <w:sz w:val="19"/>
                <w:szCs w:val="19"/>
              </w:rPr>
              <w:t xml:space="preserve">Gate 0 — </w:t>
            </w:r>
            <w:r>
              <w:rPr>
                <w:rFonts w:ascii="Calibri" w:cs="Calibri" w:eastAsia="Calibri" w:hAnsi="Calibri"/>
                <w:b/>
                <w:bCs/>
                <w:color w:val="633806"/>
                <w:sz w:val="19"/>
                <w:szCs w:val="19"/>
              </w:rPr>
              <w:t xml:space="preserve">Design freeze</w:t>
            </w:r>
          </w:p>
          <w:p>
            <w:pPr>
              <w:spacing w:after="0" w:before="0"/>
            </w:pPr>
            <w:r>
              <w:rPr>
                <w:rFonts w:ascii="Calibri" w:cs="Calibri" w:eastAsia="Calibri" w:hAnsi="Calibri"/>
                <w:color w:val="633806"/>
                <w:sz w:val="18"/>
                <w:szCs w:val="18"/>
              </w:rPr>
              <w:t xml:space="preserve">All diagrams consistent and cross-referenced. Portfolio documentation package is presentable to a reviewer without additional explanation. No schema changes advance without updating ERD and state diagrams.</w:t>
            </w:r>
          </w:p>
        </w:tc>
      </w:tr>
    </w:tbl>
    <w:p>
      <w:pPr>
        <w:spacing w:after="0" w:before="40"/>
      </w:pPr>
    </w:p>
    <w:p>
      <w:pPr>
        <w:spacing w:after="0" w:before="160"/>
      </w:pPr>
    </w:p>
    <w:tbl>
      <w:tblPr>
        <w:tblW w:type="dxa" w:w="9360"/>
        <w:tblBorders>
          <w:top w:val="none"/>
          <w:left w:val="none"/>
          <w:bottom w:val="none"/>
          <w:right w:val="none"/>
          <w:insideH w:val="single" w:color="auto" w:sz="4"/>
          <w:insideV w:val="single" w:color="auto" w:sz="4"/>
        </w:tblBorders>
      </w:tblPr>
      <w:tblGrid>
        <w:gridCol w:w="360"/>
        <w:gridCol w:w="6360"/>
        <w:gridCol w:w="2640"/>
      </w:tblGrid>
      <w:tr>
        <w:tc>
          <w:tcPr>
            <w:tcW w:type="dxa" w:w="360"/>
            <w:shd w:fill="1D9E75" w:val="clear"/>
            <w:tcMar>
              <w:top w:type="dxa" w:w="120"/>
              <w:left w:type="dxa" w:w="120"/>
              <w:bottom w:type="dxa" w:w="120"/>
              <w:right w:type="dxa" w:w="120"/>
            </w:tcMar>
          </w:tcPr>
          <w:p>
            <w:pPr>
              <w:jc w:val="center"/>
            </w:pPr>
            <w:r>
              <w:rPr>
                <w:rFonts w:ascii="Calibri" w:cs="Calibri" w:eastAsia="Calibri" w:hAnsi="Calibri"/>
                <w:b/>
                <w:bCs/>
                <w:color w:val="FFFFFF"/>
                <w:sz w:val="24"/>
                <w:szCs w:val="24"/>
              </w:rPr>
              <w:t xml:space="preserve">1</w:t>
            </w:r>
          </w:p>
        </w:tc>
        <w:tc>
          <w:tcPr>
            <w:tcW w:type="dxa" w:w="6360"/>
            <w:shd w:fill="E1F5EE" w:val="clear"/>
            <w:tcMar>
              <w:top w:type="dxa" w:w="120"/>
              <w:left w:type="dxa" w:w="160"/>
              <w:bottom w:type="dxa" w:w="120"/>
              <w:right w:type="dxa" w:w="120"/>
            </w:tcMar>
          </w:tcPr>
          <w:p>
            <w:r>
              <w:rPr>
                <w:rFonts w:ascii="Calibri" w:cs="Calibri" w:eastAsia="Calibri" w:hAnsi="Calibri"/>
                <w:b/>
                <w:bCs/>
                <w:color w:val="085041"/>
                <w:sz w:val="26"/>
                <w:szCs w:val="26"/>
              </w:rPr>
              <w:t xml:space="preserve">Local dev environment</w:t>
            </w:r>
          </w:p>
        </w:tc>
        <w:tc>
          <w:tcPr>
            <w:tcW w:type="dxa" w:w="2640"/>
            <w:shd w:fill="E1F5EE" w:val="clear"/>
            <w:tcMar>
              <w:top w:type="dxa" w:w="120"/>
              <w:left w:type="dxa" w:w="120"/>
              <w:bottom w:type="dxa" w:w="120"/>
              <w:right w:type="dxa" w:w="160"/>
            </w:tcMar>
          </w:tcPr>
          <w:p>
            <w:pPr>
              <w:jc w:val="right"/>
            </w:pPr>
            <w:r>
              <w:rPr>
                <w:rFonts w:ascii="Calibri" w:cs="Calibri" w:eastAsia="Calibri" w:hAnsi="Calibri"/>
                <w:color w:val="1D9E75"/>
                <w:sz w:val="20"/>
                <w:szCs w:val="20"/>
              </w:rPr>
              <w:t xml:space="preserve">Weeks 2–3</w:t>
            </w:r>
          </w:p>
        </w:tc>
      </w:tr>
    </w:tbl>
    <w:p>
      <w:pPr>
        <w:spacing w:after="0" w:before="6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Repo &amp; monorepo structure</w:t>
            </w:r>
          </w:p>
          <w:p>
            <w:pPr>
              <w:spacing w:after="60" w:before="0"/>
            </w:pPr>
            <w:r>
              <w:rPr>
                <w:rFonts w:ascii="Calibri" w:cs="Calibri" w:eastAsia="Calibri" w:hAnsi="Calibri"/>
                <w:color w:val="555555"/>
                <w:sz w:val="18"/>
                <w:szCs w:val="18"/>
              </w:rPr>
              <w:t xml:space="preserve">Git repo initialized with workspace layout: /backend (NestJS or FastAPI), /frontend (Next.js), /infra (Docker Compose, migrations). Conventional commits enforced from day one.</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Docker Compose stack running</w:t>
            </w:r>
          </w:p>
          <w:p>
            <w:pPr>
              <w:spacing w:after="60" w:before="0"/>
            </w:pPr>
            <w:r>
              <w:rPr>
                <w:rFonts w:ascii="Calibri" w:cs="Calibri" w:eastAsia="Calibri" w:hAnsi="Calibri"/>
                <w:color w:val="555555"/>
                <w:sz w:val="18"/>
                <w:szCs w:val="18"/>
              </w:rPr>
              <w:t xml:space="preserve">postgres, redis, backend, and frontend services orchestrated locally. All connection strings via environment variables — no hardcoded Compose DNS hostnames. Health checks on all services.</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Database schema applied via migrations</w:t>
            </w:r>
          </w:p>
          <w:p>
            <w:pPr>
              <w:spacing w:after="60" w:before="0"/>
            </w:pPr>
            <w:r>
              <w:rPr>
                <w:rFonts w:ascii="Calibri" w:cs="Calibri" w:eastAsia="Calibri" w:hAnsi="Calibri"/>
                <w:color w:val="555555"/>
                <w:sz w:val="18"/>
                <w:szCs w:val="18"/>
              </w:rPr>
              <w:t xml:space="preserve">All 19 tables created through a migration tool (Flyway, Alembic, or Prisma). Seed script populates demo data covering all entity types. Schema fully version-controlled — no raw DDL in README.</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p>
        </w:tc>
      </w:tr>
    </w:tbl>
    <w:p>
      <w:pPr>
        <w:spacing w:after="0" w:before="40"/>
      </w:pPr>
    </w:p>
    <w:p>
      <w:pPr>
        <w:spacing w:after="0" w:before="2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FF8E6" w:val="clear"/>
            <w:tcMar>
              <w:top w:type="dxa" w:w="100"/>
              <w:left w:type="dxa" w:w="80"/>
              <w:bottom w:type="dxa" w:w="100"/>
              <w:right w:type="dxa" w:w="0"/>
            </w:tcMar>
          </w:tcPr>
          <w:p>
            <w:pPr>
              <w:jc w:val="center"/>
            </w:pPr>
            <w:r>
              <w:rPr>
                <w:rFonts w:ascii="Calibri" w:cs="Calibri" w:eastAsia="Calibri" w:hAnsi="Calibri"/>
                <w:color w:val="BA7517"/>
                <w:sz w:val="20"/>
                <w:szCs w:val="20"/>
              </w:rPr>
              <w:t xml:space="preserve">⚑</w:t>
            </w:r>
          </w:p>
        </w:tc>
        <w:tc>
          <w:tcPr>
            <w:tcW w:type="dxa" w:w="9080"/>
            <w:shd w:fill="FFF8E6" w:val="clear"/>
            <w:tcMar>
              <w:top w:type="dxa" w:w="100"/>
              <w:left w:type="dxa" w:w="160"/>
              <w:bottom w:type="dxa" w:w="100"/>
              <w:right w:type="dxa" w:w="160"/>
            </w:tcMar>
          </w:tcPr>
          <w:p>
            <w:pPr>
              <w:spacing w:after="40" w:before="0"/>
            </w:pPr>
            <w:r>
              <w:rPr>
                <w:rFonts w:ascii="Calibri" w:cs="Calibri" w:eastAsia="Calibri" w:hAnsi="Calibri"/>
                <w:b/>
                <w:bCs/>
                <w:color w:val="BA7517"/>
                <w:sz w:val="19"/>
                <w:szCs w:val="19"/>
              </w:rPr>
              <w:t xml:space="preserve">Gate 1 — </w:t>
            </w:r>
            <w:r>
              <w:rPr>
                <w:rFonts w:ascii="Calibri" w:cs="Calibri" w:eastAsia="Calibri" w:hAnsi="Calibri"/>
                <w:b/>
                <w:bCs/>
                <w:color w:val="633806"/>
                <w:sz w:val="19"/>
                <w:szCs w:val="19"/>
              </w:rPr>
              <w:t xml:space="preserve">Dev baseline</w:t>
            </w:r>
          </w:p>
          <w:p>
            <w:pPr>
              <w:spacing w:after="0" w:before="0"/>
            </w:pPr>
            <w:r>
              <w:rPr>
                <w:rFonts w:ascii="Calibri" w:cs="Calibri" w:eastAsia="Calibri" w:hAnsi="Calibri"/>
                <w:color w:val="633806"/>
                <w:sz w:val="18"/>
                <w:szCs w:val="18"/>
              </w:rPr>
              <w:t xml:space="preserve">docker compose up from a clean clone reaches all services. Postgres tables exist. Redis responds. A fresh migration runs from scratch without error.</w:t>
            </w:r>
          </w:p>
        </w:tc>
      </w:tr>
    </w:tbl>
    <w:p>
      <w:pPr>
        <w:spacing w:after="0" w:before="40"/>
      </w:pPr>
    </w:p>
    <w:p>
      <w:pPr>
        <w:spacing w:after="0" w:before="160"/>
      </w:pPr>
    </w:p>
    <w:tbl>
      <w:tblPr>
        <w:tblW w:type="dxa" w:w="9360"/>
        <w:tblBorders>
          <w:top w:val="none"/>
          <w:left w:val="none"/>
          <w:bottom w:val="none"/>
          <w:right w:val="none"/>
          <w:insideH w:val="single" w:color="auto" w:sz="4"/>
          <w:insideV w:val="single" w:color="auto" w:sz="4"/>
        </w:tblBorders>
      </w:tblPr>
      <w:tblGrid>
        <w:gridCol w:w="360"/>
        <w:gridCol w:w="6360"/>
        <w:gridCol w:w="2640"/>
      </w:tblGrid>
      <w:tr>
        <w:tc>
          <w:tcPr>
            <w:tcW w:type="dxa" w:w="360"/>
            <w:shd w:fill="378ADD" w:val="clear"/>
            <w:tcMar>
              <w:top w:type="dxa" w:w="120"/>
              <w:left w:type="dxa" w:w="120"/>
              <w:bottom w:type="dxa" w:w="120"/>
              <w:right w:type="dxa" w:w="120"/>
            </w:tcMar>
          </w:tcPr>
          <w:p>
            <w:pPr>
              <w:jc w:val="center"/>
            </w:pPr>
            <w:r>
              <w:rPr>
                <w:rFonts w:ascii="Calibri" w:cs="Calibri" w:eastAsia="Calibri" w:hAnsi="Calibri"/>
                <w:b/>
                <w:bCs/>
                <w:color w:val="FFFFFF"/>
                <w:sz w:val="24"/>
                <w:szCs w:val="24"/>
              </w:rPr>
              <w:t xml:space="preserve">2</w:t>
            </w:r>
          </w:p>
        </w:tc>
        <w:tc>
          <w:tcPr>
            <w:tcW w:type="dxa" w:w="6360"/>
            <w:shd w:fill="E6F1FB" w:val="clear"/>
            <w:tcMar>
              <w:top w:type="dxa" w:w="120"/>
              <w:left w:type="dxa" w:w="160"/>
              <w:bottom w:type="dxa" w:w="120"/>
              <w:right w:type="dxa" w:w="120"/>
            </w:tcMar>
          </w:tcPr>
          <w:p>
            <w:r>
              <w:rPr>
                <w:rFonts w:ascii="Calibri" w:cs="Calibri" w:eastAsia="Calibri" w:hAnsi="Calibri"/>
                <w:b/>
                <w:bCs/>
                <w:color w:val="0C447C"/>
                <w:sz w:val="26"/>
                <w:szCs w:val="26"/>
              </w:rPr>
              <w:t xml:space="preserve">Core backend — orders &amp; parties</w:t>
            </w:r>
          </w:p>
        </w:tc>
        <w:tc>
          <w:tcPr>
            <w:tcW w:type="dxa" w:w="2640"/>
            <w:shd w:fill="E6F1FB" w:val="clear"/>
            <w:tcMar>
              <w:top w:type="dxa" w:w="120"/>
              <w:left w:type="dxa" w:w="120"/>
              <w:bottom w:type="dxa" w:w="120"/>
              <w:right w:type="dxa" w:w="160"/>
            </w:tcMar>
          </w:tcPr>
          <w:p>
            <w:pPr>
              <w:jc w:val="right"/>
            </w:pPr>
            <w:r>
              <w:rPr>
                <w:rFonts w:ascii="Calibri" w:cs="Calibri" w:eastAsia="Calibri" w:hAnsi="Calibri"/>
                <w:color w:val="378ADD"/>
                <w:sz w:val="20"/>
                <w:szCs w:val="20"/>
              </w:rPr>
              <w:t xml:space="preserve">Weeks 3–6</w:t>
            </w:r>
          </w:p>
        </w:tc>
      </w:tr>
    </w:tbl>
    <w:p>
      <w:pPr>
        <w:spacing w:after="0" w:before="6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Auth &amp; role system</w:t>
            </w:r>
          </w:p>
          <w:p>
            <w:pPr>
              <w:spacing w:after="60" w:before="0"/>
            </w:pPr>
            <w:r>
              <w:rPr>
                <w:rFonts w:ascii="Calibri" w:cs="Calibri" w:eastAsia="Calibri" w:hAnsi="Calibri"/>
                <w:color w:val="555555"/>
                <w:sz w:val="18"/>
                <w:szCs w:val="18"/>
              </w:rPr>
              <w:t xml:space="preserve">JWT authentication with two roles: Office Manager (full access) and Client (read-only, scoped strictly to own orders). Middleware enforces data scoping — client A cannot access client B data under any request.</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r>
              <w:rPr>
                <w:rFonts w:ascii="Calibri" w:cs="Calibri" w:eastAsia="Calibri" w:hAnsi="Calibri"/>
                <w:b/>
                <w:bCs/>
                <w:color w:val="712B13"/>
                <w:sz w:val="17"/>
                <w:szCs w:val="17"/>
                <w:shd w:fill="FAECE7" w:val="clear"/>
              </w:rPr>
              <w:t xml:space="preserve"> Test </w:t>
            </w:r>
            <w:r>
              <w:rPr>
                <w:rFonts w:ascii="Calibri" w:cs="Calibri" w:eastAsia="Calibri" w:hAnsi="Calibri"/>
                <w:sz w:val="17"/>
                <w:szCs w:val="17"/>
              </w:rPr>
              <w:t xml:space="preserve">  </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Parties CRUD</w:t>
            </w:r>
          </w:p>
          <w:p>
            <w:pPr>
              <w:spacing w:after="60" w:before="0"/>
            </w:pPr>
            <w:r>
              <w:rPr>
                <w:rFonts w:ascii="Calibri" w:cs="Calibri" w:eastAsia="Calibri" w:hAnsi="Calibri"/>
                <w:color w:val="555555"/>
                <w:sz w:val="18"/>
                <w:szCs w:val="18"/>
              </w:rPr>
              <w:t xml:space="preserve">CLIENTS, SUPPLIERS, FREIGHT_PROVIDERS, and CUSTOMS_AGENTS endpoints. Passport scan upload for clients stores a file reference, not binary data in the database. Mandatory field validation per entity type.</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r>
              <w:rPr>
                <w:rFonts w:ascii="Calibri" w:cs="Calibri" w:eastAsia="Calibri" w:hAnsi="Calibri"/>
                <w:b/>
                <w:bCs/>
                <w:color w:val="712B13"/>
                <w:sz w:val="17"/>
                <w:szCs w:val="17"/>
                <w:shd w:fill="FAECE7" w:val="clear"/>
              </w:rPr>
              <w:t xml:space="preserve"> Test </w:t>
            </w:r>
            <w:r>
              <w:rPr>
                <w:rFonts w:ascii="Calibri" w:cs="Calibri" w:eastAsia="Calibri" w:hAnsi="Calibri"/>
                <w:sz w:val="17"/>
                <w:szCs w:val="17"/>
              </w:rPr>
              <w:t xml:space="preserve">  </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Orders &amp; order items CRUD</w:t>
            </w:r>
          </w:p>
          <w:p>
            <w:pPr>
              <w:spacing w:after="60" w:before="0"/>
            </w:pPr>
            <w:r>
              <w:rPr>
                <w:rFonts w:ascii="Calibri" w:cs="Calibri" w:eastAsia="Calibri" w:hAnsi="Calibri"/>
                <w:color w:val="555555"/>
                <w:sz w:val="18"/>
                <w:szCs w:val="18"/>
              </w:rPr>
              <w:t xml:space="preserve">ORDERS and ORDER_ITEMS with full lifecycle field set including CBM/weight calculation helpers. Every money column carries an explicit currency field. Deposit percentage enforced at approximately 20%.</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r>
              <w:rPr>
                <w:rFonts w:ascii="Calibri" w:cs="Calibri" w:eastAsia="Calibri" w:hAnsi="Calibri"/>
                <w:b/>
                <w:bCs/>
                <w:color w:val="712B13"/>
                <w:sz w:val="17"/>
                <w:szCs w:val="17"/>
                <w:shd w:fill="FAECE7" w:val="clear"/>
              </w:rPr>
              <w:t xml:space="preserve"> Test </w:t>
            </w:r>
            <w:r>
              <w:rPr>
                <w:rFonts w:ascii="Calibri" w:cs="Calibri" w:eastAsia="Calibri" w:hAnsi="Calibri"/>
                <w:sz w:val="17"/>
                <w:szCs w:val="17"/>
              </w:rPr>
              <w:t xml:space="preserve">  </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Order state machine</w:t>
            </w:r>
          </w:p>
          <w:p>
            <w:pPr>
              <w:spacing w:after="60" w:before="0"/>
            </w:pPr>
            <w:r>
              <w:rPr>
                <w:rFonts w:ascii="Calibri" w:cs="Calibri" w:eastAsia="Calibri" w:hAnsi="Calibri"/>
                <w:color w:val="555555"/>
                <w:sz w:val="18"/>
                <w:szCs w:val="18"/>
              </w:rPr>
              <w:t xml:space="preserve">Status transitions enforced server-side — status is not a free string field. Every valid transition writes to STATUS_HISTORY with from_status, to_status, changed_by, and reason. Invalid transitions return HTTP 422.</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r>
              <w:rPr>
                <w:rFonts w:ascii="Calibri" w:cs="Calibri" w:eastAsia="Calibri" w:hAnsi="Calibri"/>
                <w:b/>
                <w:bCs/>
                <w:color w:val="712B13"/>
                <w:sz w:val="17"/>
                <w:szCs w:val="17"/>
                <w:shd w:fill="FAECE7" w:val="clear"/>
              </w:rPr>
              <w:t xml:space="preserve"> Test </w:t>
            </w:r>
            <w:r>
              <w:rPr>
                <w:rFonts w:ascii="Calibri" w:cs="Calibri" w:eastAsia="Calibri" w:hAnsi="Calibri"/>
                <w:sz w:val="17"/>
                <w:szCs w:val="17"/>
              </w:rPr>
              <w:t xml:space="preserve">  </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Production orders &amp; QC inspections</w:t>
            </w:r>
          </w:p>
          <w:p>
            <w:pPr>
              <w:spacing w:after="60" w:before="0"/>
            </w:pPr>
            <w:r>
              <w:rPr>
                <w:rFonts w:ascii="Calibri" w:cs="Calibri" w:eastAsia="Calibri" w:hAnsi="Calibri"/>
                <w:color w:val="555555"/>
                <w:sz w:val="18"/>
                <w:szCs w:val="18"/>
              </w:rPr>
              <w:t xml:space="preserve">PRODUCTION_ORDERS linked to orders and suppliers. QC_INSPECTIONS with client_signed_off_at enforced as a hard prerequisite — the balance invoice cannot be raised until this timestamp is set.</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r>
              <w:rPr>
                <w:rFonts w:ascii="Calibri" w:cs="Calibri" w:eastAsia="Calibri" w:hAnsi="Calibri"/>
                <w:b/>
                <w:bCs/>
                <w:color w:val="712B13"/>
                <w:sz w:val="17"/>
                <w:szCs w:val="17"/>
                <w:shd w:fill="FAECE7" w:val="clear"/>
              </w:rPr>
              <w:t xml:space="preserve"> Test </w:t>
            </w:r>
            <w:r>
              <w:rPr>
                <w:rFonts w:ascii="Calibri" w:cs="Calibri" w:eastAsia="Calibri" w:hAnsi="Calibri"/>
                <w:sz w:val="17"/>
                <w:szCs w:val="17"/>
              </w:rPr>
              <w:t xml:space="preserve">  </w:t>
            </w:r>
          </w:p>
        </w:tc>
      </w:tr>
    </w:tbl>
    <w:p>
      <w:pPr>
        <w:spacing w:after="0" w:before="40"/>
      </w:pPr>
    </w:p>
    <w:p>
      <w:pPr>
        <w:spacing w:after="0" w:before="2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FF8E6" w:val="clear"/>
            <w:tcMar>
              <w:top w:type="dxa" w:w="100"/>
              <w:left w:type="dxa" w:w="80"/>
              <w:bottom w:type="dxa" w:w="100"/>
              <w:right w:type="dxa" w:w="0"/>
            </w:tcMar>
          </w:tcPr>
          <w:p>
            <w:pPr>
              <w:jc w:val="center"/>
            </w:pPr>
            <w:r>
              <w:rPr>
                <w:rFonts w:ascii="Calibri" w:cs="Calibri" w:eastAsia="Calibri" w:hAnsi="Calibri"/>
                <w:color w:val="BA7517"/>
                <w:sz w:val="20"/>
                <w:szCs w:val="20"/>
              </w:rPr>
              <w:t xml:space="preserve">⚑</w:t>
            </w:r>
          </w:p>
        </w:tc>
        <w:tc>
          <w:tcPr>
            <w:tcW w:type="dxa" w:w="9080"/>
            <w:shd w:fill="FFF8E6" w:val="clear"/>
            <w:tcMar>
              <w:top w:type="dxa" w:w="100"/>
              <w:left w:type="dxa" w:w="160"/>
              <w:bottom w:type="dxa" w:w="100"/>
              <w:right w:type="dxa" w:w="160"/>
            </w:tcMar>
          </w:tcPr>
          <w:p>
            <w:pPr>
              <w:spacing w:after="40" w:before="0"/>
            </w:pPr>
            <w:r>
              <w:rPr>
                <w:rFonts w:ascii="Calibri" w:cs="Calibri" w:eastAsia="Calibri" w:hAnsi="Calibri"/>
                <w:b/>
                <w:bCs/>
                <w:color w:val="BA7517"/>
                <w:sz w:val="19"/>
                <w:szCs w:val="19"/>
              </w:rPr>
              <w:t xml:space="preserve">Gate 2 — </w:t>
            </w:r>
            <w:r>
              <w:rPr>
                <w:rFonts w:ascii="Calibri" w:cs="Calibri" w:eastAsia="Calibri" w:hAnsi="Calibri"/>
                <w:b/>
                <w:bCs/>
                <w:color w:val="633806"/>
                <w:sz w:val="19"/>
                <w:szCs w:val="19"/>
              </w:rPr>
              <w:t xml:space="preserve">Order lifecycle covered</w:t>
            </w:r>
          </w:p>
          <w:p>
            <w:pPr>
              <w:spacing w:after="0" w:before="0"/>
            </w:pPr>
            <w:r>
              <w:rPr>
                <w:rFonts w:ascii="Calibri" w:cs="Calibri" w:eastAsia="Calibri" w:hAnsi="Calibri"/>
                <w:color w:val="633806"/>
                <w:sz w:val="18"/>
                <w:szCs w:val="18"/>
              </w:rPr>
              <w:t xml:space="preserve">A full order can be walked from Order Placed to Closed Out via API calls alone. All 8 states transition correctly. An invalid transition is rejected with a clear error. STATUS_HISTORY is populated at every step.</w:t>
            </w:r>
          </w:p>
        </w:tc>
      </w:tr>
    </w:tbl>
    <w:p>
      <w:pPr>
        <w:spacing w:after="0" w:before="40"/>
      </w:pPr>
    </w:p>
    <w:p>
      <w:pPr>
        <w:spacing w:after="0" w:before="160"/>
      </w:pPr>
    </w:p>
    <w:tbl>
      <w:tblPr>
        <w:tblW w:type="dxa" w:w="9360"/>
        <w:tblBorders>
          <w:top w:val="none"/>
          <w:left w:val="none"/>
          <w:bottom w:val="none"/>
          <w:right w:val="none"/>
          <w:insideH w:val="single" w:color="auto" w:sz="4"/>
          <w:insideV w:val="single" w:color="auto" w:sz="4"/>
        </w:tblBorders>
      </w:tblPr>
      <w:tblGrid>
        <w:gridCol w:w="360"/>
        <w:gridCol w:w="6360"/>
        <w:gridCol w:w="2640"/>
      </w:tblGrid>
      <w:tr>
        <w:tc>
          <w:tcPr>
            <w:tcW w:type="dxa" w:w="360"/>
            <w:shd w:fill="BA7517" w:val="clear"/>
            <w:tcMar>
              <w:top w:type="dxa" w:w="120"/>
              <w:left w:type="dxa" w:w="120"/>
              <w:bottom w:type="dxa" w:w="120"/>
              <w:right w:type="dxa" w:w="120"/>
            </w:tcMar>
          </w:tcPr>
          <w:p>
            <w:pPr>
              <w:jc w:val="center"/>
            </w:pPr>
            <w:r>
              <w:rPr>
                <w:rFonts w:ascii="Calibri" w:cs="Calibri" w:eastAsia="Calibri" w:hAnsi="Calibri"/>
                <w:b/>
                <w:bCs/>
                <w:color w:val="FFFFFF"/>
                <w:sz w:val="24"/>
                <w:szCs w:val="24"/>
              </w:rPr>
              <w:t xml:space="preserve">3</w:t>
            </w:r>
          </w:p>
        </w:tc>
        <w:tc>
          <w:tcPr>
            <w:tcW w:type="dxa" w:w="6360"/>
            <w:shd w:fill="FAEEDA" w:val="clear"/>
            <w:tcMar>
              <w:top w:type="dxa" w:w="120"/>
              <w:left w:type="dxa" w:w="160"/>
              <w:bottom w:type="dxa" w:w="120"/>
              <w:right w:type="dxa" w:w="120"/>
            </w:tcMar>
          </w:tcPr>
          <w:p>
            <w:r>
              <w:rPr>
                <w:rFonts w:ascii="Calibri" w:cs="Calibri" w:eastAsia="Calibri" w:hAnsi="Calibri"/>
                <w:b/>
                <w:bCs/>
                <w:color w:val="633806"/>
                <w:sz w:val="26"/>
                <w:szCs w:val="26"/>
              </w:rPr>
              <w:t xml:space="preserve">Shipping, containers &amp; warehousing</w:t>
            </w:r>
          </w:p>
        </w:tc>
        <w:tc>
          <w:tcPr>
            <w:tcW w:type="dxa" w:w="2640"/>
            <w:shd w:fill="FAEEDA" w:val="clear"/>
            <w:tcMar>
              <w:top w:type="dxa" w:w="120"/>
              <w:left w:type="dxa" w:w="120"/>
              <w:bottom w:type="dxa" w:w="120"/>
              <w:right w:type="dxa" w:w="160"/>
            </w:tcMar>
          </w:tcPr>
          <w:p>
            <w:pPr>
              <w:jc w:val="right"/>
            </w:pPr>
            <w:r>
              <w:rPr>
                <w:rFonts w:ascii="Calibri" w:cs="Calibri" w:eastAsia="Calibri" w:hAnsi="Calibri"/>
                <w:color w:val="BA7517"/>
                <w:sz w:val="20"/>
                <w:szCs w:val="20"/>
              </w:rPr>
              <w:t xml:space="preserve">Weeks 6–9</w:t>
            </w:r>
          </w:p>
        </w:tc>
      </w:tr>
    </w:tbl>
    <w:p>
      <w:pPr>
        <w:spacing w:after="0" w:before="6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Containers &amp; container state machine</w:t>
            </w:r>
          </w:p>
          <w:p>
            <w:pPr>
              <w:spacing w:after="60" w:before="0"/>
            </w:pPr>
            <w:r>
              <w:rPr>
                <w:rFonts w:ascii="Calibri" w:cs="Calibri" w:eastAsia="Calibri" w:hAnsi="Calibri"/>
                <w:color w:val="555555"/>
                <w:sz w:val="18"/>
                <w:szCs w:val="18"/>
              </w:rPr>
              <w:t xml:space="preserve">CONTAINERS with 5-state lifecycle mirroring the state diagram. Transitions write to STATUS_HISTORY. The container closes only when every associated order has reached Closed Out — enforced server-side, not by convention.</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r>
              <w:rPr>
                <w:rFonts w:ascii="Calibri" w:cs="Calibri" w:eastAsia="Calibri" w:hAnsi="Calibri"/>
                <w:b/>
                <w:bCs/>
                <w:color w:val="712B13"/>
                <w:sz w:val="17"/>
                <w:szCs w:val="17"/>
                <w:shd w:fill="FAECE7" w:val="clear"/>
              </w:rPr>
              <w:t xml:space="preserve"> Test </w:t>
            </w:r>
            <w:r>
              <w:rPr>
                <w:rFonts w:ascii="Calibri" w:cs="Calibri" w:eastAsia="Calibri" w:hAnsi="Calibri"/>
                <w:sz w:val="17"/>
                <w:szCs w:val="17"/>
              </w:rPr>
              <w:t xml:space="preserve">  </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Consolidated shipping (CONTAINER_ALLOCATIONS)</w:t>
            </w:r>
          </w:p>
          <w:p>
            <w:pPr>
              <w:spacing w:after="60" w:before="0"/>
            </w:pPr>
            <w:r>
              <w:rPr>
                <w:rFonts w:ascii="Calibri" w:cs="Calibri" w:eastAsia="Calibri" w:hAnsi="Calibri"/>
                <w:color w:val="555555"/>
                <w:sz w:val="18"/>
                <w:szCs w:val="18"/>
              </w:rPr>
              <w:t xml:space="preserve">Many-to-many junction table allowing one container to carry multiple orders. CBM and weight allocated per order row. A capacity guard rejects any allocation that would cause the container to exceed its CBM or weight maximum.</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r>
              <w:rPr>
                <w:rFonts w:ascii="Calibri" w:cs="Calibri" w:eastAsia="Calibri" w:hAnsi="Calibri"/>
                <w:b/>
                <w:bCs/>
                <w:color w:val="712B13"/>
                <w:sz w:val="17"/>
                <w:szCs w:val="17"/>
                <w:shd w:fill="FAECE7" w:val="clear"/>
              </w:rPr>
              <w:t xml:space="preserve"> Test </w:t>
            </w:r>
            <w:r>
              <w:rPr>
                <w:rFonts w:ascii="Calibri" w:cs="Calibri" w:eastAsia="Calibri" w:hAnsi="Calibri"/>
                <w:sz w:val="17"/>
                <w:szCs w:val="17"/>
              </w:rPr>
              <w:t xml:space="preserve">  </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Transit legs</w:t>
            </w:r>
          </w:p>
          <w:p>
            <w:pPr>
              <w:spacing w:after="60" w:before="0"/>
            </w:pPr>
            <w:r>
              <w:rPr>
                <w:rFonts w:ascii="Calibri" w:cs="Calibri" w:eastAsia="Calibri" w:hAnsi="Calibri"/>
                <w:color w:val="555555"/>
                <w:sz w:val="18"/>
                <w:szCs w:val="18"/>
              </w:rPr>
              <w:t xml:space="preserve">TRANSIT_LEGS linked to containers, implementing the optional direct vs. transit route sub-flow from the container state diagram. Sequence ordering with arrived_at and departed_at timestamps per leg.</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Warehousing &amp; stock records</w:t>
            </w:r>
          </w:p>
          <w:p>
            <w:pPr>
              <w:spacing w:after="60" w:before="0"/>
            </w:pPr>
            <w:r>
              <w:rPr>
                <w:rFonts w:ascii="Calibri" w:cs="Calibri" w:eastAsia="Calibri" w:hAnsi="Calibri"/>
                <w:color w:val="555555"/>
                <w:sz w:val="18"/>
                <w:szCs w:val="18"/>
              </w:rPr>
              <w:t xml:space="preserve">WAREHOUSES and STOCK_RECORDS with hold_reason as free text (no fixed taxonomy). Stock hold and release endpoints. received_at and released_at timestamps support seasonal hold tracking.</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p>
        </w:tc>
      </w:tr>
    </w:tbl>
    <w:p>
      <w:pPr>
        <w:spacing w:after="0" w:before="40"/>
      </w:pPr>
    </w:p>
    <w:p>
      <w:pPr>
        <w:spacing w:after="0" w:before="2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FF8E6" w:val="clear"/>
            <w:tcMar>
              <w:top w:type="dxa" w:w="100"/>
              <w:left w:type="dxa" w:w="80"/>
              <w:bottom w:type="dxa" w:w="100"/>
              <w:right w:type="dxa" w:w="0"/>
            </w:tcMar>
          </w:tcPr>
          <w:p>
            <w:pPr>
              <w:jc w:val="center"/>
            </w:pPr>
            <w:r>
              <w:rPr>
                <w:rFonts w:ascii="Calibri" w:cs="Calibri" w:eastAsia="Calibri" w:hAnsi="Calibri"/>
                <w:color w:val="BA7517"/>
                <w:sz w:val="20"/>
                <w:szCs w:val="20"/>
              </w:rPr>
              <w:t xml:space="preserve">⚑</w:t>
            </w:r>
          </w:p>
        </w:tc>
        <w:tc>
          <w:tcPr>
            <w:tcW w:type="dxa" w:w="9080"/>
            <w:shd w:fill="FFF8E6" w:val="clear"/>
            <w:tcMar>
              <w:top w:type="dxa" w:w="100"/>
              <w:left w:type="dxa" w:w="160"/>
              <w:bottom w:type="dxa" w:w="100"/>
              <w:right w:type="dxa" w:w="160"/>
            </w:tcMar>
          </w:tcPr>
          <w:p>
            <w:pPr>
              <w:spacing w:after="40" w:before="0"/>
            </w:pPr>
            <w:r>
              <w:rPr>
                <w:rFonts w:ascii="Calibri" w:cs="Calibri" w:eastAsia="Calibri" w:hAnsi="Calibri"/>
                <w:b/>
                <w:bCs/>
                <w:color w:val="BA7517"/>
                <w:sz w:val="19"/>
                <w:szCs w:val="19"/>
              </w:rPr>
              <w:t xml:space="preserve">Gate 3 — </w:t>
            </w:r>
            <w:r>
              <w:rPr>
                <w:rFonts w:ascii="Calibri" w:cs="Calibri" w:eastAsia="Calibri" w:hAnsi="Calibri"/>
                <w:b/>
                <w:bCs/>
                <w:color w:val="633806"/>
                <w:sz w:val="19"/>
                <w:szCs w:val="19"/>
              </w:rPr>
              <w:t xml:space="preserve">Shipping lifecycle covered</w:t>
            </w:r>
          </w:p>
          <w:p>
            <w:pPr>
              <w:spacing w:after="0" w:before="0"/>
            </w:pPr>
            <w:r>
              <w:rPr>
                <w:rFonts w:ascii="Calibri" w:cs="Calibri" w:eastAsia="Calibri" w:hAnsi="Calibri"/>
                <w:color w:val="633806"/>
                <w:sz w:val="18"/>
                <w:szCs w:val="18"/>
              </w:rPr>
              <w:t xml:space="preserve">A container can be opened, allocated orders in a consolidated scenario, departed, optionally transited, arrived, and closed — but only after all allocated orders have closed. Capacity guard is tested at the boundary value.</w:t>
            </w:r>
          </w:p>
        </w:tc>
      </w:tr>
    </w:tbl>
    <w:p>
      <w:pPr>
        <w:spacing w:after="0" w:before="40"/>
      </w:pPr>
    </w:p>
    <w:p>
      <w:pPr>
        <w:spacing w:after="0" w:before="160"/>
      </w:pPr>
    </w:p>
    <w:tbl>
      <w:tblPr>
        <w:tblW w:type="dxa" w:w="9360"/>
        <w:tblBorders>
          <w:top w:val="none"/>
          <w:left w:val="none"/>
          <w:bottom w:val="none"/>
          <w:right w:val="none"/>
          <w:insideH w:val="single" w:color="auto" w:sz="4"/>
          <w:insideV w:val="single" w:color="auto" w:sz="4"/>
        </w:tblBorders>
      </w:tblPr>
      <w:tblGrid>
        <w:gridCol w:w="360"/>
        <w:gridCol w:w="6360"/>
        <w:gridCol w:w="2640"/>
      </w:tblGrid>
      <w:tr>
        <w:tc>
          <w:tcPr>
            <w:tcW w:type="dxa" w:w="360"/>
            <w:shd w:fill="D85A30" w:val="clear"/>
            <w:tcMar>
              <w:top w:type="dxa" w:w="120"/>
              <w:left w:type="dxa" w:w="120"/>
              <w:bottom w:type="dxa" w:w="120"/>
              <w:right w:type="dxa" w:w="120"/>
            </w:tcMar>
          </w:tcPr>
          <w:p>
            <w:pPr>
              <w:jc w:val="center"/>
            </w:pPr>
            <w:r>
              <w:rPr>
                <w:rFonts w:ascii="Calibri" w:cs="Calibri" w:eastAsia="Calibri" w:hAnsi="Calibri"/>
                <w:b/>
                <w:bCs/>
                <w:color w:val="FFFFFF"/>
                <w:sz w:val="24"/>
                <w:szCs w:val="24"/>
              </w:rPr>
              <w:t xml:space="preserve">4</w:t>
            </w:r>
          </w:p>
        </w:tc>
        <w:tc>
          <w:tcPr>
            <w:tcW w:type="dxa" w:w="6360"/>
            <w:shd w:fill="FAECE7" w:val="clear"/>
            <w:tcMar>
              <w:top w:type="dxa" w:w="120"/>
              <w:left w:type="dxa" w:w="160"/>
              <w:bottom w:type="dxa" w:w="120"/>
              <w:right w:type="dxa" w:w="120"/>
            </w:tcMar>
          </w:tcPr>
          <w:p>
            <w:r>
              <w:rPr>
                <w:rFonts w:ascii="Calibri" w:cs="Calibri" w:eastAsia="Calibri" w:hAnsi="Calibri"/>
                <w:b/>
                <w:bCs/>
                <w:color w:val="712B13"/>
                <w:sz w:val="26"/>
                <w:szCs w:val="26"/>
              </w:rPr>
              <w:t xml:space="preserve">Documents, payments &amp; notifications</w:t>
            </w:r>
          </w:p>
        </w:tc>
        <w:tc>
          <w:tcPr>
            <w:tcW w:type="dxa" w:w="2640"/>
            <w:shd w:fill="FAECE7" w:val="clear"/>
            <w:tcMar>
              <w:top w:type="dxa" w:w="120"/>
              <w:left w:type="dxa" w:w="120"/>
              <w:bottom w:type="dxa" w:w="120"/>
              <w:right w:type="dxa" w:w="160"/>
            </w:tcMar>
          </w:tcPr>
          <w:p>
            <w:pPr>
              <w:jc w:val="right"/>
            </w:pPr>
            <w:r>
              <w:rPr>
                <w:rFonts w:ascii="Calibri" w:cs="Calibri" w:eastAsia="Calibri" w:hAnsi="Calibri"/>
                <w:color w:val="D85A30"/>
                <w:sz w:val="20"/>
                <w:szCs w:val="20"/>
              </w:rPr>
              <w:t xml:space="preserve">Weeks 9–12</w:t>
            </w:r>
          </w:p>
        </w:tc>
      </w:tr>
    </w:tbl>
    <w:p>
      <w:pPr>
        <w:spacing w:after="0" w:before="6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Documents with version chains</w:t>
            </w:r>
          </w:p>
          <w:p>
            <w:pPr>
              <w:spacing w:after="60" w:before="0"/>
            </w:pPr>
            <w:r>
              <w:rPr>
                <w:rFonts w:ascii="Calibri" w:cs="Calibri" w:eastAsia="Calibri" w:hAnsi="Calibri"/>
                <w:color w:val="555555"/>
                <w:sz w:val="18"/>
                <w:szCs w:val="18"/>
              </w:rPr>
              <w:t xml:space="preserve">DOCUMENTS table with self-referencing supersedes_id for version history. Upload endpoint stores file_ref. released_to_client_at is null until payment clears — enforced at read time on every request, not only at write time.</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r>
              <w:rPr>
                <w:rFonts w:ascii="Calibri" w:cs="Calibri" w:eastAsia="Calibri" w:hAnsi="Calibri"/>
                <w:b/>
                <w:bCs/>
                <w:color w:val="712B13"/>
                <w:sz w:val="17"/>
                <w:szCs w:val="17"/>
                <w:shd w:fill="FAECE7" w:val="clear"/>
              </w:rPr>
              <w:t xml:space="preserve"> Test </w:t>
            </w:r>
            <w:r>
              <w:rPr>
                <w:rFonts w:ascii="Calibri" w:cs="Calibri" w:eastAsia="Calibri" w:hAnsi="Calibri"/>
                <w:sz w:val="17"/>
                <w:szCs w:val="17"/>
              </w:rPr>
              <w:t xml:space="preserve">  </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Document release gate (strongest business rule)</w:t>
            </w:r>
          </w:p>
          <w:p>
            <w:pPr>
              <w:spacing w:after="60" w:before="0"/>
            </w:pPr>
            <w:r>
              <w:rPr>
                <w:rFonts w:ascii="Calibri" w:cs="Calibri" w:eastAsia="Calibri" w:hAnsi="Calibri"/>
                <w:color w:val="555555"/>
                <w:sz w:val="18"/>
                <w:szCs w:val="18"/>
              </w:rPr>
              <w:t xml:space="preserve">The documents endpoint checks payment status before returning file_ref to any client request. Payment delayed means file_ref is absent from the response entirely. An integration test verifies this gate cannot be bypassed by any request path.</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r>
              <w:rPr>
                <w:rFonts w:ascii="Calibri" w:cs="Calibri" w:eastAsia="Calibri" w:hAnsi="Calibri"/>
                <w:b/>
                <w:bCs/>
                <w:color w:val="712B13"/>
                <w:sz w:val="17"/>
                <w:szCs w:val="17"/>
                <w:shd w:fill="FAECE7" w:val="clear"/>
              </w:rPr>
              <w:t xml:space="preserve"> Test </w:t>
            </w:r>
            <w:r>
              <w:rPr>
                <w:rFonts w:ascii="Calibri" w:cs="Calibri" w:eastAsia="Calibri" w:hAnsi="Calibri"/>
                <w:sz w:val="17"/>
                <w:szCs w:val="17"/>
              </w:rPr>
              <w:t xml:space="preserve">  </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Payments CRUD</w:t>
            </w:r>
          </w:p>
          <w:p>
            <w:pPr>
              <w:spacing w:after="60" w:before="0"/>
            </w:pPr>
            <w:r>
              <w:rPr>
                <w:rFonts w:ascii="Calibri" w:cs="Calibri" w:eastAsia="Calibri" w:hAnsi="Calibri"/>
                <w:color w:val="555555"/>
                <w:sz w:val="18"/>
                <w:szCs w:val="18"/>
              </w:rPr>
              <w:t xml:space="preserve">PAYMENTS with payment_type (deposit / balance), direction, currency, counterparty_id, and paid_at. Deposit recorded on order confirmation. Balance payment triggers the document release gate to open.</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Notifications pipeline (BullMQ / Celery)</w:t>
            </w:r>
          </w:p>
          <w:p>
            <w:pPr>
              <w:spacing w:after="60" w:before="0"/>
            </w:pPr>
            <w:r>
              <w:rPr>
                <w:rFonts w:ascii="Calibri" w:cs="Calibri" w:eastAsia="Calibri" w:hAnsi="Calibri"/>
                <w:color w:val="555555"/>
                <w:sz w:val="18"/>
                <w:szCs w:val="18"/>
              </w:rPr>
              <w:t xml:space="preserve">Append-only NOTIFICATIONS table. Every status transition enqueues a background job. Each record carries retry_count, last_error, and a dead-letter status field. Failed jobs surface in the Office Manager dashboard. Worker service included in Docker Compose.</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r>
              <w:rPr>
                <w:rFonts w:ascii="Calibri" w:cs="Calibri" w:eastAsia="Calibri" w:hAnsi="Calibri"/>
                <w:b/>
                <w:bCs/>
                <w:color w:val="712B13"/>
                <w:sz w:val="17"/>
                <w:szCs w:val="17"/>
                <w:shd w:fill="FAECE7" w:val="clear"/>
              </w:rPr>
              <w:t xml:space="preserve"> Test </w:t>
            </w:r>
            <w:r>
              <w:rPr>
                <w:rFonts w:ascii="Calibri" w:cs="Calibri" w:eastAsia="Calibri" w:hAnsi="Calibri"/>
                <w:sz w:val="17"/>
                <w:szCs w:val="17"/>
              </w:rPr>
              <w:t xml:space="preserve">  </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CLIENT_DOCUMENTS &amp; data retention</w:t>
            </w:r>
          </w:p>
          <w:p>
            <w:pPr>
              <w:spacing w:after="60" w:before="0"/>
            </w:pPr>
            <w:r>
              <w:rPr>
                <w:rFonts w:ascii="Calibri" w:cs="Calibri" w:eastAsia="Calibri" w:hAnsi="Calibri"/>
                <w:color w:val="555555"/>
                <w:sz w:val="18"/>
                <w:szCs w:val="18"/>
              </w:rPr>
              <w:t xml:space="preserve">Sensitive document references isolated in the CLIENT_DOCUMENTS table with retention_expires_at per record. A scheduled cleanup job removes expired references without deleting the underlying document from storage.</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p>
        </w:tc>
      </w:tr>
    </w:tbl>
    <w:p>
      <w:pPr>
        <w:spacing w:after="0" w:before="40"/>
      </w:pPr>
    </w:p>
    <w:p>
      <w:pPr>
        <w:spacing w:after="0" w:before="2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FF8E6" w:val="clear"/>
            <w:tcMar>
              <w:top w:type="dxa" w:w="100"/>
              <w:left w:type="dxa" w:w="80"/>
              <w:bottom w:type="dxa" w:w="100"/>
              <w:right w:type="dxa" w:w="0"/>
            </w:tcMar>
          </w:tcPr>
          <w:p>
            <w:pPr>
              <w:jc w:val="center"/>
            </w:pPr>
            <w:r>
              <w:rPr>
                <w:rFonts w:ascii="Calibri" w:cs="Calibri" w:eastAsia="Calibri" w:hAnsi="Calibri"/>
                <w:color w:val="BA7517"/>
                <w:sz w:val="20"/>
                <w:szCs w:val="20"/>
              </w:rPr>
              <w:t xml:space="preserve">⚑</w:t>
            </w:r>
          </w:p>
        </w:tc>
        <w:tc>
          <w:tcPr>
            <w:tcW w:type="dxa" w:w="9080"/>
            <w:shd w:fill="FFF8E6" w:val="clear"/>
            <w:tcMar>
              <w:top w:type="dxa" w:w="100"/>
              <w:left w:type="dxa" w:w="160"/>
              <w:bottom w:type="dxa" w:w="100"/>
              <w:right w:type="dxa" w:w="160"/>
            </w:tcMar>
          </w:tcPr>
          <w:p>
            <w:pPr>
              <w:spacing w:after="40" w:before="0"/>
            </w:pPr>
            <w:r>
              <w:rPr>
                <w:rFonts w:ascii="Calibri" w:cs="Calibri" w:eastAsia="Calibri" w:hAnsi="Calibri"/>
                <w:b/>
                <w:bCs/>
                <w:color w:val="BA7517"/>
                <w:sz w:val="19"/>
                <w:szCs w:val="19"/>
              </w:rPr>
              <w:t xml:space="preserve">Gate 4 — </w:t>
            </w:r>
            <w:r>
              <w:rPr>
                <w:rFonts w:ascii="Calibri" w:cs="Calibri" w:eastAsia="Calibri" w:hAnsi="Calibri"/>
                <w:b/>
                <w:bCs/>
                <w:color w:val="633806"/>
                <w:sz w:val="19"/>
                <w:szCs w:val="19"/>
              </w:rPr>
              <w:t xml:space="preserve">Business rules verified</w:t>
            </w:r>
          </w:p>
          <w:p>
            <w:pPr>
              <w:spacing w:after="0" w:before="0"/>
            </w:pPr>
            <w:r>
              <w:rPr>
                <w:rFonts w:ascii="Calibri" w:cs="Calibri" w:eastAsia="Calibri" w:hAnsi="Calibri"/>
                <w:color w:val="633806"/>
                <w:sz w:val="18"/>
                <w:szCs w:val="18"/>
              </w:rPr>
              <w:t xml:space="preserve">Document withholding gate proven by an automated test that cannot be disabled. Deposit recorded on confirmation. Balance payment triggers release. The retry pipeline correctly cycles through failure, retry, and dead-letter states.</w:t>
            </w:r>
          </w:p>
        </w:tc>
      </w:tr>
    </w:tbl>
    <w:p>
      <w:pPr>
        <w:spacing w:after="0" w:before="40"/>
      </w:pPr>
    </w:p>
    <w:p>
      <w:pPr>
        <w:spacing w:after="0" w:before="160"/>
      </w:pPr>
    </w:p>
    <w:tbl>
      <w:tblPr>
        <w:tblW w:type="dxa" w:w="9360"/>
        <w:tblBorders>
          <w:top w:val="none"/>
          <w:left w:val="none"/>
          <w:bottom w:val="none"/>
          <w:right w:val="none"/>
          <w:insideH w:val="single" w:color="auto" w:sz="4"/>
          <w:insideV w:val="single" w:color="auto" w:sz="4"/>
        </w:tblBorders>
      </w:tblPr>
      <w:tblGrid>
        <w:gridCol w:w="360"/>
        <w:gridCol w:w="6360"/>
        <w:gridCol w:w="2640"/>
      </w:tblGrid>
      <w:tr>
        <w:tc>
          <w:tcPr>
            <w:tcW w:type="dxa" w:w="360"/>
            <w:shd w:fill="639922" w:val="clear"/>
            <w:tcMar>
              <w:top w:type="dxa" w:w="120"/>
              <w:left w:type="dxa" w:w="120"/>
              <w:bottom w:type="dxa" w:w="120"/>
              <w:right w:type="dxa" w:w="120"/>
            </w:tcMar>
          </w:tcPr>
          <w:p>
            <w:pPr>
              <w:jc w:val="center"/>
            </w:pPr>
            <w:r>
              <w:rPr>
                <w:rFonts w:ascii="Calibri" w:cs="Calibri" w:eastAsia="Calibri" w:hAnsi="Calibri"/>
                <w:b/>
                <w:bCs/>
                <w:color w:val="FFFFFF"/>
                <w:sz w:val="24"/>
                <w:szCs w:val="24"/>
              </w:rPr>
              <w:t xml:space="preserve">5</w:t>
            </w:r>
          </w:p>
        </w:tc>
        <w:tc>
          <w:tcPr>
            <w:tcW w:type="dxa" w:w="6360"/>
            <w:shd w:fill="EAF3DE" w:val="clear"/>
            <w:tcMar>
              <w:top w:type="dxa" w:w="120"/>
              <w:left w:type="dxa" w:w="160"/>
              <w:bottom w:type="dxa" w:w="120"/>
              <w:right w:type="dxa" w:w="120"/>
            </w:tcMar>
          </w:tcPr>
          <w:p>
            <w:r>
              <w:rPr>
                <w:rFonts w:ascii="Calibri" w:cs="Calibri" w:eastAsia="Calibri" w:hAnsi="Calibri"/>
                <w:b/>
                <w:bCs/>
                <w:color w:val="27500A"/>
                <w:sz w:val="26"/>
                <w:szCs w:val="26"/>
              </w:rPr>
              <w:t xml:space="preserve">Frontend — dashboard &amp; client portal</w:t>
            </w:r>
          </w:p>
        </w:tc>
        <w:tc>
          <w:tcPr>
            <w:tcW w:type="dxa" w:w="2640"/>
            <w:shd w:fill="EAF3DE" w:val="clear"/>
            <w:tcMar>
              <w:top w:type="dxa" w:w="120"/>
              <w:left w:type="dxa" w:w="120"/>
              <w:bottom w:type="dxa" w:w="120"/>
              <w:right w:type="dxa" w:w="160"/>
            </w:tcMar>
          </w:tcPr>
          <w:p>
            <w:pPr>
              <w:jc w:val="right"/>
            </w:pPr>
            <w:r>
              <w:rPr>
                <w:rFonts w:ascii="Calibri" w:cs="Calibri" w:eastAsia="Calibri" w:hAnsi="Calibri"/>
                <w:color w:val="639922"/>
                <w:sz w:val="20"/>
                <w:szCs w:val="20"/>
              </w:rPr>
              <w:t xml:space="preserve">Weeks 10–14</w:t>
            </w:r>
          </w:p>
        </w:tc>
      </w:tr>
    </w:tbl>
    <w:p>
      <w:pPr>
        <w:spacing w:after="0" w:before="6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Next.js project scaffold + TanStack Query</w:t>
            </w:r>
          </w:p>
          <w:p>
            <w:pPr>
              <w:spacing w:after="60" w:before="0"/>
            </w:pPr>
            <w:r>
              <w:rPr>
                <w:rFonts w:ascii="Calibri" w:cs="Calibri" w:eastAsia="Calibri" w:hAnsi="Calibri"/>
                <w:color w:val="555555"/>
                <w:sz w:val="18"/>
                <w:szCs w:val="18"/>
              </w:rPr>
              <w:t xml:space="preserve">App router with environment-based API base URL. Two distinct route groups: /manager (full access) and /portal (client, read-only). Shared component library. Auth context with role-aware routing.</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Office Manager dashboard</w:t>
            </w:r>
          </w:p>
          <w:p>
            <w:pPr>
              <w:spacing w:after="60" w:before="0"/>
            </w:pPr>
            <w:r>
              <w:rPr>
                <w:rFonts w:ascii="Calibri" w:cs="Calibri" w:eastAsia="Calibri" w:hAnsi="Calibri"/>
                <w:color w:val="555555"/>
                <w:sz w:val="18"/>
                <w:szCs w:val="18"/>
              </w:rPr>
              <w:t xml:space="preserve">Orders list with status filter. Order detail view with status transition action buttons. Container allocation view showing CBM utilization. Notification inbox displaying retry status and failed job indicators.</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r>
              <w:rPr>
                <w:rFonts w:ascii="Calibri" w:cs="Calibri" w:eastAsia="Calibri" w:hAnsi="Calibri"/>
                <w:b/>
                <w:bCs/>
                <w:color w:val="3C3489"/>
                <w:sz w:val="17"/>
                <w:szCs w:val="17"/>
                <w:shd w:fill="EEEDFE" w:val="clear"/>
              </w:rPr>
              <w:t xml:space="preserve"> Design </w:t>
            </w:r>
            <w:r>
              <w:rPr>
                <w:rFonts w:ascii="Calibri" w:cs="Calibri" w:eastAsia="Calibri" w:hAnsi="Calibri"/>
                <w:sz w:val="17"/>
                <w:szCs w:val="17"/>
              </w:rPr>
              <w:t xml:space="preserve">  </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Client portal (read-only)</w:t>
            </w:r>
          </w:p>
          <w:p>
            <w:pPr>
              <w:spacing w:after="60" w:before="0"/>
            </w:pPr>
            <w:r>
              <w:rPr>
                <w:rFonts w:ascii="Calibri" w:cs="Calibri" w:eastAsia="Calibri" w:hAnsi="Calibri"/>
                <w:color w:val="555555"/>
                <w:sz w:val="18"/>
                <w:szCs w:val="18"/>
              </w:rPr>
              <w:t xml:space="preserve">Login scoped strictly to the client's own orders. Shipment status timeline view. Document download disabled and visually indicated as pending when payment has not cleared — not simply a missing button.</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r>
              <w:rPr>
                <w:rFonts w:ascii="Calibri" w:cs="Calibri" w:eastAsia="Calibri" w:hAnsi="Calibri"/>
                <w:b/>
                <w:bCs/>
                <w:color w:val="3C3489"/>
                <w:sz w:val="17"/>
                <w:szCs w:val="17"/>
                <w:shd w:fill="EEEDFE" w:val="clear"/>
              </w:rPr>
              <w:t xml:space="preserve"> Design </w:t>
            </w:r>
            <w:r>
              <w:rPr>
                <w:rFonts w:ascii="Calibri" w:cs="Calibri" w:eastAsia="Calibri" w:hAnsi="Calibri"/>
                <w:sz w:val="17"/>
                <w:szCs w:val="17"/>
              </w:rPr>
              <w:t xml:space="preserve">  </w:t>
            </w:r>
          </w:p>
        </w:tc>
      </w:tr>
    </w:tbl>
    <w:p>
      <w:pPr>
        <w:spacing w:after="0" w:before="40"/>
      </w:pPr>
    </w:p>
    <w:p>
      <w:pPr>
        <w:spacing w:after="0" w:before="2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FF8E6" w:val="clear"/>
            <w:tcMar>
              <w:top w:type="dxa" w:w="100"/>
              <w:left w:type="dxa" w:w="80"/>
              <w:bottom w:type="dxa" w:w="100"/>
              <w:right w:type="dxa" w:w="0"/>
            </w:tcMar>
          </w:tcPr>
          <w:p>
            <w:pPr>
              <w:jc w:val="center"/>
            </w:pPr>
            <w:r>
              <w:rPr>
                <w:rFonts w:ascii="Calibri" w:cs="Calibri" w:eastAsia="Calibri" w:hAnsi="Calibri"/>
                <w:color w:val="BA7517"/>
                <w:sz w:val="20"/>
                <w:szCs w:val="20"/>
              </w:rPr>
              <w:t xml:space="preserve">⚑</w:t>
            </w:r>
          </w:p>
        </w:tc>
        <w:tc>
          <w:tcPr>
            <w:tcW w:type="dxa" w:w="9080"/>
            <w:shd w:fill="FFF8E6" w:val="clear"/>
            <w:tcMar>
              <w:top w:type="dxa" w:w="100"/>
              <w:left w:type="dxa" w:w="160"/>
              <w:bottom w:type="dxa" w:w="100"/>
              <w:right w:type="dxa" w:w="160"/>
            </w:tcMar>
          </w:tcPr>
          <w:p>
            <w:pPr>
              <w:spacing w:after="40" w:before="0"/>
            </w:pPr>
            <w:r>
              <w:rPr>
                <w:rFonts w:ascii="Calibri" w:cs="Calibri" w:eastAsia="Calibri" w:hAnsi="Calibri"/>
                <w:b/>
                <w:bCs/>
                <w:color w:val="BA7517"/>
                <w:sz w:val="19"/>
                <w:szCs w:val="19"/>
              </w:rPr>
              <w:t xml:space="preserve">Gate 5 — </w:t>
            </w:r>
            <w:r>
              <w:rPr>
                <w:rFonts w:ascii="Calibri" w:cs="Calibri" w:eastAsia="Calibri" w:hAnsi="Calibri"/>
                <w:b/>
                <w:bCs/>
                <w:color w:val="633806"/>
                <w:sz w:val="19"/>
                <w:szCs w:val="19"/>
              </w:rPr>
              <w:t xml:space="preserve">End-to-end user journey</w:t>
            </w:r>
          </w:p>
          <w:p>
            <w:pPr>
              <w:spacing w:after="0" w:before="0"/>
            </w:pPr>
            <w:r>
              <w:rPr>
                <w:rFonts w:ascii="Calibri" w:cs="Calibri" w:eastAsia="Calibri" w:hAnsi="Calibri"/>
                <w:color w:val="633806"/>
                <w:sz w:val="18"/>
                <w:szCs w:val="18"/>
              </w:rPr>
              <w:t xml:space="preserve">The Office Manager can place and close an order entirely through the UI. A client logs in and sees only their own orders. Document download is visibly blocked until the balance payment is recorded in the system.</w:t>
            </w:r>
          </w:p>
        </w:tc>
      </w:tr>
    </w:tbl>
    <w:p>
      <w:pPr>
        <w:spacing w:after="0" w:before="40"/>
      </w:pPr>
    </w:p>
    <w:p>
      <w:pPr>
        <w:spacing w:after="0" w:before="160"/>
      </w:pPr>
    </w:p>
    <w:tbl>
      <w:tblPr>
        <w:tblW w:type="dxa" w:w="9360"/>
        <w:tblBorders>
          <w:top w:val="none"/>
          <w:left w:val="none"/>
          <w:bottom w:val="none"/>
          <w:right w:val="none"/>
          <w:insideH w:val="single" w:color="auto" w:sz="4"/>
          <w:insideV w:val="single" w:color="auto" w:sz="4"/>
        </w:tblBorders>
      </w:tblPr>
      <w:tblGrid>
        <w:gridCol w:w="360"/>
        <w:gridCol w:w="6360"/>
        <w:gridCol w:w="2640"/>
      </w:tblGrid>
      <w:tr>
        <w:tc>
          <w:tcPr>
            <w:tcW w:type="dxa" w:w="360"/>
            <w:shd w:fill="888780" w:val="clear"/>
            <w:tcMar>
              <w:top w:type="dxa" w:w="120"/>
              <w:left w:type="dxa" w:w="120"/>
              <w:bottom w:type="dxa" w:w="120"/>
              <w:right w:type="dxa" w:w="120"/>
            </w:tcMar>
          </w:tcPr>
          <w:p>
            <w:pPr>
              <w:jc w:val="center"/>
            </w:pPr>
            <w:r>
              <w:rPr>
                <w:rFonts w:ascii="Calibri" w:cs="Calibri" w:eastAsia="Calibri" w:hAnsi="Calibri"/>
                <w:b/>
                <w:bCs/>
                <w:color w:val="FFFFFF"/>
                <w:sz w:val="24"/>
                <w:szCs w:val="24"/>
              </w:rPr>
              <w:t xml:space="preserve">6</w:t>
            </w:r>
          </w:p>
        </w:tc>
        <w:tc>
          <w:tcPr>
            <w:tcW w:type="dxa" w:w="6360"/>
            <w:shd w:fill="F1EFE8" w:val="clear"/>
            <w:tcMar>
              <w:top w:type="dxa" w:w="120"/>
              <w:left w:type="dxa" w:w="160"/>
              <w:bottom w:type="dxa" w:w="120"/>
              <w:right w:type="dxa" w:w="120"/>
            </w:tcMar>
          </w:tcPr>
          <w:p>
            <w:r>
              <w:rPr>
                <w:rFonts w:ascii="Calibri" w:cs="Calibri" w:eastAsia="Calibri" w:hAnsi="Calibri"/>
                <w:b/>
                <w:bCs/>
                <w:color w:val="444441"/>
                <w:sz w:val="26"/>
                <w:szCs w:val="26"/>
              </w:rPr>
              <w:t xml:space="preserve">Portfolio polish &amp; deployment</w:t>
            </w:r>
          </w:p>
        </w:tc>
        <w:tc>
          <w:tcPr>
            <w:tcW w:type="dxa" w:w="2640"/>
            <w:shd w:fill="F1EFE8" w:val="clear"/>
            <w:tcMar>
              <w:top w:type="dxa" w:w="120"/>
              <w:left w:type="dxa" w:w="120"/>
              <w:bottom w:type="dxa" w:w="120"/>
              <w:right w:type="dxa" w:w="160"/>
            </w:tcMar>
          </w:tcPr>
          <w:p>
            <w:pPr>
              <w:jc w:val="right"/>
            </w:pPr>
            <w:r>
              <w:rPr>
                <w:rFonts w:ascii="Calibri" w:cs="Calibri" w:eastAsia="Calibri" w:hAnsi="Calibri"/>
                <w:color w:val="888780"/>
                <w:sz w:val="20"/>
                <w:szCs w:val="20"/>
              </w:rPr>
              <w:t xml:space="preserve">Weeks 14–18</w:t>
            </w:r>
          </w:p>
        </w:tc>
      </w:tr>
    </w:tbl>
    <w:p>
      <w:pPr>
        <w:spacing w:after="0" w:before="6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Bulk operations (portfolio showcase)</w:t>
            </w:r>
          </w:p>
          <w:p>
            <w:pPr>
              <w:spacing w:after="60" w:before="0"/>
            </w:pPr>
            <w:r>
              <w:rPr>
                <w:rFonts w:ascii="Calibri" w:cs="Calibri" w:eastAsia="Calibri" w:hAnsi="Calibri"/>
                <w:color w:val="555555"/>
                <w:sz w:val="18"/>
                <w:szCs w:val="18"/>
              </w:rPr>
              <w:t xml:space="preserve">Bulk status update endpoint with transactional rollback on partial failure. Bulk document release after a payment batch. Migration scripts with retry logic and structured error reporting. These demonstrate the backend engineering depth the project is built to showcase.</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r>
              <w:rPr>
                <w:rFonts w:ascii="Calibri" w:cs="Calibri" w:eastAsia="Calibri" w:hAnsi="Calibri"/>
                <w:b/>
                <w:bCs/>
                <w:color w:val="712B13"/>
                <w:sz w:val="17"/>
                <w:szCs w:val="17"/>
                <w:shd w:fill="FAECE7" w:val="clear"/>
              </w:rPr>
              <w:t xml:space="preserve"> Test </w:t>
            </w:r>
            <w:r>
              <w:rPr>
                <w:rFonts w:ascii="Calibri" w:cs="Calibri" w:eastAsia="Calibri" w:hAnsi="Calibri"/>
                <w:sz w:val="17"/>
                <w:szCs w:val="17"/>
              </w:rPr>
              <w:t xml:space="preserve">  </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Error handling &amp; observability</w:t>
            </w:r>
          </w:p>
          <w:p>
            <w:pPr>
              <w:spacing w:after="60" w:before="0"/>
            </w:pPr>
            <w:r>
              <w:rPr>
                <w:rFonts w:ascii="Calibri" w:cs="Calibri" w:eastAsia="Calibri" w:hAnsi="Calibri"/>
                <w:color w:val="555555"/>
                <w:sz w:val="18"/>
                <w:szCs w:val="18"/>
              </w:rPr>
              <w:t xml:space="preserve">Structured error responses with consistent shape across all endpoints. Dead-letter queue visible in the dashboard. Request logging with correlation IDs. Health check endpoint used by deployment platform probes.</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Production deployment</w:t>
            </w:r>
          </w:p>
          <w:p>
            <w:pPr>
              <w:spacing w:after="60" w:before="0"/>
            </w:pPr>
            <w:r>
              <w:rPr>
                <w:rFonts w:ascii="Calibri" w:cs="Calibri" w:eastAsia="Calibri" w:hAnsi="Calibri"/>
                <w:color w:val="555555"/>
                <w:sz w:val="18"/>
                <w:szCs w:val="18"/>
              </w:rPr>
              <w:t xml:space="preserve">Deployed to Railway (managed Postgres and Redis plugins) or a VPS with docker compose. Environment variables replace all Compose DNS hostnames — DATABASE_URL and REDIS_URL injected by the platform. CI/CD pipeline runs migrations before each deploy.</w:t>
            </w:r>
          </w:p>
          <w:p>
            <w:pPr>
              <w:spacing w:after="0" w:before="0"/>
            </w:pPr>
            <w:r>
              <w:rPr>
                <w:rFonts w:ascii="Calibri" w:cs="Calibri" w:eastAsia="Calibri" w:hAnsi="Calibri"/>
                <w:b/>
                <w:bCs/>
                <w:color w:val="27500A"/>
                <w:sz w:val="17"/>
                <w:szCs w:val="17"/>
                <w:shd w:fill="EAF3DE" w:val="clear"/>
              </w:rPr>
              <w:t xml:space="preserve"> Code </w:t>
            </w:r>
            <w:r>
              <w:rPr>
                <w:rFonts w:ascii="Calibri" w:cs="Calibri" w:eastAsia="Calibri" w:hAnsi="Calibri"/>
                <w:sz w:val="17"/>
                <w:szCs w:val="17"/>
              </w:rPr>
              <w:t xml:space="preserve">  </w:t>
            </w:r>
          </w:p>
        </w:tc>
      </w:tr>
    </w:tbl>
    <w:p>
      <w:pPr>
        <w:spacing w:after="0" w:before="4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5F4F0" w:val="clear"/>
            <w:tcMar>
              <w:top w:type="dxa" w:w="80"/>
              <w:left w:type="dxa" w:w="100"/>
              <w:bottom w:type="dxa" w:w="80"/>
              <w:right w:type="dxa" w:w="0"/>
            </w:tcMar>
          </w:tcPr>
          <w:p>
            <w:pPr>
              <w:jc w:val="center"/>
            </w:pPr>
            <w:r>
              <w:rPr>
                <w:rFonts w:ascii="Calibri" w:cs="Calibri" w:eastAsia="Calibri" w:hAnsi="Calibri"/>
                <w:color w:val="888780"/>
                <w:sz w:val="18"/>
                <w:szCs w:val="18"/>
              </w:rPr>
              <w:t xml:space="preserve">▸</w:t>
            </w:r>
          </w:p>
        </w:tc>
        <w:tc>
          <w:tcPr>
            <w:tcW w:type="dxa" w:w="9080"/>
            <w:tcBorders>
              <w:top w:val="none"/>
              <w:left w:val="none"/>
              <w:bottom w:val="single" w:color="EEEEEE" w:sz="4"/>
              <w:right w:val="none"/>
            </w:tcBorders>
            <w:shd w:fill="FFFFFF" w:val="clear"/>
            <w:tcMar>
              <w:top w:type="dxa" w:w="80"/>
              <w:left w:type="dxa" w:w="160"/>
              <w:bottom w:type="dxa" w:w="80"/>
              <w:right w:type="dxa" w:w="120"/>
            </w:tcMar>
          </w:tcPr>
          <w:p>
            <w:pPr>
              <w:spacing w:after="40" w:before="0"/>
            </w:pPr>
            <w:r>
              <w:rPr>
                <w:rFonts w:ascii="Calibri" w:cs="Calibri" w:eastAsia="Calibri" w:hAnsi="Calibri"/>
                <w:b/>
                <w:bCs/>
                <w:color w:val="1A1A1A"/>
                <w:sz w:val="20"/>
                <w:szCs w:val="20"/>
              </w:rPr>
              <w:t xml:space="preserve">Portfolio README &amp; case study</w:t>
            </w:r>
          </w:p>
          <w:p>
            <w:pPr>
              <w:spacing w:after="60" w:before="0"/>
            </w:pPr>
            <w:r>
              <w:rPr>
                <w:rFonts w:ascii="Calibri" w:cs="Calibri" w:eastAsia="Calibri" w:hAnsi="Calibri"/>
                <w:color w:val="555555"/>
                <w:sz w:val="18"/>
                <w:szCs w:val="18"/>
              </w:rPr>
              <w:t xml:space="preserve">README covers: domain story and interview source, architecture decisions, state machine design, bulk operations pattern, and notification retry design. Links to the live demo and all design artifact PDFs including this document.</w:t>
            </w:r>
          </w:p>
          <w:p>
            <w:pPr>
              <w:spacing w:after="0" w:before="0"/>
            </w:pPr>
            <w:r>
              <w:rPr>
                <w:rFonts w:ascii="Calibri" w:cs="Calibri" w:eastAsia="Calibri" w:hAnsi="Calibri"/>
                <w:b/>
                <w:bCs/>
                <w:color w:val="0C447C"/>
                <w:sz w:val="17"/>
                <w:szCs w:val="17"/>
                <w:shd w:fill="E6F1FB" w:val="clear"/>
              </w:rPr>
              <w:t xml:space="preserve"> Doc </w:t>
            </w:r>
            <w:r>
              <w:rPr>
                <w:rFonts w:ascii="Calibri" w:cs="Calibri" w:eastAsia="Calibri" w:hAnsi="Calibri"/>
                <w:sz w:val="17"/>
                <w:szCs w:val="17"/>
              </w:rPr>
              <w:t xml:space="preserve">  </w:t>
            </w:r>
            <w:r>
              <w:rPr>
                <w:rFonts w:ascii="Calibri" w:cs="Calibri" w:eastAsia="Calibri" w:hAnsi="Calibri"/>
                <w:b/>
                <w:bCs/>
                <w:color w:val="3C3489"/>
                <w:sz w:val="17"/>
                <w:szCs w:val="17"/>
                <w:shd w:fill="EEEDFE" w:val="clear"/>
              </w:rPr>
              <w:t xml:space="preserve"> Design </w:t>
            </w:r>
            <w:r>
              <w:rPr>
                <w:rFonts w:ascii="Calibri" w:cs="Calibri" w:eastAsia="Calibri" w:hAnsi="Calibri"/>
                <w:sz w:val="17"/>
                <w:szCs w:val="17"/>
              </w:rPr>
              <w:t xml:space="preserve">  </w:t>
            </w:r>
          </w:p>
        </w:tc>
      </w:tr>
    </w:tbl>
    <w:p>
      <w:pPr>
        <w:spacing w:after="0" w:before="40"/>
      </w:pPr>
    </w:p>
    <w:p>
      <w:pPr>
        <w:spacing w:after="0" w:before="20"/>
      </w:pPr>
    </w:p>
    <w:tbl>
      <w:tblPr>
        <w:tblW w:type="dxa" w:w="9360"/>
        <w:tblBorders>
          <w:top w:val="none"/>
          <w:left w:val="none"/>
          <w:bottom w:val="none"/>
          <w:right w:val="none"/>
          <w:insideH w:val="single" w:color="auto" w:sz="4"/>
          <w:insideV w:val="single" w:color="auto" w:sz="4"/>
        </w:tblBorders>
      </w:tblPr>
      <w:tblGrid>
        <w:gridCol w:w="280"/>
        <w:gridCol w:w="9080"/>
      </w:tblGrid>
      <w:tr>
        <w:tc>
          <w:tcPr>
            <w:tcW w:type="dxa" w:w="280"/>
            <w:shd w:fill="FFF8E6" w:val="clear"/>
            <w:tcMar>
              <w:top w:type="dxa" w:w="100"/>
              <w:left w:type="dxa" w:w="80"/>
              <w:bottom w:type="dxa" w:w="100"/>
              <w:right w:type="dxa" w:w="0"/>
            </w:tcMar>
          </w:tcPr>
          <w:p>
            <w:pPr>
              <w:jc w:val="center"/>
            </w:pPr>
            <w:r>
              <w:rPr>
                <w:rFonts w:ascii="Calibri" w:cs="Calibri" w:eastAsia="Calibri" w:hAnsi="Calibri"/>
                <w:color w:val="BA7517"/>
                <w:sz w:val="20"/>
                <w:szCs w:val="20"/>
              </w:rPr>
              <w:t xml:space="preserve">⚑</w:t>
            </w:r>
          </w:p>
        </w:tc>
        <w:tc>
          <w:tcPr>
            <w:tcW w:type="dxa" w:w="9080"/>
            <w:shd w:fill="FFF8E6" w:val="clear"/>
            <w:tcMar>
              <w:top w:type="dxa" w:w="100"/>
              <w:left w:type="dxa" w:w="160"/>
              <w:bottom w:type="dxa" w:w="100"/>
              <w:right w:type="dxa" w:w="160"/>
            </w:tcMar>
          </w:tcPr>
          <w:p>
            <w:pPr>
              <w:spacing w:after="40" w:before="0"/>
            </w:pPr>
            <w:r>
              <w:rPr>
                <w:rFonts w:ascii="Calibri" w:cs="Calibri" w:eastAsia="Calibri" w:hAnsi="Calibri"/>
                <w:b/>
                <w:bCs/>
                <w:color w:val="BA7517"/>
                <w:sz w:val="19"/>
                <w:szCs w:val="19"/>
              </w:rPr>
              <w:t xml:space="preserve">Gate 6 — </w:t>
            </w:r>
            <w:r>
              <w:rPr>
                <w:rFonts w:ascii="Calibri" w:cs="Calibri" w:eastAsia="Calibri" w:hAnsi="Calibri"/>
                <w:b/>
                <w:bCs/>
                <w:color w:val="633806"/>
                <w:sz w:val="19"/>
                <w:szCs w:val="19"/>
              </w:rPr>
              <w:t xml:space="preserve">Launch ready</w:t>
            </w:r>
          </w:p>
          <w:p>
            <w:pPr>
              <w:spacing w:after="0" w:before="0"/>
            </w:pPr>
            <w:r>
              <w:rPr>
                <w:rFonts w:ascii="Calibri" w:cs="Calibri" w:eastAsia="Calibri" w:hAnsi="Calibri"/>
                <w:color w:val="633806"/>
                <w:sz w:val="18"/>
                <w:szCs w:val="18"/>
              </w:rPr>
              <w:t xml:space="preserve">Live URL accessible with seed data loaded. Bulk operations demonstrated in the README with code references. All diagrams linked. A technical reviewer can walk the codebase from README to implementation without asking any questions.</w:t>
            </w:r>
          </w:p>
        </w:tc>
      </w:tr>
    </w:tbl>
    <w:p>
      <w:pPr>
        <w:spacing w:after="0" w:before="40"/>
      </w:pPr>
    </w:p>
    <w:p>
      <w:pPr>
        <w:spacing w:after="0" w:before="160"/>
      </w:pPr>
    </w:p>
    <w:p>
      <w:pPr>
        <w:pBdr>
          <w:bottom w:val="single" w:color="DDDDDD" w:sz="4"/>
        </w:pBdr>
        <w:spacing w:after="80" w:before="0"/>
      </w:pPr>
    </w:p>
    <w:p>
      <w:pPr>
        <w:pStyle w:val="Heading2"/>
        <w:spacing w:after="80" w:before="120"/>
      </w:pPr>
      <w:r>
        <w:rPr>
          <w:rFonts w:ascii="Calibri" w:cs="Calibri" w:eastAsia="Calibri" w:hAnsi="Calibri"/>
          <w:b/>
          <w:bCs/>
          <w:color w:val="1A1A1A"/>
          <w:sz w:val="28"/>
          <w:szCs w:val="28"/>
        </w:rPr>
        <w:t xml:space="preserve">Implementation notes</w:t>
      </w:r>
    </w:p>
    <w:p>
      <w:pPr>
        <w:spacing w:after="40" w:before="120"/>
      </w:pPr>
      <w:r>
        <w:rPr>
          <w:rFonts w:ascii="Calibri" w:cs="Calibri" w:eastAsia="Calibri" w:hAnsi="Calibri"/>
          <w:b/>
          <w:bCs/>
          <w:color w:val="1A1A1A"/>
          <w:sz w:val="20"/>
          <w:szCs w:val="20"/>
        </w:rPr>
        <w:t xml:space="preserve">Current position</w:t>
      </w:r>
    </w:p>
    <w:p>
      <w:pPr>
        <w:spacing w:after="80" w:before="0"/>
      </w:pPr>
      <w:r>
        <w:rPr>
          <w:rFonts w:ascii="Calibri" w:cs="Calibri" w:eastAsia="Calibri" w:hAnsi="Calibri"/>
          <w:color w:val="555555"/>
          <w:sz w:val="20"/>
          <w:szCs w:val="20"/>
        </w:rPr>
        <w:t xml:space="preserve">Phase 0 is in progress. The requirements document, ERD, and state diagrams are complete. The remaining two diagrams (actor/swimlane flow and NOTIFICATIONS retry pipeline) are the only outstanding items before Gate 0.</w:t>
      </w:r>
    </w:p>
    <w:p>
      <w:pPr>
        <w:spacing w:after="40" w:before="120"/>
      </w:pPr>
      <w:r>
        <w:rPr>
          <w:rFonts w:ascii="Calibri" w:cs="Calibri" w:eastAsia="Calibri" w:hAnsi="Calibri"/>
          <w:b/>
          <w:bCs/>
          <w:color w:val="1A1A1A"/>
          <w:sz w:val="20"/>
          <w:szCs w:val="20"/>
        </w:rPr>
        <w:t xml:space="preserve">Phase overlap</w:t>
      </w:r>
    </w:p>
    <w:p>
      <w:pPr>
        <w:spacing w:after="80" w:before="0"/>
      </w:pPr>
      <w:r>
        <w:rPr>
          <w:rFonts w:ascii="Calibri" w:cs="Calibri" w:eastAsia="Calibri" w:hAnsi="Calibri"/>
          <w:color w:val="555555"/>
          <w:sz w:val="20"/>
          <w:szCs w:val="20"/>
        </w:rPr>
        <w:t xml:space="preserve">Phases 2, 3, and 4 are backend-sequential. Phase 5 (frontend) can begin scaffolding while Phase 4 is in progress, once the API contracts from Phase 2 are stable.</w:t>
      </w:r>
    </w:p>
    <w:p>
      <w:pPr>
        <w:spacing w:after="40" w:before="120"/>
      </w:pPr>
      <w:r>
        <w:rPr>
          <w:rFonts w:ascii="Calibri" w:cs="Calibri" w:eastAsia="Calibri" w:hAnsi="Calibri"/>
          <w:b/>
          <w:bCs/>
          <w:color w:val="1A1A1A"/>
          <w:sz w:val="20"/>
          <w:szCs w:val="20"/>
        </w:rPr>
        <w:t xml:space="preserve">Gate behavior</w:t>
      </w:r>
    </w:p>
    <w:p>
      <w:pPr>
        <w:spacing w:after="80" w:before="0"/>
      </w:pPr>
      <w:r>
        <w:rPr>
          <w:rFonts w:ascii="Calibri" w:cs="Calibri" w:eastAsia="Calibri" w:hAnsi="Calibri"/>
          <w:color w:val="555555"/>
          <w:sz w:val="20"/>
          <w:szCs w:val="20"/>
        </w:rPr>
        <w:t xml:space="preserve">Gates are binary conditions, not reviews. Work stays in the current phase until the gate condition is fully satisfied. Gates should be verified by running the listed test or scenario, not by inspection.</w:t>
      </w:r>
    </w:p>
    <w:p>
      <w:pPr>
        <w:spacing w:after="40" w:before="120"/>
      </w:pPr>
      <w:r>
        <w:rPr>
          <w:rFonts w:ascii="Calibri" w:cs="Calibri" w:eastAsia="Calibri" w:hAnsi="Calibri"/>
          <w:b/>
          <w:bCs/>
          <w:color w:val="1A1A1A"/>
          <w:sz w:val="20"/>
          <w:szCs w:val="20"/>
        </w:rPr>
        <w:t xml:space="preserve">Bulk operations</w:t>
      </w:r>
    </w:p>
    <w:p>
      <w:pPr>
        <w:spacing w:after="80" w:before="0"/>
      </w:pPr>
      <w:r>
        <w:rPr>
          <w:rFonts w:ascii="Calibri" w:cs="Calibri" w:eastAsia="Calibri" w:hAnsi="Calibri"/>
          <w:color w:val="555555"/>
          <w:sz w:val="20"/>
          <w:szCs w:val="20"/>
        </w:rPr>
        <w:t xml:space="preserve">The bulk operations milestone in Phase 6 is the primary portfolio differentiation point. It should be prominently documented in the README, with the transactional rollback scenario explained and linked to the implementation.</w:t>
      </w:r>
    </w:p>
    <w:p>
      <w:pPr>
        <w:spacing w:after="40" w:before="120"/>
      </w:pPr>
      <w:r>
        <w:rPr>
          <w:rFonts w:ascii="Calibri" w:cs="Calibri" w:eastAsia="Calibri" w:hAnsi="Calibri"/>
          <w:b/>
          <w:bCs/>
          <w:color w:val="1A1A1A"/>
          <w:sz w:val="20"/>
          <w:szCs w:val="20"/>
        </w:rPr>
        <w:t xml:space="preserve">Document withholding</w:t>
      </w:r>
    </w:p>
    <w:p>
      <w:pPr>
        <w:spacing w:after="80" w:before="0"/>
      </w:pPr>
      <w:r>
        <w:rPr>
          <w:rFonts w:ascii="Calibri" w:cs="Calibri" w:eastAsia="Calibri" w:hAnsi="Calibri"/>
          <w:color w:val="555555"/>
          <w:sz w:val="20"/>
          <w:szCs w:val="20"/>
        </w:rPr>
        <w:t xml:space="preserve">The document release gate in Phase 4 is the strongest business rule in the domain. Its integration test should be the most complete test in the suite and should be referenced explicitly in the case study.</w:t>
      </w:r>
    </w:p>
    <w:p>
      <w:pPr>
        <w:spacing w:after="40" w:before="120"/>
      </w:pPr>
      <w:r>
        <w:rPr>
          <w:rFonts w:ascii="Calibri" w:cs="Calibri" w:eastAsia="Calibri" w:hAnsi="Calibri"/>
          <w:b/>
          <w:bCs/>
          <w:color w:val="1A1A1A"/>
          <w:sz w:val="20"/>
          <w:szCs w:val="20"/>
        </w:rPr>
        <w:t xml:space="preserve">Environment portability</w:t>
      </w:r>
    </w:p>
    <w:p>
      <w:pPr>
        <w:spacing w:after="80" w:before="0"/>
      </w:pPr>
      <w:r>
        <w:rPr>
          <w:rFonts w:ascii="Calibri" w:cs="Calibri" w:eastAsia="Calibri" w:hAnsi="Calibri"/>
          <w:color w:val="555555"/>
          <w:sz w:val="20"/>
          <w:szCs w:val="20"/>
        </w:rPr>
        <w:t xml:space="preserve">No service hostname is hardcoded at any phase. All connection details are read from environment variables. This ensures the Docker Compose local setup and the production platform share identical application code.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after="0" w:before="120"/>
      <w:jc w:val="right"/>
    </w:pPr>
    <w:r>
      <w:rPr>
        <w:rFonts w:ascii="Calibri" w:cs="Calibri" w:eastAsia="Calibri" w:hAnsi="Calibri"/>
        <w:color w:val="888780"/>
        <w:sz w:val="16"/>
        <w:szCs w:val="16"/>
      </w:rPr>
      <w:fldChar w:fldCharType="begin"/>
      <w:instrText xml:space="preserve">PAGE</w:instrText>
      <w:fldChar w:fldCharType="separate"/>
      <w:fldChar w:fldCharType="end"/>
    </w:r>
    <w:r>
      <w:rPr>
        <w:rFonts w:ascii="Calibri" w:cs="Calibri" w:eastAsia="Calibri" w:hAnsi="Calibri"/>
        <w:color w:val="888780"/>
        <w:sz w:val="16"/>
        <w:szCs w:val="16"/>
      </w:rPr>
      <w:t xml:space="preserve"> / </w:t>
    </w:r>
    <w:r>
      <w:rPr>
        <w:rFonts w:ascii="Calibri" w:cs="Calibri" w:eastAsia="Calibri" w:hAnsi="Calibri"/>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120" w:before="0"/>
    </w:pPr>
    <w:r>
      <w:rPr>
        <w:rFonts w:ascii="Calibri" w:cs="Calibri" w:eastAsia="Calibri" w:hAnsi="Calibri"/>
        <w:color w:val="888780"/>
        <w:sz w:val="16"/>
        <w:szCs w:val="16"/>
      </w:rPr>
      <w:t xml:space="preserve">Logistics &amp; Import-Export Management Platform  ·  Project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2026-08-18T16:39:33.712Z</dcterms:created>
  <dcterms:modified xsi:type="dcterms:W3CDTF">2026-08-18T16:39:33.713Z</dcterms:modified>
</cp:coreProperties>
</file>

<file path=docProps/custom.xml><?xml version="1.0" encoding="utf-8"?>
<Properties xmlns="http://schemas.openxmlformats.org/officeDocument/2006/custom-properties" xmlns:vt="http://schemas.openxmlformats.org/officeDocument/2006/docPropsVTypes"/>
</file>