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11" w:rsidRPr="00D01818" w:rsidRDefault="00D01818" w:rsidP="00BA23AB">
      <w:pPr>
        <w:pStyle w:val="3"/>
        <w:jc w:val="center"/>
      </w:pPr>
      <w:r>
        <w:t>КЛАССИФИЦИРУЕМ ТОНАЛЬНО ПРОСТО</w:t>
      </w:r>
      <w:r w:rsidRPr="00D01818">
        <w:t xml:space="preserve">: </w:t>
      </w:r>
      <w:r w:rsidR="00756416">
        <w:t xml:space="preserve">СОЗДАНИЕ </w:t>
      </w:r>
      <w:r>
        <w:t xml:space="preserve">И ПРИМЕНЕНИЕ ЛЕКСИКОНОВ </w:t>
      </w:r>
      <w:r w:rsidRPr="00D01818">
        <w:t xml:space="preserve">ДЛЯ ТОНАЛЬНОЙ КЛАССИФИКАЦИИ </w:t>
      </w:r>
      <w:r>
        <w:t>СООБЩЕНИЙ</w:t>
      </w:r>
    </w:p>
    <w:p w:rsidR="006032DB" w:rsidRDefault="006032DB" w:rsidP="006032DB">
      <w:pPr>
        <w:ind w:firstLine="0"/>
        <w:jc w:val="center"/>
        <w:rPr>
          <w:szCs w:val="22"/>
        </w:rPr>
      </w:pPr>
      <w:r>
        <w:rPr>
          <w:szCs w:val="22"/>
        </w:rPr>
        <w:t>Лукашевич Н.В. (</w:t>
      </w:r>
      <w:proofErr w:type="spellStart"/>
      <w:r w:rsidRPr="006032DB">
        <w:rPr>
          <w:color w:val="000000" w:themeColor="text1"/>
          <w:szCs w:val="22"/>
          <w:lang w:val="en-US"/>
        </w:rPr>
        <w:t>louk</w:t>
      </w:r>
      <w:proofErr w:type="spellEnd"/>
      <w:r w:rsidRPr="006032DB">
        <w:rPr>
          <w:color w:val="000000" w:themeColor="text1"/>
          <w:szCs w:val="22"/>
        </w:rPr>
        <w:t>_</w:t>
      </w:r>
      <w:proofErr w:type="spellStart"/>
      <w:r w:rsidRPr="006032DB">
        <w:rPr>
          <w:color w:val="000000" w:themeColor="text1"/>
          <w:szCs w:val="22"/>
          <w:lang w:val="en-US"/>
        </w:rPr>
        <w:t>nat</w:t>
      </w:r>
      <w:proofErr w:type="spellEnd"/>
      <w:r w:rsidRPr="006032DB">
        <w:rPr>
          <w:color w:val="000000" w:themeColor="text1"/>
          <w:szCs w:val="22"/>
        </w:rPr>
        <w:t>@</w:t>
      </w:r>
      <w:r w:rsidRPr="006032DB">
        <w:rPr>
          <w:color w:val="000000" w:themeColor="text1"/>
          <w:szCs w:val="22"/>
          <w:lang w:val="en-US"/>
        </w:rPr>
        <w:t>mail</w:t>
      </w:r>
      <w:r w:rsidRPr="006032DB">
        <w:rPr>
          <w:color w:val="000000" w:themeColor="text1"/>
          <w:szCs w:val="22"/>
        </w:rPr>
        <w:t>.</w:t>
      </w:r>
      <w:proofErr w:type="spellStart"/>
      <w:r w:rsidRPr="006032DB">
        <w:rPr>
          <w:color w:val="000000" w:themeColor="text1"/>
          <w:szCs w:val="22"/>
          <w:lang w:val="en-US"/>
        </w:rPr>
        <w:t>ru</w:t>
      </w:r>
      <w:proofErr w:type="spellEnd"/>
      <w:r>
        <w:rPr>
          <w:szCs w:val="22"/>
        </w:rPr>
        <w:t>)</w:t>
      </w:r>
    </w:p>
    <w:p w:rsidR="004B02F5" w:rsidRPr="00756416" w:rsidRDefault="00650491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  <w:r w:rsidR="006032DB" w:rsidRPr="006032DB">
        <w:rPr>
          <w:szCs w:val="22"/>
        </w:rPr>
        <w:t xml:space="preserve">, </w:t>
      </w:r>
      <w:r w:rsidRPr="00754771">
        <w:rPr>
          <w:szCs w:val="22"/>
        </w:rPr>
        <w:t>МГТУ им. Н</w:t>
      </w:r>
      <w:r w:rsidRPr="00756416">
        <w:rPr>
          <w:szCs w:val="22"/>
          <w:lang w:val="en-US"/>
        </w:rPr>
        <w:t>.</w:t>
      </w:r>
      <w:r w:rsidRPr="00754771">
        <w:rPr>
          <w:szCs w:val="22"/>
        </w:rPr>
        <w:t>Э</w:t>
      </w:r>
      <w:r w:rsidRPr="00756416">
        <w:rPr>
          <w:szCs w:val="22"/>
          <w:lang w:val="en-US"/>
        </w:rPr>
        <w:t xml:space="preserve">. </w:t>
      </w:r>
      <w:r w:rsidRPr="00754771">
        <w:rPr>
          <w:szCs w:val="22"/>
        </w:rPr>
        <w:t>Баумана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Москва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Россия</w:t>
      </w:r>
    </w:p>
    <w:p w:rsidR="004B02F5" w:rsidRDefault="00756416" w:rsidP="002E4B0E">
      <w:pPr>
        <w:pStyle w:val="1"/>
        <w:ind w:left="357"/>
        <w:rPr>
          <w:lang w:val="en-US"/>
        </w:rPr>
      </w:pPr>
      <w:r>
        <w:rPr>
          <w:lang w:val="en-US"/>
        </w:rPr>
        <w:t xml:space="preserve"> М</w:t>
      </w:r>
      <w:r w:rsidR="00816D65">
        <w:rPr>
          <w:lang w:val="en-US"/>
        </w:rPr>
        <w:t>AKING SENTIMENT CLASSIFICATION SIMPLE</w:t>
      </w:r>
      <w:r w:rsidR="00D01818">
        <w:rPr>
          <w:lang w:val="en-US"/>
        </w:rPr>
        <w:t xml:space="preserve">: BUILDING AND APPLYING LEXICONS </w:t>
      </w:r>
      <w:r w:rsidR="006032DB">
        <w:rPr>
          <w:lang w:val="en-US"/>
        </w:rPr>
        <w:t>FOR SENTIMENT CLASSIFICATION TASK</w:t>
      </w:r>
    </w:p>
    <w:p w:rsidR="006032DB" w:rsidRPr="006032DB" w:rsidRDefault="006032DB" w:rsidP="006032DB">
      <w:pPr>
        <w:pStyle w:val="Textbody"/>
        <w:jc w:val="center"/>
        <w:rPr>
          <w:lang w:val="en-US"/>
        </w:rPr>
      </w:pPr>
      <w:r w:rsidRPr="006032DB">
        <w:rPr>
          <w:bCs/>
          <w:noProof/>
          <w:lang w:val="en-US"/>
        </w:rPr>
        <w:t>Loukachevitch</w:t>
      </w:r>
      <w:r>
        <w:rPr>
          <w:bCs/>
          <w:noProof/>
          <w:lang w:val="en-US"/>
        </w:rPr>
        <w:t xml:space="preserve"> N.V. </w:t>
      </w:r>
      <w:r w:rsidRPr="006032DB">
        <w:rPr>
          <w:szCs w:val="22"/>
          <w:lang w:val="en-US"/>
        </w:rPr>
        <w:t>(</w:t>
      </w:r>
      <w:r w:rsidRPr="006032DB">
        <w:rPr>
          <w:color w:val="000000" w:themeColor="text1"/>
          <w:szCs w:val="22"/>
          <w:lang w:val="en-US"/>
        </w:rPr>
        <w:t>louk_nat@mail.ru</w:t>
      </w:r>
      <w:r>
        <w:rPr>
          <w:color w:val="000000" w:themeColor="text1"/>
          <w:szCs w:val="22"/>
          <w:lang w:val="en-US"/>
        </w:rPr>
        <w:t>)</w:t>
      </w:r>
    </w:p>
    <w:p w:rsidR="004B02F5" w:rsidRPr="00754771" w:rsidRDefault="004B02F5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="006032DB">
        <w:rPr>
          <w:szCs w:val="22"/>
          <w:lang w:val="en-US"/>
        </w:rPr>
        <w:t xml:space="preserve">), </w:t>
      </w: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2E4B0E">
      <w:pPr>
        <w:pStyle w:val="1"/>
        <w:ind w:left="0" w:firstLine="284"/>
        <w:rPr>
          <w:lang w:val="en-US"/>
        </w:rPr>
      </w:pPr>
      <w:r w:rsidRPr="000E2923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2E4B0E">
      <w:pPr>
        <w:pStyle w:val="1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</w:t>
      </w:r>
      <w:r w:rsidRPr="00754771">
        <w:rPr>
          <w:szCs w:val="22"/>
        </w:rPr>
        <w:lastRenderedPageBreak/>
        <w:t xml:space="preserve">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нейтральному, и положительному.</w:t>
      </w:r>
    </w:p>
    <w:p w:rsidR="00A91975" w:rsidRDefault="00765FE3" w:rsidP="00A91975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BA23AB" w:rsidRDefault="00BA23AB" w:rsidP="00BA23AB">
      <w:pPr>
        <w:pStyle w:val="1"/>
      </w:pPr>
      <w:r>
        <w:t xml:space="preserve">1. </w:t>
      </w:r>
      <w:r w:rsidR="002361C6">
        <w:t xml:space="preserve">Обзор </w:t>
      </w:r>
      <w:r w:rsidR="002361C6" w:rsidRPr="00BA23AB">
        <w:t>близких</w:t>
      </w:r>
      <w:r w:rsidR="002361C6">
        <w:t xml:space="preserve"> подходов</w:t>
      </w:r>
    </w:p>
    <w:p w:rsidR="00437D2A" w:rsidRDefault="00BA23AB" w:rsidP="00BA23AB">
      <w:pPr>
        <w:pStyle w:val="2"/>
      </w:pPr>
      <w:r>
        <w:t xml:space="preserve">1.1 </w:t>
      </w:r>
      <w:r w:rsidR="00437D2A" w:rsidRPr="00BA23AB">
        <w:t>Автоматическое</w:t>
      </w:r>
      <w:r w:rsidR="00437D2A">
        <w:t xml:space="preserve"> порождение </w:t>
      </w:r>
      <w:r w:rsidR="000D21D6">
        <w:t xml:space="preserve">тональных лексиконов -- словаря оценочных слов </w:t>
      </w:r>
      <w:r w:rsidR="000D21D6" w:rsidRPr="000D21D6">
        <w:t>(</w:t>
      </w:r>
      <w:r w:rsidR="00D54A07" w:rsidRPr="00BA23AB">
        <w:rPr>
          <w:lang w:val="en-US"/>
        </w:rPr>
        <w:t>Severyn</w:t>
      </w:r>
      <w:r w:rsidR="00D54A07" w:rsidRPr="00D54A07">
        <w:t xml:space="preserve"> </w:t>
      </w:r>
      <w:r w:rsidR="00D54A07" w:rsidRPr="00BA23AB">
        <w:rPr>
          <w:lang w:val="en-US"/>
        </w:rPr>
        <w:t>A</w:t>
      </w:r>
      <w:r w:rsidR="00D54A07">
        <w:t>.</w:t>
      </w:r>
      <w:r w:rsidR="000D21D6" w:rsidRPr="000D21D6">
        <w:t xml:space="preserve">, </w:t>
      </w:r>
      <w:r w:rsidR="000D21D6" w:rsidRPr="00BA23AB">
        <w:rPr>
          <w:lang w:val="en-US"/>
        </w:rPr>
        <w:t>Moschitti</w:t>
      </w:r>
      <w:r w:rsidR="000D21D6" w:rsidRPr="000D21D6">
        <w:t xml:space="preserve"> </w:t>
      </w:r>
      <w:r w:rsidR="000D21D6" w:rsidRPr="00BA23AB">
        <w:rPr>
          <w:lang w:val="en-US"/>
        </w:rPr>
        <w:t>A</w:t>
      </w:r>
      <w:r w:rsidR="000D21D6" w:rsidRPr="000D21D6">
        <w:t>.)</w:t>
      </w:r>
    </w:p>
    <w:p w:rsidR="000E2923" w:rsidRDefault="000E2923" w:rsidP="000E2923">
      <w:r>
        <w:t>В работе</w:t>
      </w:r>
      <w:r w:rsidR="000D21D6">
        <w:t xml:space="preserve"> </w:t>
      </w:r>
      <w:sdt>
        <w:sdtPr>
          <w:id w:val="-380019412"/>
          <w:citation/>
        </w:sdtPr>
        <w:sdtContent>
          <w:r w:rsidR="000D21D6">
            <w:fldChar w:fldCharType="begin"/>
          </w:r>
          <w:r w:rsidR="000D21D6">
            <w:instrText xml:space="preserve"> CITATION Ale \l 1049 </w:instrText>
          </w:r>
          <w:r w:rsidR="000D21D6">
            <w:fldChar w:fldCharType="separate"/>
          </w:r>
          <w:r w:rsidR="000D21D6">
            <w:rPr>
              <w:noProof/>
            </w:rPr>
            <w:t>(Severyn A.)</w:t>
          </w:r>
          <w:r w:rsidR="000D21D6">
            <w:fldChar w:fldCharType="end"/>
          </w:r>
        </w:sdtContent>
      </w:sdt>
      <w:r>
        <w:t xml:space="preserve"> списан способ построения лексикона на основе метода «удаленного контроля». В качестве исходных сообщений, авторы подхода использовали корпус сообщений сети </w:t>
      </w:r>
      <w:r>
        <w:rPr>
          <w:lang w:val="en-US"/>
        </w:rPr>
        <w:t>twitter</w:t>
      </w:r>
      <w:r>
        <w:t>, содержащий для каждого сообщения метки мнений (</w:t>
      </w:r>
      <w:r>
        <w:rPr>
          <w:lang w:val="en-US"/>
        </w:rPr>
        <w:t>positive</w:t>
      </w:r>
      <w:r>
        <w:t xml:space="preserve"> и </w:t>
      </w:r>
      <w:r>
        <w:rPr>
          <w:lang w:val="en-US"/>
        </w:rPr>
        <w:t>negative</w:t>
      </w:r>
      <w:r w:rsidRPr="000E2923">
        <w:t>)</w:t>
      </w:r>
      <w:r w:rsidR="00BB48E9" w:rsidRPr="00BB48E9">
        <w:t xml:space="preserve">. </w:t>
      </w:r>
      <w:r w:rsidR="00BB48E9">
        <w:t>Такие метки легли в основу обучения контроля полярности классификатора.</w:t>
      </w:r>
    </w:p>
    <w:p w:rsidR="00BB48E9" w:rsidRDefault="00BB48E9" w:rsidP="00BB48E9">
      <w:r>
        <w:t xml:space="preserve">Задача контроля полярности ставится следующим образом. Пусть имеется размеченные </w:t>
      </w:r>
      <w:proofErr w:type="gramStart"/>
      <w:r>
        <w:t>данные</w:t>
      </w:r>
      <w:r w:rsidRPr="00BB48E9">
        <w:t xml:space="preserve"> </w:t>
      </w:r>
      <w:r w:rsidR="00766905" w:rsidRPr="007669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,</w:t>
      </w:r>
      <w:proofErr w:type="gramEnd"/>
      <w:r>
        <w:t xml:space="preserve"> на основе которых необходимо построить функцию принятия решения</w:t>
      </w:r>
      <w:r>
        <w:rPr>
          <w:rFonts w:ascii="CMMI12" w:hAnsi="CMMI12"/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→y</m:t>
        </m:r>
      </m:oMath>
      <w:r>
        <w:t xml:space="preserve">, которая бы на основе входных параметров определяла бы результирующую метку сообщения. В частности, авторы использовали линейную модель </w:t>
      </w:r>
      <w:r>
        <w:rPr>
          <w:rFonts w:ascii="SFTI1440" w:hAnsi="SFTI1440"/>
          <w:i/>
          <w:iCs/>
        </w:rPr>
        <w:t xml:space="preserve">SVM </w:t>
      </w:r>
      <w:r>
        <w:t>классификатора, с функцией предсказания следующего вида:</w:t>
      </w:r>
    </w:p>
    <w:p w:rsidR="00766905" w:rsidRPr="00766905" w:rsidRDefault="00766905" w:rsidP="00BB48E9">
      <m:oMathPara>
        <m:oMath>
          <m:r>
            <w:rPr>
              <w:rFonts w:ascii="Cambria Math" w:hAnsi="Cambria Math"/>
            </w:rPr>
            <m:t>f=sign(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x+b)</m:t>
          </m:r>
        </m:oMath>
      </m:oMathPara>
    </w:p>
    <w:p w:rsidR="00F725BE" w:rsidRDefault="00766905" w:rsidP="00F725BE">
      <w:r>
        <w:t xml:space="preserve">Где </w:t>
      </w:r>
      <w:r>
        <w:rPr>
          <w:rFonts w:ascii="CMMI12" w:hAnsi="CMMI12"/>
          <w:i/>
          <w:iCs/>
        </w:rPr>
        <w:t xml:space="preserve">w </w:t>
      </w:r>
      <w:r>
        <w:t xml:space="preserve">– весовые коэффициенты, полученные на основе обучающей коллекции; </w:t>
      </w:r>
      <w:r>
        <w:rPr>
          <w:rFonts w:ascii="CMMI12" w:hAnsi="CMMI12"/>
          <w:i/>
          <w:iCs/>
        </w:rPr>
        <w:t xml:space="preserve">b </w:t>
      </w:r>
      <w:r>
        <w:t>– поправочный коэффициент. Авторы статьи предлагают следующий подход автоматического построения лексикона и его использования для создания классификационной модели:</w:t>
      </w:r>
    </w:p>
    <w:p w:rsidR="00766905" w:rsidRDefault="00766905" w:rsidP="00F725BE">
      <w:pPr>
        <w:pStyle w:val="a9"/>
        <w:numPr>
          <w:ilvl w:val="0"/>
          <w:numId w:val="32"/>
        </w:numPr>
      </w:pPr>
      <w:r>
        <w:t xml:space="preserve">Составление неразмеченного корпуса сообщений </w:t>
      </w:r>
      <w:r w:rsidRPr="00F725BE">
        <w:rPr>
          <w:rFonts w:ascii="CMMI12" w:hAnsi="CMMI12"/>
          <w:i/>
          <w:iCs/>
        </w:rPr>
        <w:t xml:space="preserve">C </w:t>
      </w:r>
      <w:r>
        <w:t xml:space="preserve">сети </w:t>
      </w:r>
      <w:r w:rsidRPr="00F725BE">
        <w:rPr>
          <w:rFonts w:ascii="SFTI1440" w:hAnsi="SFTI1440"/>
          <w:i/>
          <w:iCs/>
        </w:rPr>
        <w:t>Twitter</w:t>
      </w:r>
      <w:r>
        <w:t>.</w:t>
      </w:r>
    </w:p>
    <w:p w:rsidR="00766905" w:rsidRDefault="00766905" w:rsidP="00766905">
      <w:pPr>
        <w:pStyle w:val="a9"/>
        <w:numPr>
          <w:ilvl w:val="0"/>
          <w:numId w:val="32"/>
        </w:numPr>
      </w:pPr>
      <w:r>
        <w:t xml:space="preserve">Для каждого </w:t>
      </w:r>
      <w:proofErr w:type="gramStart"/>
      <w:r>
        <w:t xml:space="preserve">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∈C</m:t>
        </m:r>
      </m:oMath>
      <w:r w:rsidRPr="00766905">
        <w:rPr>
          <w:rFonts w:ascii="CMMI12" w:hAnsi="CMMI12"/>
          <w:i/>
          <w:iCs/>
        </w:rPr>
        <w:t xml:space="preserve"> </w:t>
      </w:r>
      <w:r>
        <w:t>использовать</w:t>
      </w:r>
      <w:proofErr w:type="gramEnd"/>
      <w:r>
        <w:t xml:space="preserve"> подсказки (хэштеги, эмотиконы) для получения метки (</w:t>
      </w:r>
      <w:r w:rsidRPr="00766905">
        <w:rPr>
          <w:rFonts w:ascii="SFTI1440" w:hAnsi="SFTI1440"/>
          <w:i/>
          <w:iCs/>
        </w:rPr>
        <w:t xml:space="preserve">positive </w:t>
      </w:r>
      <w:r>
        <w:t xml:space="preserve">и </w:t>
      </w:r>
      <w:r w:rsidRPr="00766905">
        <w:rPr>
          <w:rFonts w:ascii="SFTI1440" w:hAnsi="SFTI1440"/>
          <w:i/>
          <w:iCs/>
        </w:rPr>
        <w:t>negative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+1}</m:t>
        </m:r>
      </m:oMath>
      <w:r>
        <w:t>. Использование эмотиконов вида «:-)», «:-(» в качестве индикатора выражения автора сообщения в целом.</w:t>
      </w:r>
    </w:p>
    <w:p w:rsidR="00766905" w:rsidRDefault="00766905" w:rsidP="00766905">
      <w:pPr>
        <w:pStyle w:val="a9"/>
        <w:numPr>
          <w:ilvl w:val="0"/>
          <w:numId w:val="32"/>
        </w:numPr>
      </w:pPr>
      <w:r>
        <w:t>Извлечение биграмм и</w:t>
      </w:r>
      <w:r w:rsidR="000D21D6">
        <w:t xml:space="preserve"> униграмм особенности </w:t>
      </w:r>
      <w:proofErr w:type="gramStart"/>
      <w:r w:rsidR="000D21D6">
        <w:t>сообщения</w:t>
      </w:r>
      <w:r w:rsidR="000D21D6" w:rsidRPr="000D21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 w:rsidR="000D21D6">
        <w:t>в</w:t>
      </w:r>
      <w:proofErr w:type="gramEnd"/>
      <w:r w:rsidR="000D21D6">
        <w:t xml:space="preserve">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|L|</m:t>
            </m:r>
          </m:sup>
        </m:sSup>
      </m:oMath>
      <w:r>
        <w:t xml:space="preserve">, где </w:t>
      </w:r>
      <m:oMath>
        <m:r>
          <w:rPr>
            <w:rFonts w:ascii="Cambria Math" w:hAnsi="Cambria Math"/>
          </w:rPr>
          <m:t>L</m:t>
        </m:r>
      </m:oMath>
      <w:r w:rsidRPr="00766905">
        <w:rPr>
          <w:rFonts w:ascii="CMMI12" w:hAnsi="CMMI12"/>
          <w:i/>
          <w:iCs/>
        </w:rPr>
        <w:t xml:space="preserve"> </w:t>
      </w:r>
      <w:r>
        <w:t>– лексикон, состоящий из термов</w:t>
      </w:r>
      <w:r w:rsidR="000D21D6">
        <w:t xml:space="preserve"> формата биграмм и </w:t>
      </w:r>
      <w:r>
        <w:t>униграмм;</w:t>
      </w:r>
    </w:p>
    <w:p w:rsidR="00C45D8C" w:rsidRDefault="00766905" w:rsidP="00766905">
      <w:pPr>
        <w:pStyle w:val="a9"/>
        <w:numPr>
          <w:ilvl w:val="0"/>
          <w:numId w:val="32"/>
        </w:numPr>
      </w:pPr>
      <w:r>
        <w:t xml:space="preserve">Построить классификационную модель </w:t>
      </w:r>
      <w:r w:rsidRPr="00766905">
        <w:rPr>
          <w:rFonts w:ascii="CMBX12" w:hAnsi="CMBX12"/>
          <w:b/>
          <w:bCs/>
        </w:rPr>
        <w:t xml:space="preserve">w </w:t>
      </w:r>
      <w:r>
        <w:t xml:space="preserve">на основе корпуса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766905">
        <w:rPr>
          <w:rFonts w:ascii="CMR10" w:hAnsi="CMR10"/>
          <w:sz w:val="18"/>
          <w:szCs w:val="18"/>
        </w:rPr>
        <w:br/>
      </w:r>
      <w:r>
        <w:t xml:space="preserve">следующим образом: </w:t>
      </w:r>
    </w:p>
    <w:p w:rsidR="00766905" w:rsidRDefault="00C45D8C" w:rsidP="00C45D8C">
      <w:pPr>
        <w:pStyle w:val="a9"/>
        <w:ind w:firstLine="0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D293C" w:rsidRDefault="007D293C" w:rsidP="007D293C">
      <w:pPr>
        <w:pStyle w:val="a9"/>
        <w:ind w:firstLine="0"/>
      </w:pPr>
    </w:p>
    <w:p w:rsidR="00766905" w:rsidRDefault="00766905" w:rsidP="00C45D8C">
      <w:pPr>
        <w:pStyle w:val="a9"/>
        <w:ind w:firstLine="0"/>
      </w:pPr>
      <w:proofErr w:type="gramStart"/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>выступают</w:t>
      </w:r>
      <w:proofErr w:type="gramEnd"/>
      <w:r>
        <w:t xml:space="preserve"> в качестве опорных век</w:t>
      </w:r>
      <w:r w:rsidR="00F725BE">
        <w:tab/>
      </w:r>
      <w:r>
        <w:t xml:space="preserve">торов;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– их метки;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 w:rsidR="000D21D6">
        <w:t xml:space="preserve">– </w:t>
      </w:r>
      <w:r>
        <w:t xml:space="preserve">параметр краевой </w:t>
      </w:r>
      <w:r>
        <w:lastRenderedPageBreak/>
        <w:t xml:space="preserve">задачи, который вносит вклад в </w:t>
      </w:r>
      <w:r w:rsidRPr="00766905">
        <w:rPr>
          <w:rFonts w:ascii="CMMI12" w:hAnsi="CMMI12"/>
          <w:i/>
          <w:iCs/>
        </w:rPr>
        <w:t xml:space="preserve">w </w:t>
      </w:r>
      <w:r w:rsidR="000D21D6">
        <w:t xml:space="preserve">в случае когда </w:t>
      </w:r>
      <w:r>
        <w:t>положителен.</w:t>
      </w:r>
    </w:p>
    <w:p w:rsidR="00766905" w:rsidRPr="000D21D6" w:rsidRDefault="00766905" w:rsidP="00766905">
      <w:pPr>
        <w:pStyle w:val="a9"/>
        <w:numPr>
          <w:ilvl w:val="0"/>
          <w:numId w:val="32"/>
        </w:numPr>
      </w:pPr>
      <w:r>
        <w:t xml:space="preserve">Каждый компонент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обученной модели </w:t>
      </w:r>
      <m:oMath>
        <m:r>
          <w:rPr>
            <w:rFonts w:ascii="Cambria Math" w:hAnsi="Cambria Math"/>
          </w:rPr>
          <m:t>w</m:t>
        </m:r>
      </m:oMath>
      <w:r w:rsidR="00C45D8C">
        <w:t>, соответствует компоненту</w:t>
      </w:r>
      <w:r w:rsidR="00C45D8C" w:rsidRPr="00C45D8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лексикона </w:t>
      </w:r>
      <w:r w:rsidRPr="00766905">
        <w:rPr>
          <w:rFonts w:ascii="CMMI12" w:hAnsi="CMMI12"/>
          <w:i/>
          <w:iCs/>
        </w:rPr>
        <w:t>L</w:t>
      </w:r>
      <w:r w:rsidR="00B80523">
        <w:rPr>
          <w:rFonts w:ascii="CMMI12" w:hAnsi="CMMI12"/>
          <w:i/>
          <w:iCs/>
        </w:rPr>
        <w:t xml:space="preserve">, </w:t>
      </w:r>
      <w:r w:rsidR="00B80523" w:rsidRPr="00B80523">
        <w:rPr>
          <w:rFonts w:ascii="CMMI12" w:hAnsi="CMMI12"/>
          <w:iCs/>
        </w:rPr>
        <w:t>что устанавливает связь с ассоциативной оценкой</w:t>
      </w:r>
      <w:r w:rsidR="00C45D8C" w:rsidRPr="00B80523">
        <w:rPr>
          <w:rFonts w:ascii="CMMI12" w:hAnsi="CMMI12"/>
          <w:i/>
          <w:iCs/>
        </w:rPr>
        <w:t>.</w:t>
      </w:r>
    </w:p>
    <w:p w:rsidR="000D21D6" w:rsidRDefault="000D21D6" w:rsidP="000D21D6">
      <w:r>
        <w:t xml:space="preserve">Используемый лексикон составлен на основе </w:t>
      </w:r>
      <w:r>
        <w:rPr>
          <w:rFonts w:ascii="SFTI1440" w:hAnsi="SFTI1440"/>
          <w:i/>
          <w:iCs/>
        </w:rPr>
        <w:t xml:space="preserve">Twitter </w:t>
      </w:r>
      <w:r>
        <w:t xml:space="preserve">корпуса </w:t>
      </w:r>
      <w:r>
        <w:rPr>
          <w:rFonts w:ascii="SFTI1440" w:hAnsi="SFTI1440"/>
          <w:i/>
          <w:iCs/>
        </w:rPr>
        <w:t>Emoticon140</w:t>
      </w:r>
      <w:r>
        <w:t xml:space="preserve">. Метки для корпуса расставлялись на основе эмотиконов, содержащихся в тексте сообщений. Так, сообщения содержащие эмотиконы типа «:)» считались положительными, а «:(» – отрицательными. Объем корпуса составляет </w:t>
      </w:r>
      <w:r>
        <w:rPr>
          <w:rFonts w:ascii="CMR12" w:hAnsi="CMR12"/>
        </w:rPr>
        <w:t>1</w:t>
      </w:r>
      <w:r>
        <w:rPr>
          <w:rFonts w:ascii="CMMI12" w:hAnsi="CMMI12"/>
          <w:i/>
          <w:iCs/>
        </w:rPr>
        <w:t>.</w:t>
      </w:r>
      <w:r>
        <w:rPr>
          <w:rFonts w:ascii="CMR12" w:hAnsi="CMR12"/>
        </w:rPr>
        <w:t xml:space="preserve">6 </w:t>
      </w:r>
      <w:r>
        <w:rPr>
          <w:rFonts w:ascii="SFTI1440" w:hAnsi="SFTI1440"/>
          <w:i/>
          <w:iCs/>
        </w:rPr>
        <w:t xml:space="preserve">млн. сообщений </w:t>
      </w:r>
      <w:r>
        <w:t xml:space="preserve">с одинаковым распределением положительных и негативных сообщений. </w:t>
      </w:r>
    </w:p>
    <w:p w:rsidR="000D21D6" w:rsidRPr="00BB48E9" w:rsidRDefault="000D21D6" w:rsidP="000D21D6">
      <w:r>
        <w:t xml:space="preserve">Для составления лексикона используется подход на основе вычисления </w:t>
      </w:r>
      <w:r w:rsidRPr="003131E3">
        <w:rPr>
          <w:i/>
        </w:rPr>
        <w:t>точечной меры взаимоинформации</w:t>
      </w:r>
      <w:r>
        <w:t xml:space="preserve"> </w:t>
      </w:r>
      <w:sdt>
        <w:sdtPr>
          <w:rPr>
            <w:szCs w:val="22"/>
            <w:lang w:val="en-US"/>
          </w:rPr>
          <w:id w:val="-2134084877"/>
          <w:citation/>
        </w:sdtPr>
        <w:sdtContent>
          <w:r w:rsidR="003131E3">
            <w:rPr>
              <w:szCs w:val="22"/>
              <w:lang w:val="en-US"/>
            </w:rPr>
            <w:fldChar w:fldCharType="begin"/>
          </w:r>
          <w:r w:rsidR="003131E3" w:rsidRPr="003131E3">
            <w:rPr>
              <w:szCs w:val="22"/>
            </w:rPr>
            <w:instrText xml:space="preserve"> </w:instrText>
          </w:r>
          <w:r w:rsidR="003131E3">
            <w:rPr>
              <w:szCs w:val="22"/>
              <w:lang w:val="en-US"/>
            </w:rPr>
            <w:instrText>CITATION</w:instrText>
          </w:r>
          <w:r w:rsidR="003131E3" w:rsidRPr="003131E3">
            <w:rPr>
              <w:szCs w:val="22"/>
            </w:rPr>
            <w:instrText xml:space="preserve"> </w:instrText>
          </w:r>
          <w:r w:rsidR="003131E3">
            <w:rPr>
              <w:szCs w:val="22"/>
              <w:lang w:val="en-US"/>
            </w:rPr>
            <w:instrText>Tur</w:instrText>
          </w:r>
          <w:r w:rsidR="003131E3" w:rsidRPr="003131E3">
            <w:rPr>
              <w:szCs w:val="22"/>
            </w:rPr>
            <w:instrText>02 \</w:instrText>
          </w:r>
          <w:r w:rsidR="003131E3">
            <w:rPr>
              <w:szCs w:val="22"/>
              <w:lang w:val="en-US"/>
            </w:rPr>
            <w:instrText>l</w:instrText>
          </w:r>
          <w:r w:rsidR="003131E3" w:rsidRPr="003131E3">
            <w:rPr>
              <w:szCs w:val="22"/>
            </w:rPr>
            <w:instrText xml:space="preserve"> 1033 </w:instrText>
          </w:r>
          <w:r w:rsidR="003131E3">
            <w:rPr>
              <w:szCs w:val="22"/>
              <w:lang w:val="en-US"/>
            </w:rPr>
            <w:fldChar w:fldCharType="separate"/>
          </w:r>
          <w:r w:rsidR="003131E3" w:rsidRPr="003131E3">
            <w:rPr>
              <w:noProof/>
              <w:szCs w:val="22"/>
            </w:rPr>
            <w:t>(</w:t>
          </w:r>
          <w:r w:rsidR="003131E3" w:rsidRPr="003131E3">
            <w:rPr>
              <w:noProof/>
              <w:szCs w:val="22"/>
              <w:lang w:val="en-US"/>
            </w:rPr>
            <w:t>Turney</w:t>
          </w:r>
          <w:r w:rsidR="003131E3" w:rsidRPr="003131E3">
            <w:rPr>
              <w:noProof/>
              <w:szCs w:val="22"/>
            </w:rPr>
            <w:t>, 2002)</w:t>
          </w:r>
          <w:r w:rsidR="003131E3">
            <w:rPr>
              <w:szCs w:val="22"/>
              <w:lang w:val="en-US"/>
            </w:rPr>
            <w:fldChar w:fldCharType="end"/>
          </w:r>
        </w:sdtContent>
      </w:sdt>
      <w:r>
        <w:t xml:space="preserve">. Дополнительно авторами были составлены собственные лексиконы: MPQA, BingLiu, NRC. На этапе предварительного тестирования и настройки модели, отмечается прирост качества при увеличении числа используемых лексиконов. Подход демонстрирует хорошие результаты качества работы классификационной модели. На соревнованиях </w:t>
      </w:r>
      <w:r>
        <w:rPr>
          <w:rFonts w:ascii="SFTI1440" w:hAnsi="SFTI1440"/>
          <w:i/>
          <w:iCs/>
        </w:rPr>
        <w:t xml:space="preserve">Semeval-2014 </w:t>
      </w:r>
      <w:r>
        <w:t xml:space="preserve">такой подход занял второе место. Применительно к коллекциям </w:t>
      </w:r>
      <w:r>
        <w:rPr>
          <w:rFonts w:ascii="CMMI12" w:hAnsi="CMMI12"/>
          <w:i/>
          <w:iCs/>
        </w:rPr>
        <w:t xml:space="preserve">SMS </w:t>
      </w:r>
      <w:r>
        <w:t xml:space="preserve">и </w:t>
      </w:r>
      <w:r>
        <w:rPr>
          <w:rFonts w:ascii="CMMI12" w:hAnsi="CMMI12"/>
          <w:i/>
          <w:iCs/>
        </w:rPr>
        <w:t>Twitter</w:t>
      </w:r>
      <w:r>
        <w:t>, оценка качества работы на основе</w:t>
      </w:r>
    </w:p>
    <w:p w:rsidR="00437D2A" w:rsidRDefault="00BA23AB" w:rsidP="00BA23AB">
      <w:pPr>
        <w:pStyle w:val="2"/>
      </w:pPr>
      <w:r>
        <w:t xml:space="preserve">1.2 </w:t>
      </w:r>
      <w:r w:rsidR="00437D2A">
        <w:t>Подход к решению задачи тональной классификации</w:t>
      </w:r>
      <w:r w:rsidR="000E2923" w:rsidRPr="000E2923">
        <w:t xml:space="preserve"> </w:t>
      </w:r>
      <w:r w:rsidR="000E2923">
        <w:t xml:space="preserve">сообщений </w:t>
      </w:r>
      <w:r w:rsidR="000D21D6">
        <w:t>предложенный</w:t>
      </w:r>
      <w:r w:rsidR="000D21D6" w:rsidRPr="000D21D6">
        <w:t xml:space="preserve"> </w:t>
      </w:r>
      <w:r w:rsidR="000D21D6">
        <w:t>(</w:t>
      </w:r>
      <w:r w:rsidR="00437D2A" w:rsidRPr="00437D2A">
        <w:rPr>
          <w:lang w:val="en-US"/>
        </w:rPr>
        <w:t>Saif</w:t>
      </w:r>
      <w:r w:rsidR="00437D2A" w:rsidRPr="00437D2A">
        <w:t xml:space="preserve"> </w:t>
      </w:r>
      <w:r w:rsidR="00437D2A" w:rsidRPr="00437D2A">
        <w:rPr>
          <w:lang w:val="en-US"/>
        </w:rPr>
        <w:t>M</w:t>
      </w:r>
      <w:r w:rsidR="00437D2A" w:rsidRPr="00437D2A">
        <w:t xml:space="preserve">. </w:t>
      </w:r>
      <w:r w:rsidR="00437D2A" w:rsidRPr="00437D2A">
        <w:rPr>
          <w:lang w:val="en-US"/>
        </w:rPr>
        <w:t>Mohammad</w:t>
      </w:r>
      <w:r w:rsidR="00437D2A" w:rsidRPr="00437D2A">
        <w:t xml:space="preserve">, </w:t>
      </w:r>
      <w:r w:rsidR="00437D2A" w:rsidRPr="00437D2A">
        <w:rPr>
          <w:lang w:val="en-US"/>
        </w:rPr>
        <w:t>Kiritchenko</w:t>
      </w:r>
      <w:r w:rsidR="00437D2A" w:rsidRPr="00437D2A">
        <w:t xml:space="preserve"> </w:t>
      </w:r>
      <w:r w:rsidR="00437D2A">
        <w:rPr>
          <w:lang w:val="en-US"/>
        </w:rPr>
        <w:t>S</w:t>
      </w:r>
      <w:r w:rsidR="00437D2A" w:rsidRPr="00437D2A">
        <w:t xml:space="preserve">., </w:t>
      </w:r>
      <w:r w:rsidR="00437D2A" w:rsidRPr="00437D2A">
        <w:rPr>
          <w:lang w:val="en-US"/>
        </w:rPr>
        <w:t>Xiaodian</w:t>
      </w:r>
      <w:r w:rsidR="00437D2A" w:rsidRPr="00437D2A">
        <w:t xml:space="preserve"> </w:t>
      </w:r>
      <w:r w:rsidR="00437D2A" w:rsidRPr="00437D2A">
        <w:rPr>
          <w:lang w:val="en-US"/>
        </w:rPr>
        <w:t>Zhu</w:t>
      </w:r>
      <w:r w:rsidR="000D21D6" w:rsidRPr="000D21D6">
        <w:t>)</w:t>
      </w:r>
    </w:p>
    <w:p w:rsidR="000B4659" w:rsidRDefault="000B4659" w:rsidP="000B4659">
      <w:r>
        <w:t xml:space="preserve">Статья </w:t>
      </w:r>
      <w:sdt>
        <w:sdtPr>
          <w:id w:val="117658299"/>
          <w:citation/>
        </w:sdtPr>
        <w:sdtContent>
          <w:r w:rsidR="007D0786">
            <w:fldChar w:fldCharType="begin"/>
          </w:r>
          <w:r w:rsidR="007D0786" w:rsidRPr="007D0786">
            <w:instrText xml:space="preserve"> </w:instrText>
          </w:r>
          <w:r w:rsidR="007D0786">
            <w:rPr>
              <w:lang w:val="en-US"/>
            </w:rPr>
            <w:instrText>CITATION</w:instrText>
          </w:r>
          <w:r w:rsidR="007D0786" w:rsidRPr="007D0786">
            <w:instrText xml:space="preserve"> </w:instrText>
          </w:r>
          <w:r w:rsidR="007D0786">
            <w:rPr>
              <w:lang w:val="en-US"/>
            </w:rPr>
            <w:instrText>Moh</w:instrText>
          </w:r>
          <w:r w:rsidR="007D0786" w:rsidRPr="007D0786">
            <w:instrText xml:space="preserve"> \</w:instrText>
          </w:r>
          <w:r w:rsidR="007D0786">
            <w:rPr>
              <w:lang w:val="en-US"/>
            </w:rPr>
            <w:instrText>l</w:instrText>
          </w:r>
          <w:r w:rsidR="007D0786" w:rsidRPr="007D0786">
            <w:instrText xml:space="preserve"> 1033 </w:instrText>
          </w:r>
          <w:r w:rsidR="007D0786">
            <w:fldChar w:fldCharType="separate"/>
          </w:r>
          <w:r w:rsidR="007D0786" w:rsidRPr="007D0786">
            <w:rPr>
              <w:noProof/>
            </w:rPr>
            <w:t>(</w:t>
          </w:r>
          <w:r w:rsidR="007D0786">
            <w:rPr>
              <w:noProof/>
              <w:lang w:val="en-US"/>
            </w:rPr>
            <w:t>Saif</w:t>
          </w:r>
          <w:r w:rsidR="007D0786" w:rsidRPr="007D0786">
            <w:rPr>
              <w:noProof/>
            </w:rPr>
            <w:t xml:space="preserve"> </w:t>
          </w:r>
          <w:r w:rsidR="007D0786">
            <w:rPr>
              <w:noProof/>
              <w:lang w:val="en-US"/>
            </w:rPr>
            <w:t>M</w:t>
          </w:r>
          <w:r w:rsidR="007D0786" w:rsidRPr="007D0786">
            <w:rPr>
              <w:noProof/>
            </w:rPr>
            <w:t>.)</w:t>
          </w:r>
          <w:r w:rsidR="007D0786">
            <w:fldChar w:fldCharType="end"/>
          </w:r>
        </w:sdtContent>
      </w:sdt>
      <w:r>
        <w:t xml:space="preserve"> предлагает способы построения SVM классификаторов для решения следующих задач классификации: </w:t>
      </w:r>
    </w:p>
    <w:p w:rsidR="000B4659" w:rsidRDefault="000B4659" w:rsidP="000B4659">
      <w:pPr>
        <w:pStyle w:val="a9"/>
        <w:numPr>
          <w:ilvl w:val="0"/>
          <w:numId w:val="33"/>
        </w:numPr>
      </w:pPr>
      <w:r>
        <w:t>Определения тональной оценки для всего сообщения в целом;</w:t>
      </w:r>
    </w:p>
    <w:p w:rsidR="000B4659" w:rsidRDefault="000B4659" w:rsidP="000B4659">
      <w:pPr>
        <w:pStyle w:val="a9"/>
        <w:numPr>
          <w:ilvl w:val="0"/>
          <w:numId w:val="33"/>
        </w:numPr>
      </w:pPr>
      <w:r>
        <w:t xml:space="preserve">Выявления тональности термов сообщения. </w:t>
      </w:r>
    </w:p>
    <w:p w:rsidR="000B4659" w:rsidRDefault="000B4659" w:rsidP="000B4659">
      <w:r>
        <w:t>Ключевой идеей повышения качеств</w:t>
      </w:r>
      <w:r w:rsidR="002361C6">
        <w:t>а классификации являются лекси</w:t>
      </w:r>
      <w:r>
        <w:t>коны, которые созданы автоматически на основе коллекции сети Twitter. Для этого, авторы разделили все сообщения ко</w:t>
      </w:r>
      <w:r w:rsidR="002361C6">
        <w:t>рпуса на тональные классы с по</w:t>
      </w:r>
      <w:r>
        <w:t xml:space="preserve">мощью такой метаинформации в сообщениях, как хэштеги. Для этого были составлены два множества хэштегов: positive и negative. </w:t>
      </w:r>
    </w:p>
    <w:p w:rsidR="000B4659" w:rsidRDefault="000B4659" w:rsidP="000B4659">
      <w:r>
        <w:t xml:space="preserve">Объем коллекции, на основе которой составлен лексикон, составляет 775 тыс. сообщений. Для распределения сообщений на классы, авторы использовали следующую логику: </w:t>
      </w:r>
    </w:p>
    <w:p w:rsidR="000B4659" w:rsidRDefault="000B4659" w:rsidP="000B4659">
      <w:r>
        <w:t xml:space="preserve">1. Если в сообщении встречался хотя бы один хэштег из множества positive, то сообщение считается положительным; </w:t>
      </w:r>
    </w:p>
    <w:p w:rsidR="000B4659" w:rsidRPr="003131E3" w:rsidRDefault="000B4659" w:rsidP="000B4659">
      <w:r>
        <w:t>2. Если в сообщении встречается хотя бы</w:t>
      </w:r>
      <w:r w:rsidR="002361C6">
        <w:t xml:space="preserve"> один хэштег из negative множе</w:t>
      </w:r>
      <w:r>
        <w:t>ства, то сообщение считается отрицательным. Для построения лексиконов, авторы использовали метод «тональности словосочетаний»</w:t>
      </w:r>
      <w:r w:rsidR="00140F32" w:rsidRPr="00140F32">
        <w:t xml:space="preserve"> </w:t>
      </w:r>
      <w:sdt>
        <w:sdtPr>
          <w:id w:val="1432010755"/>
          <w:citation/>
        </w:sdtPr>
        <w:sdtContent>
          <w:r w:rsidR="00140F32">
            <w:fldChar w:fldCharType="begin"/>
          </w:r>
          <w:r w:rsidR="00140F32" w:rsidRPr="00140F32">
            <w:instrText xml:space="preserve"> </w:instrText>
          </w:r>
          <w:r w:rsidR="00140F32">
            <w:rPr>
              <w:lang w:val="en-US"/>
            </w:rPr>
            <w:instrText>CITATION</w:instrText>
          </w:r>
          <w:r w:rsidR="00140F32" w:rsidRPr="00140F32">
            <w:instrText xml:space="preserve"> </w:instrText>
          </w:r>
          <w:r w:rsidR="00140F32">
            <w:rPr>
              <w:lang w:val="en-US"/>
            </w:rPr>
            <w:instrText>Tur</w:instrText>
          </w:r>
          <w:r w:rsidR="00140F32" w:rsidRPr="00140F32">
            <w:instrText>02 \</w:instrText>
          </w:r>
          <w:r w:rsidR="00140F32">
            <w:rPr>
              <w:lang w:val="en-US"/>
            </w:rPr>
            <w:instrText>l</w:instrText>
          </w:r>
          <w:r w:rsidR="00140F32" w:rsidRPr="00140F32">
            <w:instrText xml:space="preserve"> 1033 </w:instrText>
          </w:r>
          <w:r w:rsidR="00140F32">
            <w:fldChar w:fldCharType="separate"/>
          </w:r>
          <w:r w:rsidR="00140F32" w:rsidRPr="00140F32">
            <w:rPr>
              <w:noProof/>
            </w:rPr>
            <w:t>(</w:t>
          </w:r>
          <w:r w:rsidR="00140F32">
            <w:rPr>
              <w:noProof/>
              <w:lang w:val="en-US"/>
            </w:rPr>
            <w:t>Turney</w:t>
          </w:r>
          <w:r w:rsidR="00140F32" w:rsidRPr="00140F32">
            <w:rPr>
              <w:noProof/>
            </w:rPr>
            <w:t>, 2002)</w:t>
          </w:r>
          <w:r w:rsidR="00140F32">
            <w:fldChar w:fldCharType="end"/>
          </w:r>
        </w:sdtContent>
      </w:sdt>
      <w:r w:rsidR="00140F32" w:rsidRPr="003131E3">
        <w:t>.</w:t>
      </w:r>
    </w:p>
    <w:p w:rsidR="000B4659" w:rsidRDefault="000B4659" w:rsidP="000B4659">
      <w:r>
        <w:t xml:space="preserve">В качестве классификатора, авторы </w:t>
      </w:r>
      <w:r w:rsidR="003131E3">
        <w:t>использовали SVM с линейным яд</w:t>
      </w:r>
      <w:r>
        <w:t xml:space="preserve">ром, и параметром штрафной </w:t>
      </w:r>
      <w:proofErr w:type="gramStart"/>
      <w:r>
        <w:t xml:space="preserve">функции </w:t>
      </w:r>
      <m:oMath>
        <m:r>
          <w:rPr>
            <w:rFonts w:ascii="Cambria Math" w:hAnsi="Cambria Math"/>
          </w:rPr>
          <m:t>C = 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</w:t>
      </w:r>
      <w:proofErr w:type="gramEnd"/>
      <w:r>
        <w:t xml:space="preserve"> Векторизация сообщения включала в себя набор дополнительных признаков:</w:t>
      </w:r>
    </w:p>
    <w:p w:rsidR="00AF048A" w:rsidRDefault="000B4659" w:rsidP="00AF048A">
      <w:pPr>
        <w:pStyle w:val="a9"/>
        <w:numPr>
          <w:ilvl w:val="0"/>
          <w:numId w:val="36"/>
        </w:numPr>
      </w:pPr>
      <w:r w:rsidRPr="003966DB">
        <w:rPr>
          <w:b/>
        </w:rPr>
        <w:t>Учет регистра:</w:t>
      </w:r>
      <w:r>
        <w:t xml:space="preserve"> количество слов, записанных в верхнем регистре; </w:t>
      </w:r>
    </w:p>
    <w:p w:rsidR="00AF048A" w:rsidRDefault="000B4659" w:rsidP="00AF048A">
      <w:pPr>
        <w:pStyle w:val="a9"/>
        <w:numPr>
          <w:ilvl w:val="0"/>
          <w:numId w:val="36"/>
        </w:numPr>
      </w:pPr>
      <w:r w:rsidRPr="003966DB">
        <w:rPr>
          <w:b/>
        </w:rPr>
        <w:lastRenderedPageBreak/>
        <w:t>Учет хэштегов:</w:t>
      </w:r>
      <w:r>
        <w:t xml:space="preserve"> число входящих в </w:t>
      </w:r>
      <w:r w:rsidR="003D269D">
        <w:t>сообщение хэштегов (слов с пре</w:t>
      </w:r>
      <w:r>
        <w:t xml:space="preserve">фиксом «#»); </w:t>
      </w:r>
    </w:p>
    <w:p w:rsidR="00AF048A" w:rsidRDefault="000B4659" w:rsidP="00AF048A">
      <w:pPr>
        <w:pStyle w:val="a9"/>
        <w:numPr>
          <w:ilvl w:val="0"/>
          <w:numId w:val="36"/>
        </w:numPr>
      </w:pPr>
      <w:r w:rsidRPr="003966DB">
        <w:rPr>
          <w:b/>
        </w:rPr>
        <w:t>Символьные n-граммы:</w:t>
      </w:r>
      <w:r>
        <w:t xml:space="preserve"> присутстви</w:t>
      </w:r>
      <w:r w:rsidR="003D269D">
        <w:t>е или отсутствие последователь</w:t>
      </w:r>
      <w:r>
        <w:t xml:space="preserve">ности подряд идущих одинаковых символов длиной в 3, 4, и 5 символов; </w:t>
      </w:r>
    </w:p>
    <w:p w:rsidR="00AF048A" w:rsidRDefault="000B4659" w:rsidP="00AF048A">
      <w:pPr>
        <w:pStyle w:val="a9"/>
        <w:numPr>
          <w:ilvl w:val="0"/>
          <w:numId w:val="36"/>
        </w:numPr>
      </w:pPr>
      <w:r w:rsidRPr="003966DB">
        <w:rPr>
          <w:b/>
        </w:rPr>
        <w:t>На основе лексиконов:</w:t>
      </w:r>
      <w:r>
        <w:t xml:space="preserve"> Множество</w:t>
      </w:r>
      <w:r w:rsidR="00AF048A">
        <w:t xml:space="preserve"> всех лексиконов включает в се</w:t>
      </w:r>
      <w:r>
        <w:t>бя три лексикона, созданных в ручную (NRC Emotion Lexicon, MPQA, BingLiu Lexicon), а также два автоматически сгенерированных (Hashtag Sentiment Lexicon, Sentiment140). В ка</w:t>
      </w:r>
      <w:r w:rsidR="00E07BD0">
        <w:t xml:space="preserve">честве термов выступали биграммы, униграммы, </w:t>
      </w:r>
      <w:proofErr w:type="gramStart"/>
      <w:r w:rsidR="00E07BD0">
        <w:t xml:space="preserve">Пусть </w:t>
      </w:r>
      <m:oMath>
        <m:r>
          <w:rPr>
            <w:rFonts w:ascii="Cambria Math" w:hAnsi="Cambria Math"/>
          </w:rPr>
          <m:t>w</m:t>
        </m:r>
      </m:oMath>
      <w:r w:rsidR="00E07BD0">
        <w:t xml:space="preserve"> –</w:t>
      </w:r>
      <w:proofErr w:type="gramEnd"/>
      <w:r w:rsidR="00E07BD0">
        <w:t xml:space="preserve"> рассматриваемый токен, </w:t>
      </w:r>
      <m:oMath>
        <m:r>
          <w:rPr>
            <w:rFonts w:ascii="Cambria Math" w:hAnsi="Cambria Math"/>
          </w:rPr>
          <m:t>p</m:t>
        </m:r>
      </m:oMath>
      <w:r>
        <w:t xml:space="preserve"> – полярность. Тогда, авторами были составлены следующие признаки: – Число </w:t>
      </w:r>
      <w:r w:rsidR="00EA5979">
        <w:t>токенов, для которых выполнено</w:t>
      </w:r>
      <w:proofErr w:type="gramStart"/>
      <w:r w:rsidR="00EA5979">
        <w:t xml:space="preserve">: </w:t>
      </w:r>
      <m:oMath>
        <m:r>
          <w:rPr>
            <w:rFonts w:ascii="Cambria Math" w:hAnsi="Cambria Math"/>
          </w:rPr>
          <m:t>score(w, p) &gt; 0</m:t>
        </m:r>
      </m:oMath>
      <w:r>
        <w:t>;</w:t>
      </w:r>
      <w:proofErr w:type="gramEnd"/>
      <w:r>
        <w:t xml:space="preserve"> </w:t>
      </w:r>
    </w:p>
    <w:p w:rsidR="00AF048A" w:rsidRDefault="000B4659" w:rsidP="00AF048A">
      <w:pPr>
        <w:pStyle w:val="a9"/>
        <w:numPr>
          <w:ilvl w:val="1"/>
          <w:numId w:val="36"/>
        </w:numPr>
      </w:pPr>
      <w:r>
        <w:t xml:space="preserve">Суммарное </w:t>
      </w:r>
      <w:proofErr w:type="gramStart"/>
      <w:r>
        <w:t xml:space="preserve">значение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w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∈ </m:t>
            </m:r>
            <m:r>
              <m:rPr>
                <m:sty m:val="p"/>
              </m:rPr>
              <w:rPr>
                <w:rFonts w:ascii="Cambria Math" w:hAnsi="Cambria Math"/>
              </w:rPr>
              <m:t>twee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core(w, p)</m:t>
            </m:r>
          </m:e>
        </m:nary>
      </m:oMath>
      <w:r>
        <w:t>;</w:t>
      </w:r>
      <w:proofErr w:type="gramEnd"/>
      <w:r>
        <w:t xml:space="preserve"> </w:t>
      </w:r>
    </w:p>
    <w:p w:rsidR="00AF048A" w:rsidRDefault="000B4659" w:rsidP="00AF048A">
      <w:pPr>
        <w:pStyle w:val="a9"/>
        <w:numPr>
          <w:ilvl w:val="1"/>
          <w:numId w:val="36"/>
        </w:numPr>
      </w:pPr>
      <w:r>
        <w:t xml:space="preserve">Вычисление </w:t>
      </w:r>
      <w:proofErr w:type="gramStart"/>
      <w:r>
        <w:t xml:space="preserve">максимума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/>
                  </w:rPr>
                  <m:t>tweet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score(w, p)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>;</w:t>
      </w:r>
      <w:proofErr w:type="gramEnd"/>
      <w:r>
        <w:t xml:space="preserve"> </w:t>
      </w:r>
    </w:p>
    <w:p w:rsidR="00AF048A" w:rsidRDefault="000B4659" w:rsidP="00AF048A">
      <w:pPr>
        <w:pStyle w:val="a9"/>
        <w:numPr>
          <w:ilvl w:val="1"/>
          <w:numId w:val="36"/>
        </w:numPr>
      </w:pPr>
      <w:r>
        <w:t>Учет оценки последнего токена, при условии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score(w, p) &gt; 0</m:t>
        </m:r>
      </m:oMath>
      <w:r>
        <w:t>.</w:t>
      </w:r>
      <w:proofErr w:type="gramEnd"/>
      <w:r>
        <w:t xml:space="preserve"> </w:t>
      </w:r>
    </w:p>
    <w:p w:rsidR="00AF048A" w:rsidRPr="003966DB" w:rsidRDefault="003966DB" w:rsidP="00AF048A">
      <w:pPr>
        <w:pStyle w:val="a9"/>
        <w:numPr>
          <w:ilvl w:val="0"/>
          <w:numId w:val="35"/>
        </w:numPr>
        <w:rPr>
          <w:b/>
        </w:rPr>
      </w:pPr>
      <w:r w:rsidRPr="003966DB">
        <w:rPr>
          <w:b/>
        </w:rPr>
        <w:t>Пунктуация:</w:t>
      </w:r>
    </w:p>
    <w:p w:rsidR="00BF36E5" w:rsidRDefault="000B4659" w:rsidP="00AF048A">
      <w:pPr>
        <w:pStyle w:val="a9"/>
        <w:numPr>
          <w:ilvl w:val="1"/>
          <w:numId w:val="35"/>
        </w:numPr>
      </w:pPr>
      <w:r>
        <w:t xml:space="preserve">Подсчет числа последовательностей символов «!» и «?», а также подсчет случаев когда они оба </w:t>
      </w:r>
      <w:r w:rsidR="003966DB">
        <w:t>символа встречаются в одной по</w:t>
      </w:r>
      <w:r w:rsidR="00BF36E5">
        <w:t>следовательности;</w:t>
      </w:r>
    </w:p>
    <w:p w:rsidR="00AF048A" w:rsidRDefault="000B4659" w:rsidP="00AF048A">
      <w:pPr>
        <w:pStyle w:val="a9"/>
        <w:numPr>
          <w:ilvl w:val="1"/>
          <w:numId w:val="35"/>
        </w:numPr>
      </w:pPr>
      <w:r>
        <w:t xml:space="preserve">Учет содержания знаков «?» или «!» в последнем терме. </w:t>
      </w:r>
    </w:p>
    <w:p w:rsidR="00AF048A" w:rsidRPr="003966DB" w:rsidRDefault="000B4659" w:rsidP="00AF048A">
      <w:pPr>
        <w:pStyle w:val="a9"/>
        <w:numPr>
          <w:ilvl w:val="0"/>
          <w:numId w:val="35"/>
        </w:numPr>
        <w:rPr>
          <w:b/>
        </w:rPr>
      </w:pPr>
      <w:r w:rsidRPr="003966DB">
        <w:rPr>
          <w:b/>
        </w:rPr>
        <w:t xml:space="preserve">Эмотиконы: </w:t>
      </w:r>
    </w:p>
    <w:p w:rsidR="00AF048A" w:rsidRDefault="000B4659" w:rsidP="00AF048A">
      <w:pPr>
        <w:pStyle w:val="a9"/>
        <w:numPr>
          <w:ilvl w:val="1"/>
          <w:numId w:val="35"/>
        </w:numPr>
      </w:pPr>
      <w:r>
        <w:t>Присутствие или отсутствие по</w:t>
      </w:r>
      <w:r w:rsidR="003966DB">
        <w:t>ложительных и негативных эмоти</w:t>
      </w:r>
      <w:r>
        <w:t xml:space="preserve">конов в любой позиции сообщения; </w:t>
      </w:r>
    </w:p>
    <w:p w:rsidR="00AF048A" w:rsidRDefault="000B4659" w:rsidP="00AF048A">
      <w:pPr>
        <w:pStyle w:val="a9"/>
        <w:numPr>
          <w:ilvl w:val="1"/>
          <w:numId w:val="35"/>
        </w:numPr>
      </w:pPr>
      <w:r>
        <w:t xml:space="preserve">Признак, указывающий на наличие эмотикона (положительного или негативного) в конце сообщения. </w:t>
      </w:r>
    </w:p>
    <w:p w:rsidR="000B4659" w:rsidRDefault="000B4659" w:rsidP="00AF048A">
      <w:pPr>
        <w:pStyle w:val="a9"/>
        <w:numPr>
          <w:ilvl w:val="0"/>
          <w:numId w:val="35"/>
        </w:numPr>
      </w:pPr>
      <w:r w:rsidRPr="003966DB">
        <w:rPr>
          <w:b/>
        </w:rPr>
        <w:t>Удлиненные слова:</w:t>
      </w:r>
      <w:r>
        <w:t xml:space="preserve"> число слов, в которых символ повторяется более двух раз, например «</w:t>
      </w:r>
      <w:proofErr w:type="spellStart"/>
      <w:r>
        <w:t>sooooo</w:t>
      </w:r>
      <w:proofErr w:type="spellEnd"/>
      <w:r>
        <w:t>»;</w:t>
      </w:r>
    </w:p>
    <w:p w:rsidR="00ED0DA7" w:rsidRDefault="00ED0DA7" w:rsidP="00AF048A">
      <w:pPr>
        <w:pStyle w:val="a9"/>
        <w:numPr>
          <w:ilvl w:val="0"/>
          <w:numId w:val="35"/>
        </w:numPr>
      </w:pPr>
      <w:r w:rsidRPr="0052399C">
        <w:rPr>
          <w:b/>
        </w:rPr>
        <w:t>Суффикс отрицания:</w:t>
      </w:r>
      <w:r>
        <w:t xml:space="preserve"> добавляет к слову суффикс «_NEG», в случае, если перед ним имеется конструкция: отрицание + знак пунктуации. Под отрицанием понимаются слова вида: «no», «shouldn’t». В качестве знаков пунктуации рассматриваются символы: «,», «.», «:», «;», «!», «?». Пример преобразования:</w:t>
      </w:r>
    </w:p>
    <w:p w:rsidR="00ED0DA7" w:rsidRPr="003A5966" w:rsidRDefault="00ED0DA7" w:rsidP="00ED0DA7">
      <w:pPr>
        <w:pStyle w:val="a9"/>
        <w:ind w:left="780" w:firstLine="0"/>
        <w:jc w:val="center"/>
        <w:rPr>
          <w:i/>
        </w:rPr>
      </w:pPr>
      <w:r w:rsidRPr="003A5966">
        <w:rPr>
          <w:i/>
          <w:u w:val="single"/>
        </w:rPr>
        <w:t>shouldn’t</w:t>
      </w:r>
      <w:r w:rsidRPr="003A5966">
        <w:rPr>
          <w:i/>
        </w:rPr>
        <w:t xml:space="preserve">, perfect </w:t>
      </w:r>
    </w:p>
    <w:p w:rsidR="00ED0DA7" w:rsidRDefault="00ED0DA7" w:rsidP="00ED0DA7">
      <w:pPr>
        <w:pStyle w:val="a9"/>
        <w:ind w:left="780" w:firstLine="0"/>
        <w:jc w:val="center"/>
        <w:rPr>
          <w:i/>
        </w:rPr>
      </w:pPr>
      <w:proofErr w:type="gramStart"/>
      <w:r w:rsidRPr="003A5966">
        <w:rPr>
          <w:i/>
        </w:rPr>
        <w:t>perfect</w:t>
      </w:r>
      <w:proofErr w:type="gramEnd"/>
      <w:r w:rsidRPr="003A5966">
        <w:rPr>
          <w:i/>
        </w:rPr>
        <w:t>_NEG</w:t>
      </w:r>
    </w:p>
    <w:p w:rsidR="003A5966" w:rsidRPr="003A5966" w:rsidRDefault="003A5966" w:rsidP="003A5966">
      <w:pPr>
        <w:rPr>
          <w:i/>
        </w:rPr>
      </w:pPr>
      <w:r>
        <w:t>Среди всех команд, принимавших участ</w:t>
      </w:r>
      <w:r>
        <w:t xml:space="preserve">ие в соревновании </w:t>
      </w:r>
      <w:r w:rsidRPr="000F2194">
        <w:rPr>
          <w:i/>
        </w:rPr>
        <w:t xml:space="preserve">SemEval-2013 </w:t>
      </w:r>
      <w:r w:rsidR="00E84816" w:rsidRPr="000F2194">
        <w:rPr>
          <w:i/>
        </w:rPr>
        <w:t>«</w:t>
      </w:r>
      <w:r w:rsidRPr="000F2194">
        <w:rPr>
          <w:i/>
        </w:rPr>
        <w:t>Detecting Sentiment in Twitter»</w:t>
      </w:r>
      <w:r>
        <w:t xml:space="preserve">, описанный подход занял первое место как в задаче определения тональности отдельного терма, так и сообщения в целом. По задаче оценки термов, авторам подхода удалось добиться оценки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score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69.02%</m:t>
        </m:r>
      </m:oMath>
      <w:r>
        <w:t>.</w:t>
      </w:r>
      <w:r w:rsidR="004F67FE">
        <w:t xml:space="preserve"> </w:t>
      </w:r>
      <w:r>
        <w:t>На задаче тонального анализа на уровне сообщения, лучшая оценка несколько выше: 88.93%</w:t>
      </w:r>
      <w:r w:rsidR="004F67FE">
        <w:t>.</w:t>
      </w:r>
    </w:p>
    <w:p w:rsidR="003A71EB" w:rsidRPr="0069689A" w:rsidRDefault="00BA23AB" w:rsidP="00BA23AB">
      <w:pPr>
        <w:pStyle w:val="1"/>
      </w:pPr>
      <w:r>
        <w:lastRenderedPageBreak/>
        <w:t xml:space="preserve">2. </w:t>
      </w:r>
      <w:r w:rsidR="00C66FD4" w:rsidRPr="00BA23AB">
        <w:t>Построение</w:t>
      </w:r>
      <w:r w:rsidR="00C66FD4" w:rsidRPr="0069689A">
        <w:t xml:space="preserve">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>Под термином «лексикон» понимается 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 xml:space="preserve">,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</w:t>
      </w:r>
      <w:proofErr w:type="gramStart"/>
      <w:r w:rsidR="00650491" w:rsidRPr="00754771">
        <w:rPr>
          <w:szCs w:val="22"/>
        </w:rPr>
        <w:t xml:space="preserve">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>терм</w:t>
      </w:r>
      <w:proofErr w:type="gramEnd"/>
      <w:r w:rsidR="00EC5F15" w:rsidRPr="00754771">
        <w:rPr>
          <w:szCs w:val="22"/>
        </w:rPr>
        <w:t xml:space="preserve">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sdt>
        <w:sdtPr>
          <w:rPr>
            <w:szCs w:val="22"/>
          </w:rPr>
          <w:id w:val="1161421949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Tur</w:instrText>
          </w:r>
          <w:r w:rsidR="00D057EE" w:rsidRPr="00D057EE">
            <w:rPr>
              <w:szCs w:val="22"/>
            </w:rPr>
            <w:instrText>02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E87380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Turney</w:t>
          </w:r>
          <w:r w:rsidR="00E87380" w:rsidRPr="00E87380">
            <w:rPr>
              <w:noProof/>
              <w:szCs w:val="22"/>
            </w:rPr>
            <w:t>, 2002)</w:t>
          </w:r>
          <w:r w:rsidR="00D057EE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</w:t>
      </w:r>
      <w:r w:rsidR="003131E3">
        <w:rPr>
          <w:szCs w:val="22"/>
        </w:rPr>
        <w:t xml:space="preserve">от </w:t>
      </w:r>
      <w:r w:rsidR="00E675AF" w:rsidRPr="00754771">
        <w:rPr>
          <w:szCs w:val="22"/>
        </w:rPr>
        <w:t xml:space="preserve">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 xml:space="preserve">,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 xml:space="preserve">позволяет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E87380" w:rsidRDefault="004620B3" w:rsidP="004063C4">
      <w:pPr>
        <w:rPr>
          <w:szCs w:val="22"/>
        </w:rPr>
      </w:pPr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>. Тогда</w:t>
      </w:r>
      <w:r w:rsidRPr="00E87380">
        <w:rPr>
          <w:szCs w:val="22"/>
        </w:rPr>
        <w:t xml:space="preserve">, </w:t>
      </w:r>
      <w:r w:rsidR="001F5C04" w:rsidRPr="00754771">
        <w:rPr>
          <w:szCs w:val="22"/>
        </w:rPr>
        <w:t>на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основе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коллекции</w:t>
      </w:r>
      <w:r w:rsidR="001F5C04"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может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быть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составлен</w:t>
      </w:r>
      <w:r w:rsidR="001F5C04" w:rsidRPr="00E87380">
        <w:rPr>
          <w:szCs w:val="22"/>
        </w:rPr>
        <w:t xml:space="preserve"> </w:t>
      </w:r>
      <w:r w:rsidRPr="00754771">
        <w:rPr>
          <w:szCs w:val="22"/>
        </w:rPr>
        <w:t>лексикон</w:t>
      </w:r>
      <w:r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E87380">
        <w:rPr>
          <w:szCs w:val="22"/>
        </w:rPr>
        <w:t xml:space="preserve"> </w:t>
      </w:r>
      <w:r w:rsidRPr="00754771">
        <w:rPr>
          <w:szCs w:val="22"/>
        </w:rPr>
        <w:t>следующим</w:t>
      </w:r>
      <w:r w:rsidRPr="00E87380">
        <w:rPr>
          <w:szCs w:val="22"/>
        </w:rPr>
        <w:t xml:space="preserve"> </w:t>
      </w:r>
      <w:r w:rsidRPr="00754771">
        <w:rPr>
          <w:szCs w:val="22"/>
        </w:rPr>
        <w:t>образом</w:t>
      </w:r>
      <w:r w:rsidR="001F5C04" w:rsidRPr="00E87380">
        <w:rPr>
          <w:szCs w:val="22"/>
        </w:rPr>
        <w:t xml:space="preserve"> </w:t>
      </w:r>
      <w:sdt>
        <w:sdtPr>
          <w:rPr>
            <w:szCs w:val="22"/>
          </w:rPr>
          <w:id w:val="1174077652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Moh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="00852E02" w:rsidRPr="00E87380">
        <w:rPr>
          <w:szCs w:val="22"/>
        </w:rPr>
        <w:t>,</w:t>
      </w:r>
      <w:r w:rsidR="00017CD6" w:rsidRPr="00E87380">
        <w:rPr>
          <w:szCs w:val="22"/>
        </w:rPr>
        <w:t xml:space="preserve"> </w:t>
      </w:r>
      <w:sdt>
        <w:sdtPr>
          <w:rPr>
            <w:szCs w:val="22"/>
          </w:rPr>
          <w:id w:val="-1825584721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Ale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Pr="00E87380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sdt>
        <w:sdtPr>
          <w:rPr>
            <w:szCs w:val="22"/>
            <w:highlight w:val="yellow"/>
          </w:rPr>
          <w:id w:val="1154337647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Moh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Saif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M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017CD6" w:rsidRPr="00437D2A">
        <w:rPr>
          <w:szCs w:val="22"/>
          <w:highlight w:val="yellow"/>
        </w:rPr>
        <w:t xml:space="preserve"> и </w:t>
      </w:r>
      <w:sdt>
        <w:sdtPr>
          <w:rPr>
            <w:szCs w:val="22"/>
            <w:highlight w:val="yellow"/>
          </w:rPr>
          <w:id w:val="1570385358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Ale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Severyn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A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D057EE" w:rsidRPr="00D057EE">
        <w:rPr>
          <w:szCs w:val="22"/>
        </w:rPr>
        <w:t xml:space="preserve"> </w:t>
      </w:r>
      <w:r w:rsidR="001F5C04" w:rsidRPr="00754771">
        <w:rPr>
          <w:szCs w:val="22"/>
        </w:rPr>
        <w:t>предлагается анализировать сооб</w:t>
      </w:r>
      <w:bookmarkStart w:id="0" w:name="_GoBack"/>
      <w:bookmarkEnd w:id="0"/>
      <w:r w:rsidR="001F5C04" w:rsidRPr="00754771">
        <w:rPr>
          <w:szCs w:val="22"/>
        </w:rPr>
        <w:t xml:space="preserve">щение на наличие </w:t>
      </w:r>
      <w:r w:rsidR="001F5C04" w:rsidRPr="00B9297A">
        <w:rPr>
          <w:szCs w:val="22"/>
          <w:highlight w:val="yellow"/>
        </w:rPr>
        <w:t>положительных</w:t>
      </w:r>
      <w:r w:rsidR="005A4533" w:rsidRPr="00B9297A">
        <w:rPr>
          <w:szCs w:val="22"/>
          <w:highlight w:val="yellow"/>
        </w:rPr>
        <w:t xml:space="preserve"> (</w:t>
      </w:r>
      <w:r w:rsidR="001F5C04" w:rsidRPr="00B9297A">
        <w:rPr>
          <w:szCs w:val="22"/>
          <w:highlight w:val="yellow"/>
        </w:rPr>
        <w:t>негативных</w:t>
      </w:r>
      <w:r w:rsidR="005A4533" w:rsidRPr="00B9297A">
        <w:rPr>
          <w:szCs w:val="22"/>
          <w:highlight w:val="yellow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540F38">
        <w:rPr>
          <w:szCs w:val="22"/>
          <w:highlight w:val="yellow"/>
        </w:rPr>
        <w:t>положительных</w:t>
      </w:r>
      <w:r w:rsidR="005A4533" w:rsidRPr="00540F38">
        <w:rPr>
          <w:szCs w:val="22"/>
          <w:highlight w:val="yellow"/>
        </w:rPr>
        <w:t xml:space="preserve"> (</w:t>
      </w:r>
      <w:r w:rsidR="001F5C04" w:rsidRPr="00540F38">
        <w:rPr>
          <w:szCs w:val="22"/>
          <w:highlight w:val="yellow"/>
        </w:rPr>
        <w:t>негативных</w:t>
      </w:r>
      <w:r w:rsidR="005A4533" w:rsidRPr="00540F38">
        <w:rPr>
          <w:szCs w:val="22"/>
          <w:highlight w:val="yellow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BA23AB" w:rsidP="00BA23AB">
      <w:pPr>
        <w:pStyle w:val="1"/>
      </w:pPr>
      <w:r>
        <w:t xml:space="preserve">3. </w:t>
      </w:r>
      <w:r w:rsidR="00765FE3"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</w:t>
      </w:r>
      <w:r w:rsidR="002F3147" w:rsidRPr="002F3147">
        <w:rPr>
          <w:szCs w:val="22"/>
        </w:rPr>
        <w:t xml:space="preserve"> (</w:t>
      </w:r>
      <w:r w:rsidR="002F3147">
        <w:rPr>
          <w:szCs w:val="22"/>
          <w:lang w:val="en-US"/>
        </w:rPr>
        <w:t>BANK</w:t>
      </w:r>
      <w:r w:rsidR="002F3147" w:rsidRPr="002F3147">
        <w:rPr>
          <w:szCs w:val="22"/>
        </w:rPr>
        <w:t>)</w:t>
      </w:r>
      <w:r w:rsidR="00131825" w:rsidRPr="00754771">
        <w:rPr>
          <w:szCs w:val="22"/>
        </w:rPr>
        <w:t xml:space="preserve">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134D36" w:rsidRPr="002F3147">
        <w:rPr>
          <w:color w:val="000000" w:themeColor="text1"/>
          <w:szCs w:val="22"/>
        </w:rPr>
        <w:t>TCC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 xml:space="preserve">проставлена одна из </w:t>
      </w:r>
      <w:r w:rsidR="009A34FE" w:rsidRPr="00754771">
        <w:rPr>
          <w:szCs w:val="22"/>
        </w:rPr>
        <w:lastRenderedPageBreak/>
        <w:t>следующих оценок</w:t>
      </w:r>
      <w:r w:rsidR="002E23E8" w:rsidRPr="00754771">
        <w:rPr>
          <w:szCs w:val="22"/>
        </w:rPr>
        <w:t>:</w:t>
      </w:r>
    </w:p>
    <w:p w:rsidR="00CE5E56" w:rsidRPr="00052524" w:rsidRDefault="00A922B8" w:rsidP="00052524">
      <w:pPr>
        <w:pStyle w:val="a9"/>
        <w:numPr>
          <w:ilvl w:val="0"/>
          <w:numId w:val="37"/>
        </w:numPr>
        <w:jc w:val="center"/>
        <w:rPr>
          <w:szCs w:val="22"/>
        </w:rPr>
      </w:pPr>
      <w:r w:rsidRPr="00052524">
        <w:rPr>
          <w:szCs w:val="22"/>
        </w:rPr>
        <w:t>–</w:t>
      </w:r>
      <w:r w:rsidR="002E23E8" w:rsidRPr="00052524">
        <w:rPr>
          <w:szCs w:val="22"/>
        </w:rPr>
        <w:t xml:space="preserve"> положительн</w:t>
      </w:r>
      <w:r w:rsidR="00437D2A" w:rsidRPr="00052524">
        <w:rPr>
          <w:szCs w:val="22"/>
        </w:rPr>
        <w:t xml:space="preserve">ое; </w:t>
      </w:r>
      <w:r w:rsidR="001F09E9" w:rsidRPr="00052524">
        <w:rPr>
          <w:szCs w:val="22"/>
        </w:rPr>
        <w:t>0 –</w:t>
      </w:r>
      <w:r w:rsidR="00437D2A" w:rsidRPr="00052524">
        <w:rPr>
          <w:szCs w:val="22"/>
        </w:rPr>
        <w:t xml:space="preserve"> нейтральное; </w:t>
      </w:r>
      <w:r w:rsidR="00E57809" w:rsidRPr="00052524">
        <w:rPr>
          <w:szCs w:val="22"/>
        </w:rPr>
        <w:t>-</w:t>
      </w:r>
      <w:r w:rsidRPr="00052524">
        <w:rPr>
          <w:szCs w:val="22"/>
        </w:rPr>
        <w:t>1 – негативное.</w:t>
      </w:r>
    </w:p>
    <w:p w:rsidR="00BA23AB" w:rsidRDefault="00BA23AB" w:rsidP="00BA23AB">
      <w:pPr>
        <w:pStyle w:val="1"/>
      </w:pPr>
      <w:r>
        <w:t xml:space="preserve">4. </w:t>
      </w:r>
      <w:r w:rsidR="00765FE3" w:rsidRPr="0069689A">
        <w:t>Предложенный подход</w:t>
      </w:r>
    </w:p>
    <w:p w:rsidR="00C04C6C" w:rsidRPr="0069689A" w:rsidRDefault="00BA23AB" w:rsidP="00BA23AB">
      <w:pPr>
        <w:pStyle w:val="2"/>
      </w:pPr>
      <w:r>
        <w:t xml:space="preserve">4.1 </w:t>
      </w:r>
      <w:r w:rsidR="00C04C6C" w:rsidRPr="0069689A">
        <w:t>Обработка сообщений тестовой и обучающей коллекций</w:t>
      </w:r>
    </w:p>
    <w:p w:rsidR="006D36D5" w:rsidRPr="00437D2A" w:rsidRDefault="005F391A" w:rsidP="00437D2A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sdt>
        <w:sdtPr>
          <w:id w:val="-611047498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Pan</w:instrText>
          </w:r>
          <w:r w:rsidR="007941F8" w:rsidRPr="007941F8">
            <w:instrText>02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Pang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B</w:t>
          </w:r>
          <w:r w:rsidR="00E87380" w:rsidRPr="00134D36">
            <w:rPr>
              <w:noProof/>
            </w:rPr>
            <w:t>., 2002)</w:t>
          </w:r>
          <w:r w:rsidR="007941F8">
            <w:fldChar w:fldCharType="end"/>
          </w:r>
        </w:sdtContent>
      </w:sdt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057EE" w:rsidRPr="00D057EE">
        <w:t xml:space="preserve"> </w:t>
      </w:r>
      <w:sdt>
        <w:sdtPr>
          <w:id w:val="-2094766307"/>
          <w:citation/>
        </w:sdtPr>
        <w:sdtContent>
          <w:r w:rsidR="00D057EE">
            <w:fldChar w:fldCharType="begin"/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CITATION</w:instrText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LIB</w:instrText>
          </w:r>
          <w:r w:rsidR="00D057EE" w:rsidRPr="00D057EE">
            <w:instrText>11 \</w:instrText>
          </w:r>
          <w:r w:rsidR="00D057EE">
            <w:rPr>
              <w:lang w:val="en-US"/>
            </w:rPr>
            <w:instrText>l</w:instrText>
          </w:r>
          <w:r w:rsidR="00D057EE" w:rsidRPr="00D057EE">
            <w:instrText xml:space="preserve"> 1033 </w:instrText>
          </w:r>
          <w:r w:rsidR="00D057EE">
            <w:fldChar w:fldCharType="separate"/>
          </w:r>
          <w:r w:rsidR="00E87380" w:rsidRPr="00134D36">
            <w:rPr>
              <w:noProof/>
            </w:rPr>
            <w:t>(</w:t>
          </w:r>
          <w:r w:rsidR="00E87380" w:rsidRPr="00E87380">
            <w:rPr>
              <w:noProof/>
              <w:lang w:val="en-US"/>
            </w:rPr>
            <w:t>Chang</w:t>
          </w:r>
          <w:r w:rsidR="00E87380" w:rsidRPr="00134D36">
            <w:rPr>
              <w:noProof/>
            </w:rPr>
            <w:t xml:space="preserve"> </w:t>
          </w:r>
          <w:r w:rsidR="00E87380" w:rsidRPr="00E87380">
            <w:rPr>
              <w:noProof/>
              <w:lang w:val="en-US"/>
            </w:rPr>
            <w:t>Chih</w:t>
          </w:r>
          <w:r w:rsidR="00E87380" w:rsidRPr="00134D36">
            <w:rPr>
              <w:noProof/>
            </w:rPr>
            <w:t>-</w:t>
          </w:r>
          <w:r w:rsidR="00E87380" w:rsidRPr="00E87380">
            <w:rPr>
              <w:noProof/>
              <w:lang w:val="en-US"/>
            </w:rPr>
            <w:t>Chung</w:t>
          </w:r>
          <w:r w:rsidR="00E87380" w:rsidRPr="00134D36">
            <w:rPr>
              <w:noProof/>
            </w:rPr>
            <w:t>, 2011)</w:t>
          </w:r>
          <w:r w:rsidR="00D057EE">
            <w:fldChar w:fldCharType="end"/>
          </w:r>
        </w:sdtContent>
      </w:sdt>
      <w:r w:rsidR="001A760A" w:rsidRPr="00754771">
        <w:t>.</w:t>
      </w:r>
      <w:r w:rsidR="00437D2A">
        <w:t xml:space="preserve"> </w:t>
      </w:r>
      <w:r w:rsidR="00E27F64"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2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3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0B4659" w:rsidP="00437D2A">
      <w:pPr>
        <w:pStyle w:val="a9"/>
        <w:ind w:left="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0B4659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0B4659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sdt>
        <w:sdtPr>
          <w:rPr>
            <w:szCs w:val="22"/>
          </w:rPr>
          <w:id w:val="397642215"/>
          <w:citation/>
        </w:sdtPr>
        <w:sdtContent>
          <w:r w:rsidR="00C912B1">
            <w:rPr>
              <w:szCs w:val="22"/>
            </w:rPr>
            <w:fldChar w:fldCharType="begin"/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CITATION</w:instrText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Moh</w:instrText>
          </w:r>
          <w:r w:rsidR="00C912B1" w:rsidRPr="00C912B1">
            <w:rPr>
              <w:szCs w:val="22"/>
            </w:rPr>
            <w:instrText xml:space="preserve"> \</w:instrText>
          </w:r>
          <w:r w:rsidR="00C912B1">
            <w:rPr>
              <w:szCs w:val="22"/>
              <w:lang w:val="en-US"/>
            </w:rPr>
            <w:instrText>l</w:instrText>
          </w:r>
          <w:r w:rsidR="00C912B1" w:rsidRPr="00C912B1">
            <w:rPr>
              <w:szCs w:val="22"/>
            </w:rPr>
            <w:instrText xml:space="preserve"> 1033 </w:instrText>
          </w:r>
          <w:r w:rsidR="00C912B1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C912B1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0B4659" w:rsidP="00437D2A">
      <w:pPr>
        <w:pStyle w:val="a9"/>
        <w:spacing w:after="20"/>
        <w:ind w:left="284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           x 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  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4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D057EE">
        <w:rPr>
          <w:szCs w:val="22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sdt>
        <w:sdtPr>
          <w:rPr>
            <w:szCs w:val="22"/>
          </w:rPr>
          <w:id w:val="-33970305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D057EE">
            <w:rPr>
              <w:szCs w:val="22"/>
            </w:rPr>
            <w:instrText>15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D057EE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2015)</w:t>
          </w:r>
          <w:r w:rsidR="007941F8">
            <w:rPr>
              <w:szCs w:val="22"/>
            </w:rPr>
            <w:fldChar w:fldCharType="end"/>
          </w:r>
        </w:sdtContent>
      </w:sdt>
      <w:r w:rsidRPr="00D057EE">
        <w:rPr>
          <w:szCs w:val="22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sdt>
        <w:sdtPr>
          <w:rPr>
            <w:szCs w:val="22"/>
          </w:rPr>
          <w:id w:val="71538704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6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1" w:name="_Ref456169106"/>
      <w:bookmarkStart w:id="2" w:name="_Ref456169058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</w:t>
      </w:r>
      <w:r w:rsidR="00756416">
        <w:rPr>
          <w:noProof/>
        </w:rPr>
        <w:fldChar w:fldCharType="end"/>
      </w:r>
      <w:bookmarkEnd w:id="1"/>
      <w:r w:rsidRPr="00037C60">
        <w:t xml:space="preserve"> Параметры созданных лексиконов (Количество термов).</w:t>
      </w:r>
      <w:bookmarkEnd w:id="2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B4659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B4659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34D36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BA23AB" w:rsidP="00BA23AB">
      <w:pPr>
        <w:pStyle w:val="2"/>
      </w:pPr>
      <w:r>
        <w:t xml:space="preserve">4.2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sdt>
        <w:sdtPr>
          <w:id w:val="2136903416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Lou</w:instrText>
          </w:r>
          <w:r w:rsidR="007941F8" w:rsidRPr="007941F8">
            <w:instrText>15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Loukachevitch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N</w:t>
          </w:r>
          <w:r w:rsidR="00E87380" w:rsidRPr="00134D36">
            <w:rPr>
              <w:noProof/>
            </w:rPr>
            <w:t>., 2015)</w:t>
          </w:r>
          <w:r w:rsidR="007941F8">
            <w:fldChar w:fldCharType="end"/>
          </w:r>
        </w:sdtContent>
      </w:sdt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DF49A2">
        <w:t xml:space="preserve">Таблица </w:t>
      </w:r>
      <w:r w:rsidR="00DF49A2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3" w:name="_Ref456171363"/>
      <w:r>
        <w:lastRenderedPageBreak/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2</w:t>
      </w:r>
      <w:r w:rsidR="00756416">
        <w:rPr>
          <w:noProof/>
        </w:rPr>
        <w:fldChar w:fldCharType="end"/>
      </w:r>
      <w:bookmarkEnd w:id="3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sdt>
        <w:sdtPr>
          <w:rPr>
            <w:szCs w:val="22"/>
          </w:rPr>
          <w:id w:val="-176644337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161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4" w:name="_Ref45617144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3</w:t>
      </w:r>
      <w:r w:rsidR="00756416">
        <w:rPr>
          <w:noProof/>
        </w:rPr>
        <w:fldChar w:fldCharType="end"/>
      </w:r>
      <w:bookmarkEnd w:id="4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BA23AB">
      <w:pPr>
        <w:pStyle w:val="1"/>
        <w:numPr>
          <w:ilvl w:val="0"/>
          <w:numId w:val="26"/>
        </w:numPr>
      </w:pPr>
      <w:r w:rsidRPr="0069689A">
        <w:t>Предварительное тестирование</w:t>
      </w:r>
    </w:p>
    <w:p w:rsidR="00B1795E" w:rsidRPr="00754771" w:rsidRDefault="003F1123" w:rsidP="006E175D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7"/>
      </w:r>
      <w:r w:rsidR="00252E65" w:rsidRPr="00754771">
        <w:rPr>
          <w:szCs w:val="22"/>
        </w:rPr>
        <w:t xml:space="preserve"> </w:t>
      </w:r>
    </w:p>
    <w:p w:rsidR="00476ECD" w:rsidRDefault="00476ECD" w:rsidP="00B1795E">
      <w:pPr>
        <w:pStyle w:val="af2"/>
      </w:pPr>
      <w:bookmarkStart w:id="5" w:name="_Ref456171556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4</w:t>
      </w:r>
      <w:r w:rsidR="00756416">
        <w:rPr>
          <w:noProof/>
        </w:rPr>
        <w:fldChar w:fldCharType="end"/>
      </w:r>
      <w:bookmarkEnd w:id="5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B4659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B4659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B4659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B4659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FD21CC" w:rsidRDefault="00FD21CC" w:rsidP="00B1795E">
      <w:pPr>
        <w:pStyle w:val="af2"/>
      </w:pPr>
      <w:bookmarkStart w:id="6" w:name="_Ref456171562"/>
    </w:p>
    <w:p w:rsidR="00FD21CC" w:rsidRDefault="00FD21CC" w:rsidP="00B1795E">
      <w:pPr>
        <w:pStyle w:val="af2"/>
      </w:pPr>
    </w:p>
    <w:p w:rsidR="00FD21CC" w:rsidRDefault="00FD21CC" w:rsidP="00B1795E">
      <w:pPr>
        <w:pStyle w:val="af2"/>
      </w:pPr>
    </w:p>
    <w:p w:rsidR="007B6C85" w:rsidRDefault="007B6C85" w:rsidP="00B1795E">
      <w:pPr>
        <w:pStyle w:val="af2"/>
      </w:pPr>
      <w:r>
        <w:lastRenderedPageBreak/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5</w:t>
      </w:r>
      <w:r w:rsidR="00756416">
        <w:rPr>
          <w:noProof/>
        </w:rPr>
        <w:fldChar w:fldCharType="end"/>
      </w:r>
      <w:bookmarkEnd w:id="6"/>
      <w:r>
        <w:t xml:space="preserve"> </w:t>
      </w:r>
      <w:r w:rsidRPr="00F34330">
        <w:t xml:space="preserve">Предварительные результаты тестирования (задача </w:t>
      </w:r>
      <w:r w:rsidR="00134D36">
        <w:t>TCC</w:t>
      </w:r>
      <w:r w:rsidRPr="00F34330">
        <w:t>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134D36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B4659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B4659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B4659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B4659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8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7" w:name="_Ref45617240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6</w:t>
      </w:r>
      <w:r w:rsidR="00756416">
        <w:rPr>
          <w:noProof/>
        </w:rPr>
        <w:fldChar w:fldCharType="end"/>
      </w:r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A029FB" w:rsidRPr="0069689A" w:rsidRDefault="00765FE3" w:rsidP="00BA23AB">
      <w:pPr>
        <w:pStyle w:val="1"/>
        <w:numPr>
          <w:ilvl w:val="0"/>
          <w:numId w:val="26"/>
        </w:numPr>
      </w:pPr>
      <w:r w:rsidRPr="0069689A"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D057EE" w:rsidRPr="00D057EE">
        <w:rPr>
          <w:szCs w:val="22"/>
        </w:rPr>
        <w:t xml:space="preserve"> </w:t>
      </w:r>
      <w:sdt>
        <w:sdtPr>
          <w:rPr>
            <w:szCs w:val="22"/>
            <w:lang w:val="en-US"/>
          </w:rPr>
          <w:id w:val="-1531024365"/>
          <w:citation/>
        </w:sdtPr>
        <w:sdtContent>
          <w:r w:rsidR="00D057EE">
            <w:rPr>
              <w:szCs w:val="22"/>
              <w:lang w:val="en-US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Lou</w:instrText>
          </w:r>
          <w:r w:rsidR="00D057EE" w:rsidRPr="00D057EE">
            <w:rPr>
              <w:szCs w:val="22"/>
            </w:rPr>
            <w:instrText>161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  <w:lang w:val="en-US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D057EE">
            <w:rPr>
              <w:szCs w:val="22"/>
              <w:lang w:val="en-US"/>
            </w:rPr>
            <w:fldChar w:fldCharType="end"/>
          </w:r>
        </w:sdtContent>
      </w:sdt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 w:rsidRPr="00675E18">
        <w:rPr>
          <w:rStyle w:val="af3"/>
          <w:i w:val="0"/>
        </w:rPr>
        <w:t xml:space="preserve">Таблица </w:t>
      </w:r>
      <w:r w:rsidR="00DF49A2">
        <w:rPr>
          <w:rStyle w:val="af3"/>
          <w:i w:val="0"/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FD21CC" w:rsidRDefault="00FD21CC" w:rsidP="00675E18">
      <w:pPr>
        <w:pStyle w:val="af2"/>
        <w:spacing w:before="120"/>
        <w:rPr>
          <w:rStyle w:val="af3"/>
          <w:i/>
        </w:rPr>
      </w:pPr>
      <w:bookmarkStart w:id="8" w:name="_Ref456172594"/>
    </w:p>
    <w:p w:rsidR="00FD21CC" w:rsidRDefault="00FD21CC" w:rsidP="00675E18">
      <w:pPr>
        <w:pStyle w:val="af2"/>
        <w:spacing w:before="120"/>
        <w:rPr>
          <w:rStyle w:val="af3"/>
          <w:i/>
        </w:rPr>
      </w:pPr>
    </w:p>
    <w:p w:rsidR="00FD21CC" w:rsidRDefault="00FD21CC" w:rsidP="00675E18">
      <w:pPr>
        <w:pStyle w:val="af2"/>
        <w:spacing w:before="120"/>
        <w:rPr>
          <w:rStyle w:val="af3"/>
          <w:i/>
        </w:rPr>
      </w:pPr>
    </w:p>
    <w:p w:rsidR="00FD21CC" w:rsidRDefault="00FD21CC" w:rsidP="00675E18">
      <w:pPr>
        <w:pStyle w:val="af2"/>
        <w:spacing w:before="120"/>
        <w:rPr>
          <w:rStyle w:val="af3"/>
          <w:i/>
        </w:rPr>
      </w:pPr>
    </w:p>
    <w:p w:rsidR="00FD21CC" w:rsidRDefault="00FD21CC" w:rsidP="00675E18">
      <w:pPr>
        <w:pStyle w:val="af2"/>
        <w:spacing w:before="120"/>
        <w:rPr>
          <w:rStyle w:val="af3"/>
          <w:i/>
        </w:rPr>
      </w:pPr>
    </w:p>
    <w:p w:rsidR="00FD21CC" w:rsidRDefault="00FD21CC" w:rsidP="00675E18">
      <w:pPr>
        <w:pStyle w:val="af2"/>
        <w:spacing w:before="120"/>
        <w:rPr>
          <w:rStyle w:val="af3"/>
          <w:i/>
        </w:rPr>
      </w:pPr>
    </w:p>
    <w:p w:rsidR="005B2347" w:rsidRPr="00675E18" w:rsidRDefault="005B2347" w:rsidP="00675E18">
      <w:pPr>
        <w:pStyle w:val="af2"/>
        <w:spacing w:before="120"/>
      </w:pPr>
      <w:r w:rsidRPr="00675E18">
        <w:rPr>
          <w:rStyle w:val="af3"/>
          <w:i/>
        </w:rPr>
        <w:lastRenderedPageBreak/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DF49A2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8</w:t>
      </w:r>
      <w:r w:rsidR="00756416">
        <w:rPr>
          <w:noProof/>
        </w:rPr>
        <w:fldChar w:fldCharType="end"/>
      </w:r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</w:t>
      </w:r>
      <w:r w:rsidR="00134D36">
        <w:t>TCC</w:t>
      </w:r>
      <w:r w:rsidRPr="006A32DC">
        <w:t>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134D36" w:rsidRDefault="00285173" w:rsidP="00134D36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  <w:r w:rsidR="00134D36">
        <w:rPr>
          <w:szCs w:val="22"/>
        </w:rPr>
        <w:t xml:space="preserve"> </w:t>
      </w:r>
      <w:r w:rsidRPr="00134D36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134D36">
        <w:rPr>
          <w:szCs w:val="22"/>
        </w:rPr>
        <w:t>при</w:t>
      </w:r>
      <w:r w:rsidRPr="00134D36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134D36">
        <w:rPr>
          <w:szCs w:val="22"/>
        </w:rPr>
        <w:t xml:space="preserve"> (</w:t>
      </w:r>
      <w:proofErr w:type="gramEnd"/>
      <w:r w:rsidRPr="00134D36">
        <w:rPr>
          <w:szCs w:val="22"/>
        </w:rPr>
        <w:t>см.</w:t>
      </w:r>
      <w:r w:rsidR="00675E18" w:rsidRPr="00134D36">
        <w:rPr>
          <w:szCs w:val="22"/>
        </w:rPr>
        <w:t xml:space="preserve"> </w:t>
      </w:r>
      <w:r w:rsidR="00675E18" w:rsidRPr="00134D36">
        <w:rPr>
          <w:szCs w:val="22"/>
        </w:rPr>
        <w:fldChar w:fldCharType="begin"/>
      </w:r>
      <w:r w:rsidR="00675E18" w:rsidRPr="00134D36">
        <w:rPr>
          <w:szCs w:val="22"/>
        </w:rPr>
        <w:instrText xml:space="preserve"> REF _Ref456172675 \h </w:instrText>
      </w:r>
      <w:r w:rsidR="00675E18" w:rsidRPr="00134D36">
        <w:rPr>
          <w:szCs w:val="22"/>
        </w:rPr>
      </w:r>
      <w:r w:rsidR="00675E18" w:rsidRPr="00134D36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9</w:t>
      </w:r>
      <w:r w:rsidR="00675E18" w:rsidRPr="00134D36">
        <w:rPr>
          <w:szCs w:val="22"/>
        </w:rPr>
        <w:fldChar w:fldCharType="end"/>
      </w:r>
      <w:r w:rsidRPr="00134D36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9</w:t>
      </w:r>
      <w:r w:rsidR="00756416">
        <w:rPr>
          <w:noProof/>
        </w:rPr>
        <w:fldChar w:fldCharType="end"/>
      </w:r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Cost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B4659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>ные термы и хэштеги, применялись тональные префиксы</w:t>
      </w:r>
      <w:r w:rsidR="00E80392" w:rsidRPr="00754771">
        <w:rPr>
          <w:szCs w:val="22"/>
        </w:rPr>
        <w:t xml:space="preserve">, а также учитывались все признаки. Изменения в настройках касались только числа используемых лексиконов, а также признаков построенных на их </w:t>
      </w:r>
      <w:r w:rsidR="00E80392" w:rsidRPr="00754771">
        <w:rPr>
          <w:szCs w:val="22"/>
        </w:rPr>
        <w:lastRenderedPageBreak/>
        <w:t>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10</w:t>
      </w:r>
      <w:r w:rsidR="00756416">
        <w:rPr>
          <w:noProof/>
        </w:rPr>
        <w:fldChar w:fldCharType="end"/>
      </w:r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34D36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B4659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2E4B0E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 xml:space="preserve">Наибольший прирост качества достигается в случае, если классификатор был обучен </w:t>
      </w:r>
      <w:r w:rsidR="00100C2E" w:rsidRPr="00754771">
        <w:rPr>
          <w:szCs w:val="22"/>
        </w:rPr>
        <w:lastRenderedPageBreak/>
        <w:t>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9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11</w:t>
      </w:r>
      <w:r w:rsidR="00756416">
        <w:rPr>
          <w:noProof/>
        </w:rPr>
        <w:fldChar w:fldCharType="end"/>
      </w:r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134D36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0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B4659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B4659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B4659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B4659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941F8" w:rsidRDefault="00E05DB3" w:rsidP="00100C2E">
      <w:pPr>
        <w:rPr>
          <w:szCs w:val="22"/>
          <w:lang w:val="en-US"/>
        </w:rPr>
      </w:pPr>
      <w:r w:rsidRPr="00754771">
        <w:rPr>
          <w:szCs w:val="22"/>
        </w:rPr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>Таблица</w:t>
      </w:r>
      <w:r w:rsidR="00DF49A2" w:rsidRPr="00756416">
        <w:rPr>
          <w:lang w:val="en-US"/>
        </w:rPr>
        <w:t xml:space="preserve"> </w:t>
      </w:r>
      <w:r w:rsidR="00DF49A2" w:rsidRPr="00756416">
        <w:rPr>
          <w:noProof/>
          <w:lang w:val="en-US"/>
        </w:rPr>
        <w:t>10</w:t>
      </w:r>
      <w:r w:rsidR="00CC63AC">
        <w:rPr>
          <w:szCs w:val="22"/>
        </w:rPr>
        <w:fldChar w:fldCharType="end"/>
      </w:r>
      <w:r w:rsidR="00E36FE5" w:rsidRPr="007941F8">
        <w:rPr>
          <w:szCs w:val="22"/>
          <w:lang w:val="en-US"/>
        </w:rPr>
        <w:t xml:space="preserve">, </w:t>
      </w:r>
      <w:r w:rsidR="00E36FE5" w:rsidRPr="00754771">
        <w:rPr>
          <w:szCs w:val="22"/>
        </w:rPr>
        <w:t>прогон</w:t>
      </w:r>
      <w:r w:rsidR="00E36FE5" w:rsidRPr="007941F8">
        <w:rPr>
          <w:szCs w:val="22"/>
          <w:lang w:val="en-US"/>
        </w:rPr>
        <w:t xml:space="preserve"> №3</w:t>
      </w:r>
      <w:r w:rsidR="006830A9" w:rsidRPr="007941F8">
        <w:rPr>
          <w:szCs w:val="22"/>
          <w:lang w:val="en-US"/>
        </w:rPr>
        <w:t>).</w:t>
      </w:r>
    </w:p>
    <w:p w:rsidR="002970D1" w:rsidRPr="007941F8" w:rsidRDefault="002970D1" w:rsidP="00100C2E">
      <w:pPr>
        <w:rPr>
          <w:szCs w:val="22"/>
          <w:lang w:val="en-US"/>
        </w:rPr>
      </w:pPr>
    </w:p>
    <w:sdt>
      <w:sdtPr>
        <w:rPr>
          <w:rFonts w:eastAsia="SimSun"/>
          <w:b w:val="0"/>
          <w:bCs w:val="0"/>
          <w:sz w:val="22"/>
          <w:szCs w:val="24"/>
        </w:rPr>
        <w:id w:val="-32277673"/>
        <w:docPartObj>
          <w:docPartGallery w:val="Bibliographies"/>
          <w:docPartUnique/>
        </w:docPartObj>
      </w:sdtPr>
      <w:sdtContent>
        <w:p w:rsidR="00D057EE" w:rsidRPr="00756416" w:rsidRDefault="00D057EE" w:rsidP="00B9297A">
          <w:pPr>
            <w:pStyle w:val="1"/>
            <w:pageBreakBefore/>
            <w:ind w:left="357"/>
            <w:rPr>
              <w:lang w:val="en-US"/>
            </w:rPr>
          </w:pPr>
          <w:r>
            <w:t>Список</w:t>
          </w:r>
          <w:r w:rsidRPr="00756416">
            <w:rPr>
              <w:lang w:val="en-US"/>
            </w:rPr>
            <w:t xml:space="preserve"> </w:t>
          </w:r>
          <w:r>
            <w:t>литературы</w:t>
          </w:r>
        </w:p>
        <w:sdt>
          <w:sdtPr>
            <w:rPr>
              <w:szCs w:val="24"/>
            </w:rPr>
            <w:id w:val="111145805"/>
            <w:bibliography/>
          </w:sdtPr>
          <w:sdtContent>
            <w:p w:rsidR="00E87380" w:rsidRPr="00E87380" w:rsidRDefault="00D057EE" w:rsidP="00E87380">
              <w:pPr>
                <w:pStyle w:val="a7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057E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87380" w:rsidRPr="00E87380">
                <w:rPr>
                  <w:b/>
                  <w:bCs/>
                  <w:noProof/>
                  <w:lang w:val="en-US"/>
                </w:rPr>
                <w:t>Chang Chih-Chung Lin Chih-Jen</w:t>
              </w:r>
              <w:r w:rsidR="00E87380" w:rsidRPr="00E87380">
                <w:rPr>
                  <w:noProof/>
                  <w:lang w:val="en-US"/>
                </w:rPr>
                <w:t xml:space="preserve"> LIBSVM : a library for support vector machines. ACM Transactions on Intelligent Systems and Technology, 2:27:1--27:27, [</w:t>
              </w:r>
              <w:r w:rsidR="00E87380">
                <w:rPr>
                  <w:noProof/>
                </w:rPr>
                <w:t>В</w:t>
              </w:r>
              <w:r w:rsidR="00E87380" w:rsidRPr="00E87380">
                <w:rPr>
                  <w:noProof/>
                  <w:lang w:val="en-US"/>
                </w:rPr>
                <w:t xml:space="preserve"> </w:t>
              </w:r>
              <w:r w:rsidR="00E87380">
                <w:rPr>
                  <w:noProof/>
                </w:rPr>
                <w:t>Интернете</w:t>
              </w:r>
              <w:r w:rsidR="00E87380" w:rsidRPr="00E87380">
                <w:rPr>
                  <w:noProof/>
                  <w:lang w:val="en-US"/>
                </w:rPr>
                <w:t xml:space="preserve">]. - 2011 </w:t>
              </w:r>
              <w:r w:rsidR="00E87380">
                <w:rPr>
                  <w:noProof/>
                </w:rPr>
                <w:t>г</w:t>
              </w:r>
              <w:r w:rsidR="00E87380" w:rsidRPr="00E87380">
                <w:rPr>
                  <w:noProof/>
                  <w:lang w:val="en-US"/>
                </w:rPr>
                <w:t>.. - http://www.csie.ntu.edu.tw/~cjlin/libsvm.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Blinov P., Kotelnikov E., Rubtsova Yu., Ivanov V., Tutubalina E.</w:t>
              </w:r>
              <w:r w:rsidRPr="00E87380">
                <w:rPr>
                  <w:noProof/>
                  <w:lang w:val="en-US"/>
                </w:rPr>
                <w:t xml:space="preserve"> SentiRuEval: testing object-oriented sentiment analysis systems in Russian, Proceedings of International Conference Dialog-2015, Vol. 2, pp. 3-13.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- 2015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Levchik A.</w:t>
              </w:r>
              <w:r w:rsidRPr="00E87380">
                <w:rPr>
                  <w:noProof/>
                  <w:lang w:val="en-US"/>
                </w:rPr>
                <w:t xml:space="preserve"> Building lexicon of valuable Russian words of RuSentileks language, [Sozdanie leksikona ocenochnyh slov russkogo jazyka RuSentileks], Proceedings of Conference OSTIS-2016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стр</w:t>
              </w:r>
              <w:r w:rsidRPr="00E87380">
                <w:rPr>
                  <w:noProof/>
                  <w:lang w:val="en-US"/>
                </w:rPr>
                <w:t>. 377-382.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Rubtsova Yu.</w:t>
              </w:r>
              <w:r w:rsidRPr="00E87380">
                <w:rPr>
                  <w:noProof/>
                  <w:lang w:val="en-US"/>
                </w:rPr>
                <w:t xml:space="preserve"> SentiRuEval-2016: Overcoming Time Gap and Data Sparsity in Tweet Sentiment Analysis, Proceedings of International Conference Dialog-2016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Pang B. Lee L., Vaithyanathan S.</w:t>
              </w:r>
              <w:r>
                <w:rPr>
                  <w:noProof/>
                  <w:lang w:val="en-US"/>
                </w:rPr>
                <w:t xml:space="preserve"> Thumbs up: sentiment classification using machine learning techniques. In Proceedings of the ACL-02 conference on Empirical methods in natural language processing, Association for Computational Linguistics [Journal]. - 2002. - Vol. Vol. 1.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Saif M. Mohammad M., Kiritchenko S., Xiaodan Zhu</w:t>
              </w:r>
              <w:r>
                <w:rPr>
                  <w:noProof/>
                  <w:lang w:val="en-US"/>
                </w:rPr>
                <w:t xml:space="preserve"> NRC-Canada: Building the State-of-the-Art in Sentiment Analysis of Tweets [Journal].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Severyn A. Moschitti A.</w:t>
              </w:r>
              <w:r w:rsidRPr="00E87380">
                <w:rPr>
                  <w:noProof/>
                  <w:lang w:val="en-US"/>
                </w:rPr>
                <w:t xml:space="preserve"> On the Automatic Learning of Sentiment Lexicons [</w:t>
              </w:r>
              <w:r>
                <w:rPr>
                  <w:noProof/>
                </w:rPr>
                <w:t>Статья</w:t>
              </w:r>
              <w:r w:rsidRPr="00E87380">
                <w:rPr>
                  <w:noProof/>
                  <w:lang w:val="en-US"/>
                </w:rPr>
                <w:t>].</w:t>
              </w:r>
            </w:p>
            <w:p w:rsidR="00E87380" w:rsidRDefault="00E87380" w:rsidP="00E87380">
              <w:pPr>
                <w:pStyle w:val="a7"/>
                <w:rPr>
                  <w:noProof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Turney P</w:t>
              </w:r>
              <w:r w:rsidRPr="00E87380">
                <w:rPr>
                  <w:noProof/>
                  <w:lang w:val="en-US"/>
                </w:rPr>
                <w:t xml:space="preserve"> Thumbs up or thumbs down?: semantic orientation applied to unsupervised classification of reviews, Proceeding ACL '02 Proceedings of the 40th Annual Meeting on Association for Computational Linguistics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- 2002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стр. 417-424.</w:t>
              </w:r>
            </w:p>
            <w:p w:rsidR="00D057EE" w:rsidRDefault="00D057EE" w:rsidP="00E873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57EE" w:rsidRDefault="00D057EE" w:rsidP="00396622">
      <w:pPr>
        <w:spacing w:after="120"/>
        <w:rPr>
          <w:szCs w:val="22"/>
          <w:lang w:val="en-US"/>
        </w:rPr>
      </w:pPr>
    </w:p>
    <w:p w:rsidR="00C912B1" w:rsidRPr="00754771" w:rsidRDefault="00C912B1" w:rsidP="00396622">
      <w:pPr>
        <w:spacing w:after="120"/>
        <w:rPr>
          <w:szCs w:val="22"/>
          <w:lang w:val="en-US"/>
        </w:rPr>
      </w:pPr>
    </w:p>
    <w:sectPr w:rsidR="00C912B1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91" w:rsidRDefault="00553891">
      <w:r>
        <w:separator/>
      </w:r>
    </w:p>
  </w:endnote>
  <w:endnote w:type="continuationSeparator" w:id="0">
    <w:p w:rsidR="00553891" w:rsidRDefault="0055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SFTI144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659" w:rsidRDefault="000B4659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B9297A">
      <w:rPr>
        <w:noProof/>
        <w:lang w:val="en-US"/>
      </w:rPr>
      <w:t>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91" w:rsidRDefault="00553891">
      <w:r>
        <w:rPr>
          <w:color w:val="000000"/>
        </w:rPr>
        <w:separator/>
      </w:r>
    </w:p>
  </w:footnote>
  <w:footnote w:type="continuationSeparator" w:id="0">
    <w:p w:rsidR="00553891" w:rsidRDefault="00553891">
      <w:r>
        <w:continuationSeparator/>
      </w:r>
    </w:p>
  </w:footnote>
  <w:footnote w:id="1">
    <w:p w:rsidR="000B4659" w:rsidRPr="00B935A5" w:rsidRDefault="000B4659">
      <w:pPr>
        <w:pStyle w:val="aa"/>
        <w:rPr>
          <w:sz w:val="18"/>
        </w:rPr>
      </w:pPr>
      <w:r>
        <w:rPr>
          <w:rStyle w:val="ac"/>
        </w:rPr>
        <w:footnoteRef/>
      </w:r>
      <w:r>
        <w:t xml:space="preserve"> </w:t>
      </w:r>
      <w:r w:rsidRPr="00B935A5">
        <w:rPr>
          <w:sz w:val="18"/>
        </w:rPr>
        <w:t>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0B4659" w:rsidRPr="007C372C" w:rsidRDefault="000B4659">
      <w:pPr>
        <w:pStyle w:val="aa"/>
      </w:pPr>
      <w:r w:rsidRPr="00B935A5">
        <w:rPr>
          <w:rStyle w:val="ac"/>
          <w:sz w:val="18"/>
        </w:rPr>
        <w:footnoteRef/>
      </w:r>
      <w:r w:rsidRPr="00B935A5">
        <w:rPr>
          <w:sz w:val="18"/>
        </w:rPr>
        <w:t xml:space="preserve"> 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sz w:val="18"/>
        </w:rPr>
        <w:t xml:space="preserve"> – морфологический анализ текста: </w:t>
      </w:r>
      <w:r w:rsidRPr="00B935A5">
        <w:rPr>
          <w:rFonts w:ascii="Consolas" w:hAnsi="Consolas" w:cs="Consolas"/>
          <w:sz w:val="18"/>
          <w:lang w:val="en-US"/>
        </w:rPr>
        <w:t>https</w:t>
      </w:r>
      <w:r w:rsidRPr="00B935A5">
        <w:rPr>
          <w:rFonts w:ascii="Consolas" w:hAnsi="Consolas" w:cs="Consolas"/>
          <w:sz w:val="18"/>
        </w:rPr>
        <w:t>://</w:t>
      </w:r>
      <w:r w:rsidRPr="00B935A5">
        <w:rPr>
          <w:rFonts w:ascii="Consolas" w:hAnsi="Consolas" w:cs="Consolas"/>
          <w:sz w:val="18"/>
          <w:lang w:val="en-US"/>
        </w:rPr>
        <w:t>tech</w:t>
      </w:r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yandex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ru</w:t>
      </w:r>
      <w:proofErr w:type="spellEnd"/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rFonts w:ascii="Consolas" w:hAnsi="Consolas" w:cs="Consolas"/>
          <w:sz w:val="18"/>
        </w:rPr>
        <w:t>/</w:t>
      </w:r>
    </w:p>
  </w:footnote>
  <w:footnote w:id="3">
    <w:p w:rsidR="000B4659" w:rsidRPr="00B935A5" w:rsidRDefault="000B4659">
      <w:pPr>
        <w:pStyle w:val="aa"/>
      </w:pPr>
      <w:r>
        <w:rPr>
          <w:rStyle w:val="ac"/>
        </w:rPr>
        <w:footnoteRef/>
      </w:r>
      <w:r w:rsidRPr="00B935A5">
        <w:t xml:space="preserve"> </w:t>
      </w:r>
      <w:r w:rsidRPr="00B935A5">
        <w:rPr>
          <w:rFonts w:ascii="Consolas" w:hAnsi="Consolas" w:cs="Consolas"/>
          <w:lang w:val="en-US"/>
        </w:rPr>
        <w:t>https</w:t>
      </w:r>
      <w:r w:rsidRPr="00B935A5">
        <w:rPr>
          <w:rFonts w:ascii="Consolas" w:hAnsi="Consolas" w:cs="Consolas"/>
        </w:rPr>
        <w:t>://</w:t>
      </w:r>
      <w:proofErr w:type="spellStart"/>
      <w:r w:rsidRPr="00B935A5">
        <w:rPr>
          <w:rFonts w:ascii="Consolas" w:hAnsi="Consolas" w:cs="Consolas"/>
          <w:sz w:val="18"/>
          <w:lang w:val="en-US"/>
        </w:rPr>
        <w:t>github</w:t>
      </w:r>
      <w:proofErr w:type="spellEnd"/>
      <w:r w:rsidRPr="00B935A5">
        <w:rPr>
          <w:rFonts w:ascii="Consolas" w:hAnsi="Consolas" w:cs="Consolas"/>
          <w:sz w:val="18"/>
        </w:rPr>
        <w:t>.</w:t>
      </w:r>
      <w:r w:rsidRPr="00B935A5">
        <w:rPr>
          <w:rFonts w:ascii="Consolas" w:hAnsi="Consolas" w:cs="Consolas"/>
          <w:sz w:val="18"/>
          <w:lang w:val="en-US"/>
        </w:rPr>
        <w:t>com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nicolay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tone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classifier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tree</w:t>
      </w:r>
      <w:r w:rsidRPr="00B935A5">
        <w:rPr>
          <w:rFonts w:ascii="Consolas" w:hAnsi="Consolas" w:cs="Consolas"/>
          <w:sz w:val="18"/>
        </w:rPr>
        <w:t>/2016_</w:t>
      </w:r>
      <w:proofErr w:type="spellStart"/>
      <w:r w:rsidRPr="00B935A5">
        <w:rPr>
          <w:rFonts w:ascii="Consolas" w:hAnsi="Consolas" w:cs="Consolas"/>
          <w:sz w:val="18"/>
          <w:lang w:val="en-US"/>
        </w:rPr>
        <w:t>jan</w:t>
      </w:r>
      <w:proofErr w:type="spellEnd"/>
      <w:r w:rsidRPr="00B935A5">
        <w:rPr>
          <w:rFonts w:ascii="Consolas" w:hAnsi="Consolas" w:cs="Consolas"/>
          <w:sz w:val="18"/>
        </w:rPr>
        <w:t>_</w:t>
      </w:r>
      <w:r w:rsidRPr="00B935A5">
        <w:rPr>
          <w:rFonts w:ascii="Consolas" w:hAnsi="Consolas" w:cs="Consolas"/>
          <w:sz w:val="18"/>
          <w:lang w:val="en-US"/>
        </w:rPr>
        <w:t>contest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default</w:t>
      </w:r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msg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conf</w:t>
      </w:r>
      <w:proofErr w:type="spellEnd"/>
    </w:p>
  </w:footnote>
  <w:footnote w:id="4">
    <w:p w:rsidR="000B4659" w:rsidRPr="008A2060" w:rsidRDefault="000B4659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5">
    <w:p w:rsidR="000B4659" w:rsidRPr="00BF56F9" w:rsidRDefault="000B4659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6">
    <w:p w:rsidR="000B4659" w:rsidRPr="00134D36" w:rsidRDefault="000B4659" w:rsidP="00525D88">
      <w:pPr>
        <w:rPr>
          <w:lang w:val="en-US"/>
        </w:rPr>
      </w:pPr>
      <w:r w:rsidRPr="00525D88">
        <w:rPr>
          <w:rStyle w:val="ac"/>
          <w:sz w:val="20"/>
          <w:szCs w:val="20"/>
        </w:rPr>
        <w:footnoteRef/>
      </w:r>
      <w:r w:rsidRPr="00134D36">
        <w:rPr>
          <w:sz w:val="20"/>
          <w:szCs w:val="20"/>
          <w:lang w:val="en-US"/>
        </w:rPr>
        <w:t xml:space="preserve"> </w:t>
      </w:r>
      <w:r w:rsidRPr="00134D36">
        <w:rPr>
          <w:color w:val="000000" w:themeColor="text1"/>
          <w:sz w:val="20"/>
          <w:szCs w:val="20"/>
        </w:rPr>
        <w:t>Словарь</w:t>
      </w:r>
      <w:r w:rsidRPr="00134D36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34D36">
        <w:rPr>
          <w:color w:val="000000" w:themeColor="text1"/>
          <w:sz w:val="20"/>
          <w:szCs w:val="20"/>
          <w:lang w:val="en-US"/>
        </w:rPr>
        <w:t>SentiRuLex</w:t>
      </w:r>
      <w:proofErr w:type="spellEnd"/>
      <w:r w:rsidRPr="00134D36">
        <w:rPr>
          <w:color w:val="000000" w:themeColor="text1"/>
          <w:sz w:val="20"/>
          <w:szCs w:val="20"/>
          <w:lang w:val="en-US"/>
        </w:rPr>
        <w:t xml:space="preserve">: </w:t>
      </w:r>
      <w:hyperlink r:id="rId1" w:tgtFrame="_blank" w:history="1">
        <w:r w:rsidRPr="00134D36">
          <w:rPr>
            <w:color w:val="000000" w:themeColor="text1"/>
            <w:sz w:val="20"/>
            <w:szCs w:val="20"/>
            <w:lang w:val="en-US"/>
          </w:rPr>
          <w:t>http://www.labinform.ru/pub/rusentilex/index.htm</w:t>
        </w:r>
      </w:hyperlink>
      <w:r w:rsidRPr="00134D36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 </w:t>
      </w:r>
    </w:p>
  </w:footnote>
  <w:footnote w:id="7">
    <w:p w:rsidR="000B4659" w:rsidRPr="000B3F8B" w:rsidRDefault="000B4659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8">
    <w:p w:rsidR="000B4659" w:rsidRPr="009738DF" w:rsidRDefault="000B4659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9">
    <w:p w:rsidR="000B4659" w:rsidRPr="009D233E" w:rsidRDefault="000B4659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0">
    <w:p w:rsidR="000B4659" w:rsidRPr="003D497C" w:rsidRDefault="000B4659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1">
    <w:p w:rsidR="000B4659" w:rsidRDefault="000B4659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multilevel"/>
    <w:tmpl w:val="17A8D2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58251B0"/>
    <w:multiLevelType w:val="multilevel"/>
    <w:tmpl w:val="2B081A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2D798E"/>
    <w:multiLevelType w:val="hybridMultilevel"/>
    <w:tmpl w:val="167CD9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2BE35ED6"/>
    <w:multiLevelType w:val="multilevel"/>
    <w:tmpl w:val="106C3B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1">
    <w:nsid w:val="316226B4"/>
    <w:multiLevelType w:val="multilevel"/>
    <w:tmpl w:val="F656CCE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56" w:hanging="2160"/>
      </w:pPr>
      <w:rPr>
        <w:rFonts w:hint="default"/>
      </w:rPr>
    </w:lvl>
  </w:abstractNum>
  <w:abstractNum w:abstractNumId="12">
    <w:nsid w:val="32066057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9">
    <w:nsid w:val="44AE142B"/>
    <w:multiLevelType w:val="multilevel"/>
    <w:tmpl w:val="17A8D2CE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1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04F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0C5CD8"/>
    <w:multiLevelType w:val="multilevel"/>
    <w:tmpl w:val="17A8D2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A640F6"/>
    <w:multiLevelType w:val="hybridMultilevel"/>
    <w:tmpl w:val="13DE788E"/>
    <w:lvl w:ilvl="0" w:tplc="8BAAA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3">
    <w:nsid w:val="63020F2E"/>
    <w:multiLevelType w:val="multilevel"/>
    <w:tmpl w:val="2A1E3B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642700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43D3F29"/>
    <w:multiLevelType w:val="hybridMultilevel"/>
    <w:tmpl w:val="60643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D1222D6"/>
    <w:multiLevelType w:val="hybridMultilevel"/>
    <w:tmpl w:val="23082C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A828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0BC2131"/>
    <w:multiLevelType w:val="hybridMultilevel"/>
    <w:tmpl w:val="1BE0DB56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>
    <w:nsid w:val="710F173D"/>
    <w:multiLevelType w:val="hybridMultilevel"/>
    <w:tmpl w:val="40FEA2AA"/>
    <w:lvl w:ilvl="0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2">
    <w:nsid w:val="71B31E45"/>
    <w:multiLevelType w:val="hybridMultilevel"/>
    <w:tmpl w:val="5ACA740C"/>
    <w:lvl w:ilvl="0" w:tplc="CCBAB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093A3D"/>
    <w:multiLevelType w:val="multilevel"/>
    <w:tmpl w:val="4A368C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Microsoft YaHei" w:hAnsi="Times New Roman" w:cs="Mang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2"/>
  </w:num>
  <w:num w:numId="4">
    <w:abstractNumId w:val="14"/>
  </w:num>
  <w:num w:numId="5">
    <w:abstractNumId w:val="20"/>
  </w:num>
  <w:num w:numId="6">
    <w:abstractNumId w:val="29"/>
  </w:num>
  <w:num w:numId="7">
    <w:abstractNumId w:val="28"/>
  </w:num>
  <w:num w:numId="8">
    <w:abstractNumId w:val="15"/>
  </w:num>
  <w:num w:numId="9">
    <w:abstractNumId w:val="31"/>
  </w:num>
  <w:num w:numId="10">
    <w:abstractNumId w:val="5"/>
  </w:num>
  <w:num w:numId="11">
    <w:abstractNumId w:val="16"/>
  </w:num>
  <w:num w:numId="12">
    <w:abstractNumId w:val="18"/>
  </w:num>
  <w:num w:numId="13">
    <w:abstractNumId w:val="24"/>
  </w:num>
  <w:num w:numId="14">
    <w:abstractNumId w:val="36"/>
  </w:num>
  <w:num w:numId="15">
    <w:abstractNumId w:val="6"/>
  </w:num>
  <w:num w:numId="16">
    <w:abstractNumId w:val="30"/>
  </w:num>
  <w:num w:numId="17">
    <w:abstractNumId w:val="44"/>
  </w:num>
  <w:num w:numId="18">
    <w:abstractNumId w:val="25"/>
  </w:num>
  <w:num w:numId="19">
    <w:abstractNumId w:val="21"/>
  </w:num>
  <w:num w:numId="20">
    <w:abstractNumId w:val="0"/>
  </w:num>
  <w:num w:numId="21">
    <w:abstractNumId w:val="8"/>
  </w:num>
  <w:num w:numId="22">
    <w:abstractNumId w:val="7"/>
  </w:num>
  <w:num w:numId="23">
    <w:abstractNumId w:val="45"/>
  </w:num>
  <w:num w:numId="24">
    <w:abstractNumId w:val="1"/>
  </w:num>
  <w:num w:numId="25">
    <w:abstractNumId w:val="43"/>
  </w:num>
  <w:num w:numId="26">
    <w:abstractNumId w:val="9"/>
  </w:num>
  <w:num w:numId="27">
    <w:abstractNumId w:val="13"/>
  </w:num>
  <w:num w:numId="28">
    <w:abstractNumId w:val="38"/>
  </w:num>
  <w:num w:numId="29">
    <w:abstractNumId w:val="27"/>
  </w:num>
  <w:num w:numId="30">
    <w:abstractNumId w:val="40"/>
  </w:num>
  <w:num w:numId="31">
    <w:abstractNumId w:val="19"/>
  </w:num>
  <w:num w:numId="32">
    <w:abstractNumId w:val="42"/>
  </w:num>
  <w:num w:numId="33">
    <w:abstractNumId w:val="37"/>
  </w:num>
  <w:num w:numId="34">
    <w:abstractNumId w:val="41"/>
  </w:num>
  <w:num w:numId="35">
    <w:abstractNumId w:val="4"/>
  </w:num>
  <w:num w:numId="36">
    <w:abstractNumId w:val="35"/>
  </w:num>
  <w:num w:numId="37">
    <w:abstractNumId w:val="26"/>
  </w:num>
  <w:num w:numId="38">
    <w:abstractNumId w:val="23"/>
  </w:num>
  <w:num w:numId="39">
    <w:abstractNumId w:val="11"/>
  </w:num>
  <w:num w:numId="40">
    <w:abstractNumId w:val="19"/>
    <w:lvlOverride w:ilvl="0">
      <w:startOverride w:val="4"/>
    </w:lvlOverride>
  </w:num>
  <w:num w:numId="41">
    <w:abstractNumId w:val="3"/>
  </w:num>
  <w:num w:numId="42">
    <w:abstractNumId w:val="33"/>
  </w:num>
  <w:num w:numId="43">
    <w:abstractNumId w:val="12"/>
  </w:num>
  <w:num w:numId="44">
    <w:abstractNumId w:val="39"/>
  </w:num>
  <w:num w:numId="45">
    <w:abstractNumId w:val="22"/>
  </w:num>
  <w:num w:numId="46">
    <w:abstractNumId w:val="34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52524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B4659"/>
    <w:rsid w:val="000B52F2"/>
    <w:rsid w:val="000C62BC"/>
    <w:rsid w:val="000C664E"/>
    <w:rsid w:val="000D1390"/>
    <w:rsid w:val="000D21D6"/>
    <w:rsid w:val="000D6532"/>
    <w:rsid w:val="000D766B"/>
    <w:rsid w:val="000E2923"/>
    <w:rsid w:val="000E5E31"/>
    <w:rsid w:val="000F2194"/>
    <w:rsid w:val="000F5CD5"/>
    <w:rsid w:val="001005BD"/>
    <w:rsid w:val="00100C2E"/>
    <w:rsid w:val="00100EC6"/>
    <w:rsid w:val="00101847"/>
    <w:rsid w:val="0010558C"/>
    <w:rsid w:val="001100A9"/>
    <w:rsid w:val="001111D4"/>
    <w:rsid w:val="00111A02"/>
    <w:rsid w:val="00115C34"/>
    <w:rsid w:val="00124ECA"/>
    <w:rsid w:val="00126772"/>
    <w:rsid w:val="00131825"/>
    <w:rsid w:val="00134D36"/>
    <w:rsid w:val="0013600D"/>
    <w:rsid w:val="0013676D"/>
    <w:rsid w:val="001372D0"/>
    <w:rsid w:val="00140F32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047A4"/>
    <w:rsid w:val="0021128C"/>
    <w:rsid w:val="00215026"/>
    <w:rsid w:val="0022485F"/>
    <w:rsid w:val="00231116"/>
    <w:rsid w:val="00231562"/>
    <w:rsid w:val="002352C4"/>
    <w:rsid w:val="002361C6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4B0E"/>
    <w:rsid w:val="002E51D5"/>
    <w:rsid w:val="002F3147"/>
    <w:rsid w:val="002F4E87"/>
    <w:rsid w:val="002F6E72"/>
    <w:rsid w:val="00302A4E"/>
    <w:rsid w:val="00303C88"/>
    <w:rsid w:val="00311EE9"/>
    <w:rsid w:val="003131E3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966DB"/>
    <w:rsid w:val="003A07EC"/>
    <w:rsid w:val="003A5966"/>
    <w:rsid w:val="003A71EB"/>
    <w:rsid w:val="003B1061"/>
    <w:rsid w:val="003C2155"/>
    <w:rsid w:val="003D20F3"/>
    <w:rsid w:val="003D269D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37D2A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A7760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0D9C"/>
    <w:rsid w:val="004F67FE"/>
    <w:rsid w:val="004F7F3D"/>
    <w:rsid w:val="005070E4"/>
    <w:rsid w:val="00515BE1"/>
    <w:rsid w:val="00517F65"/>
    <w:rsid w:val="00521044"/>
    <w:rsid w:val="0052399C"/>
    <w:rsid w:val="00525D88"/>
    <w:rsid w:val="00531376"/>
    <w:rsid w:val="00535923"/>
    <w:rsid w:val="00536BA6"/>
    <w:rsid w:val="00540F38"/>
    <w:rsid w:val="0054347D"/>
    <w:rsid w:val="005441EC"/>
    <w:rsid w:val="00553891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032DB"/>
    <w:rsid w:val="00617558"/>
    <w:rsid w:val="006216FC"/>
    <w:rsid w:val="00622F2D"/>
    <w:rsid w:val="00624FAB"/>
    <w:rsid w:val="00630EB3"/>
    <w:rsid w:val="00633BA0"/>
    <w:rsid w:val="006351C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175D"/>
    <w:rsid w:val="006E297B"/>
    <w:rsid w:val="006E53B2"/>
    <w:rsid w:val="006E6420"/>
    <w:rsid w:val="006F6B5C"/>
    <w:rsid w:val="00702E60"/>
    <w:rsid w:val="00704748"/>
    <w:rsid w:val="00710A0D"/>
    <w:rsid w:val="00711400"/>
    <w:rsid w:val="00711C95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56416"/>
    <w:rsid w:val="007614AA"/>
    <w:rsid w:val="00764883"/>
    <w:rsid w:val="00765FE3"/>
    <w:rsid w:val="00766905"/>
    <w:rsid w:val="00772757"/>
    <w:rsid w:val="00772F65"/>
    <w:rsid w:val="00773FA9"/>
    <w:rsid w:val="00782571"/>
    <w:rsid w:val="00786E2F"/>
    <w:rsid w:val="0079337C"/>
    <w:rsid w:val="007941F8"/>
    <w:rsid w:val="00796375"/>
    <w:rsid w:val="00797112"/>
    <w:rsid w:val="007B0E11"/>
    <w:rsid w:val="007B6C85"/>
    <w:rsid w:val="007C0426"/>
    <w:rsid w:val="007C372C"/>
    <w:rsid w:val="007D0786"/>
    <w:rsid w:val="007D293C"/>
    <w:rsid w:val="007E54FE"/>
    <w:rsid w:val="007E5DBA"/>
    <w:rsid w:val="007F11F4"/>
    <w:rsid w:val="007F21DE"/>
    <w:rsid w:val="00801330"/>
    <w:rsid w:val="008106DE"/>
    <w:rsid w:val="00813A1B"/>
    <w:rsid w:val="00816D65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1760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1975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048A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0523"/>
    <w:rsid w:val="00B83DD0"/>
    <w:rsid w:val="00B90A56"/>
    <w:rsid w:val="00B9119C"/>
    <w:rsid w:val="00B9297A"/>
    <w:rsid w:val="00B935A5"/>
    <w:rsid w:val="00B9427D"/>
    <w:rsid w:val="00BA1877"/>
    <w:rsid w:val="00BA23AB"/>
    <w:rsid w:val="00BB48E9"/>
    <w:rsid w:val="00BC4B89"/>
    <w:rsid w:val="00BD0E11"/>
    <w:rsid w:val="00BE367B"/>
    <w:rsid w:val="00BE3735"/>
    <w:rsid w:val="00BF36E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45D8C"/>
    <w:rsid w:val="00C64E6F"/>
    <w:rsid w:val="00C66FD4"/>
    <w:rsid w:val="00C80B0E"/>
    <w:rsid w:val="00C90A53"/>
    <w:rsid w:val="00C912B1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1FB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818"/>
    <w:rsid w:val="00D01DF8"/>
    <w:rsid w:val="00D02CD4"/>
    <w:rsid w:val="00D057EE"/>
    <w:rsid w:val="00D10E57"/>
    <w:rsid w:val="00D13958"/>
    <w:rsid w:val="00D17BDF"/>
    <w:rsid w:val="00D43764"/>
    <w:rsid w:val="00D47FC0"/>
    <w:rsid w:val="00D50F48"/>
    <w:rsid w:val="00D52E7D"/>
    <w:rsid w:val="00D54A07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E4DD8"/>
    <w:rsid w:val="00DF0E94"/>
    <w:rsid w:val="00DF3003"/>
    <w:rsid w:val="00DF49A2"/>
    <w:rsid w:val="00E012F7"/>
    <w:rsid w:val="00E022A3"/>
    <w:rsid w:val="00E05DB3"/>
    <w:rsid w:val="00E07BD0"/>
    <w:rsid w:val="00E11E3D"/>
    <w:rsid w:val="00E129D4"/>
    <w:rsid w:val="00E14818"/>
    <w:rsid w:val="00E16AB7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5750"/>
    <w:rsid w:val="00E66499"/>
    <w:rsid w:val="00E675AF"/>
    <w:rsid w:val="00E76CB8"/>
    <w:rsid w:val="00E76E54"/>
    <w:rsid w:val="00E80392"/>
    <w:rsid w:val="00E8253B"/>
    <w:rsid w:val="00E82A26"/>
    <w:rsid w:val="00E83198"/>
    <w:rsid w:val="00E84816"/>
    <w:rsid w:val="00E84D06"/>
    <w:rsid w:val="00E87380"/>
    <w:rsid w:val="00E96DF1"/>
    <w:rsid w:val="00EA07D5"/>
    <w:rsid w:val="00EA5979"/>
    <w:rsid w:val="00EA67E4"/>
    <w:rsid w:val="00EB024D"/>
    <w:rsid w:val="00EB3D68"/>
    <w:rsid w:val="00EC1BA8"/>
    <w:rsid w:val="00EC27D4"/>
    <w:rsid w:val="00EC5F15"/>
    <w:rsid w:val="00ED0606"/>
    <w:rsid w:val="00ED0DA7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19D5"/>
    <w:rsid w:val="00F5314B"/>
    <w:rsid w:val="00F557CD"/>
    <w:rsid w:val="00F558AC"/>
    <w:rsid w:val="00F725BE"/>
    <w:rsid w:val="00F72AA1"/>
    <w:rsid w:val="00F87074"/>
    <w:rsid w:val="00FA2C9F"/>
    <w:rsid w:val="00FB2B6F"/>
    <w:rsid w:val="00FB4F16"/>
    <w:rsid w:val="00FB79F0"/>
    <w:rsid w:val="00FC15B5"/>
    <w:rsid w:val="00FC64F7"/>
    <w:rsid w:val="00FD21CC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BA23AB"/>
    <w:pPr>
      <w:spacing w:before="120" w:after="0" w:line="360" w:lineRule="auto"/>
      <w:ind w:left="284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BA23AB"/>
    <w:pPr>
      <w:keepNext/>
      <w:keepLines/>
      <w:ind w:left="851" w:firstLine="0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BA23AB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BA23AB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SFTI144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1F"/>
    <w:rsid w:val="000E434C"/>
    <w:rsid w:val="003A2E1F"/>
    <w:rsid w:val="00F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3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Lou15</b:Tag>
    <b:SourceType>JournalArticle</b:SourceType>
    <b:Guid>{26A6B87F-D3B9-4E08-98B5-FD558CE1092A}</b:Guid>
    <b:Author>
      <b:Author>
        <b:NameList>
          <b:Person>
            <b:Last>Loukachevitch N.</b:Last>
            <b:First>Blinov</b:First>
            <b:Middle>P., Kotelnikov E., Rubtsova Yu., Ivanov V., Tutubalina E.</b:Middle>
          </b:Person>
        </b:NameList>
      </b:Author>
    </b:Author>
    <b:Title>SentiRuEval: testing object-oriented sentiment analysis systems in Russian, Proceedings of International Conference Dialog-2015, Vol. 2, pp. 3-13.</b:Title>
    <b:Year>2015</b:Year>
    <b:RefOrder>6</b:RefOrder>
  </b:Source>
  <b:Source>
    <b:Tag>Lou16</b:Tag>
    <b:SourceType>JournalArticle</b:SourceType>
    <b:Guid>{1D19757D-FC47-465A-8A97-356EEB5C06D4}</b:Guid>
    <b:Author>
      <b:Author>
        <b:NameList>
          <b:Person>
            <b:Last>Loukachevitch N.</b:Last>
            <b:First>Levchik</b:First>
            <b:Middle>A.</b:Middle>
          </b:Person>
        </b:NameList>
      </b:Author>
    </b:Author>
    <b:Title>Building lexicon of valuable Russian words of RuSentileks language, [Sozdanie leksikona ocenochnyh slov russkogo jazyka RuSentileks], Proceedings of Conference OSTIS-2016</b:Title>
    <b:Year>2016</b:Year>
    <b:Pages>377-382</b:Pages>
    <b:RefOrder>7</b:RefOrder>
  </b:Source>
  <b:Source>
    <b:Tag>LIB11</b:Tag>
    <b:SourceType>DocumentFromInternetSite</b:SourceType>
    <b:Guid>{FC43E4A4-F451-4A5B-A5D9-FD01C81EE135}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 Chih-Chung</b:Last>
            <b:First>Lin</b:First>
            <b:Middle>Chih-Jen</b:Middle>
          </b:Person>
        </b:NameList>
      </b:Author>
    </b:Author>
    <b:LCID>ru-RU</b:LCID>
    <b:RefOrder>5</b:RefOrder>
  </b:Source>
  <b:Source>
    <b:Tag>Ale</b:Tag>
    <b:SourceType>ArticleInAPeriodical</b:SourceType>
    <b:Guid>{FE97F3FF-CD30-4DAC-9837-E93C777F54DE}</b:Guid>
    <b:Author>
      <b:Author>
        <b:NameList>
          <b:Person>
            <b:Last>Severyn A.</b:Last>
            <b:First>Moschitti</b:First>
            <b:Middle>A.</b:Middle>
          </b:Person>
        </b:NameList>
      </b:Author>
    </b:Author>
    <b:Title>On the Automatic Learning of Sentiment Lexicons</b:Title>
    <b:RefOrder>1</b:RefOrder>
  </b:Source>
  <b:Source>
    <b:Tag>Pan02</b:Tag>
    <b:SourceType>JournalArticle</b:SourceType>
    <b:Guid>{C3D1357D-64FB-481A-AC9D-8D77A4411566}</b:Guid>
    <b:Title>Thumbs up: sentiment classification using machine learning techniques. In Proceedings of the ACL-02 conference on Empirical methods in natural language processing, Association for Computational Linguistics</b:Title>
    <b:Year>2002</b:Year>
    <b:Volume>Vol. 1</b:Volume>
    <b:Author>
      <b:Author>
        <b:NameList>
          <b:Person>
            <b:Last>Pang B.</b:Last>
            <b:First>Lee</b:First>
            <b:Middle>L., Vaithyanathan S.</b:Middle>
          </b:Person>
        </b:NameList>
      </b:Author>
    </b:Author>
    <b:LCID>en-US</b:LCID>
    <b:RefOrder>4</b:RefOrder>
  </b:Source>
  <b:Source>
    <b:Tag>Moh</b:Tag>
    <b:SourceType>JournalArticle</b:SourceType>
    <b:Guid>{DF3083C4-58EF-4309-AC92-7CB020B07397}</b:Guid>
    <b:Title>NRC-Canada: Building the State-of-the-Art in Sentiment Analysis of Tweets</b:Title>
    <b:Author>
      <b:Author>
        <b:NameList>
          <b:Person>
            <b:Last>Saif M.</b:Last>
            <b:First>Mohammad</b:First>
            <b:Middle>M., Kiritchenko S., Xiaodan Zhu</b:Middle>
          </b:Person>
        </b:NameList>
      </b:Author>
    </b:Author>
    <b:LCID>en-US</b:LCID>
    <b:RefOrder>3</b:RefOrder>
  </b:Source>
  <b:Source>
    <b:Tag>Tur02</b:Tag>
    <b:SourceType>JournalArticle</b:SourceType>
    <b:Guid>{7E29E5FB-C378-467D-BB7D-A91B8A4001C1}</b:Guid>
    <b:Author>
      <b:Author>
        <b:NameList>
          <b:Person>
            <b:Last>Turney</b:Last>
            <b:First>P</b:First>
          </b:Person>
        </b:NameList>
      </b:Author>
    </b:Author>
    <b:Title>Thumbs up or thumbs down?: semantic orientation applied to unsupervised classification of reviews, Proceeding ACL '02 Proceedings of the 40th Annual Meeting on Association for Computational Linguistics</b:Title>
    <b:Year>2002</b:Year>
    <b:Pages>417-424</b:Pages>
    <b:RefOrder>2</b:RefOrder>
  </b:Source>
  <b:Source>
    <b:Tag>Lou161</b:Tag>
    <b:SourceType>JournalArticle</b:SourceType>
    <b:Guid>{99E11227-A3CC-487F-81F8-C2403A935297}</b:Guid>
    <b:Author>
      <b:Author>
        <b:NameList>
          <b:Person>
            <b:Last>Loukachevitch N.</b:Last>
            <b:First>Rubtsova</b:First>
            <b:Middle>Yu.</b:Middle>
          </b:Person>
        </b:NameList>
      </b:Author>
    </b:Author>
    <b:Title>SentiRuEval-2016: Overcoming Time Gap and Data Sparsity in Tweet Sentiment Analysis, Proceedings of International Conference Dialog-2016</b:Title>
    <b:Year>2016</b:Year>
    <b:RefOrder>8</b:RefOrder>
  </b:Source>
  <b:Source>
    <b:Tag>Rus16</b:Tag>
    <b:SourceType>JournalArticle</b:SourceType>
    <b:Guid>{AFE6CB78-D6FD-4611-B24E-792DF771E672}</b:Guid>
    <b:Author>
      <b:Author>
        <b:NameList>
          <b:Person>
            <b:Last>L.</b:Last>
            <b:First>Rusnachenko</b:First>
            <b:Middle>N.</b:Middle>
          </b:Person>
        </b:NameList>
      </b:Author>
    </b:Author>
    <b:Title>Use of Lexicons to improve quality of Sentiment Classification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B94B5E50-71EE-4971-B8A4-38AACB3E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13</Pages>
  <Words>3671</Words>
  <Characters>20926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122</cp:revision>
  <cp:lastPrinted>2016-07-17T17:34:00Z</cp:lastPrinted>
  <dcterms:created xsi:type="dcterms:W3CDTF">2016-03-31T13:40:00Z</dcterms:created>
  <dcterms:modified xsi:type="dcterms:W3CDTF">2016-08-13T17:29:00Z</dcterms:modified>
</cp:coreProperties>
</file>