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Fuel Reconciliation Manager</w:t>
      </w:r>
    </w:p>
    <w:p>
      <w:pPr>
        <w:jc w:val="center"/>
      </w:pPr>
      <w:r>
        <w:rPr>
          <w:b/>
          <w:color w:val="5A5A5A"/>
          <w:sz w:val="30"/>
        </w:rPr>
        <w:t>Architecture Decisions &amp; Technical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496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Project</w:t>
            </w:r>
          </w:p>
        </w:tc>
        <w:tc>
          <w:tcPr>
            <w:tcW w:type="dxa" w:w="849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Windows desktop fuel usage and billing reconciliation app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acceptance dataset</w:t>
            </w:r>
          </w:p>
        </w:tc>
        <w:tc>
          <w:tcPr>
            <w:tcW w:type="dxa" w:w="849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May 2026 sample files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849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849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Draft for technical review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849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Record key architecture decisions before implementation to prevent repeated debate and scope drift.</w:t>
            </w:r>
          </w:p>
        </w:tc>
      </w:tr>
    </w:tbl>
    <w:p/>
    <w:p>
      <w:pPr>
        <w:pStyle w:val="Heading1"/>
      </w:pPr>
      <w:r>
        <w:t>1. Scope of this Architecture Note</w:t>
      </w:r>
    </w:p>
    <w:p>
      <w:r>
        <w:rPr>
          <w:b/>
        </w:rPr>
        <w:t xml:space="preserve">This document records the core architecture decisions for the Fuel Reconciliation Manager MVP. </w:t>
      </w:r>
      <w:r>
        <w:t>It is intentionally short and decision-oriented. Detailed functional behaviour remains in the Requirements &amp; Acceptance Criteria document, the Scope Freeze document and the Acceptance Dataset Preparation document.</w:t>
      </w:r>
    </w:p>
    <w:p>
      <w:pPr>
        <w:pStyle w:val="ListBullet"/>
      </w:pPr>
      <w:r>
        <w:t>Define solution structure, layers and module responsibilities.</w:t>
      </w:r>
    </w:p>
    <w:p>
      <w:pPr>
        <w:pStyle w:val="ListBullet"/>
      </w:pPr>
      <w:r>
        <w:t>Document data storage, import pipeline, reconciliation pipeline and audit/logging strategy.</w:t>
      </w:r>
    </w:p>
    <w:p>
      <w:pPr>
        <w:pStyle w:val="ListBullet"/>
      </w:pPr>
      <w:r>
        <w:t>Freeze practical implementation choices for MVP v1, while leaving future extensions explicit.</w:t>
      </w:r>
    </w:p>
    <w:p>
      <w:pPr>
        <w:pStyle w:val="ListBullet"/>
      </w:pPr>
      <w:r>
        <w:t>Prevent repeated debates around WinUI, SQLite, Serilog, background jobs, file storage and enterprise grid options.</w:t>
      </w:r>
    </w:p>
    <w:p>
      <w:pPr>
        <w:pStyle w:val="Heading1"/>
      </w:pPr>
      <w:r>
        <w:t>2. Key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ADR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4176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ADR-01</w:t>
            </w:r>
          </w:p>
        </w:tc>
        <w:tc>
          <w:tcPr>
            <w:tcW w:type="dxa" w:w="187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Windows desktop app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C#/.NET with WinUI 3 and Windows App SDK 1.8.x stable for MVP.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Matches client requirement for a modern Windows application and avoids browser/server deployment.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ADR-02</w:t>
            </w:r>
          </w:p>
        </w:tc>
        <w:tc>
          <w:tcPr>
            <w:tcW w:type="dxa" w:w="187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Local-first storage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SQLite via Microsoft.Data.Sqlite.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Self-contained, simple deployment, no database server, suitable for one active local user/session in MVP.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ADR-03</w:t>
            </w:r>
          </w:p>
        </w:tc>
        <w:tc>
          <w:tcPr>
            <w:tcW w:type="dxa" w:w="187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Layered architecture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Clean Architecture + MVVM.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Keeps UI separate from reconciliation logic, parsers, storage and PDF/export code.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ADR-04</w:t>
            </w:r>
          </w:p>
        </w:tc>
        <w:tc>
          <w:tcPr>
            <w:tcW w:type="dxa" w:w="187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Excel import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ClosedXML for .xlsx; keep ExcelDataReader as fallback for legacy formats if in scope.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ClosedXML is productive for business Excel parsing; fallback protects future .xls/.xlsb/.csv needs.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ADR-05</w:t>
            </w:r>
          </w:p>
        </w:tc>
        <w:tc>
          <w:tcPr>
            <w:tcW w:type="dxa" w:w="187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PDF import/export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PdfPig for statement parsing; use MigraDoc/PDFsharp for PDF reports.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Separates parsing from generation and avoids commercial licensing uncertainty for standard report output.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ADR-06</w:t>
            </w:r>
          </w:p>
        </w:tc>
        <w:tc>
          <w:tcPr>
            <w:tcW w:type="dxa" w:w="187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Heavy tables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a mature third-party WinUI grid if budget allows.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Reconciliation, audit and review tables require filtering, sorting, frozen columns and good performance.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ADR-07</w:t>
            </w:r>
          </w:p>
        </w:tc>
        <w:tc>
          <w:tcPr>
            <w:tcW w:type="dxa" w:w="187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Logging/audit split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Serilog for technical logs and SQLite audit tables for business audit.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Keeps support diagnostics separate from user-visible operational history.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ADR-08</w:t>
            </w:r>
          </w:p>
        </w:tc>
        <w:tc>
          <w:tcPr>
            <w:tcW w:type="dxa" w:w="187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Packaging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Deliver self-contained Windows build; installer via MSIX or Inno Setup.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manual .NET install for end users; simpler client handover.</w:t>
            </w:r>
          </w:p>
        </w:tc>
      </w:tr>
    </w:tbl>
    <w:p/>
    <w:p>
      <w:pPr>
        <w:pStyle w:val="Heading1"/>
      </w:pPr>
      <w:r>
        <w:t>3. Solution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Project / Folder</w:t>
            </w:r>
          </w:p>
        </w:tc>
        <w:tc>
          <w:tcPr>
            <w:tcW w:type="dxa" w:w="7776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FuelRecon.Desktop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WinUI 3 application shell, NavigationView, views, dialogs, view models, commands and UI composition.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FuelRecon.Application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cases and orchestration: import, validate, run reconciliation, generate reports, export PDF, approve/close/reopen period.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FuelRecon.Domain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Domain entities, value objects, enums and pure reconciliation rules. No UI or infrastructure dependencies.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FuelRecon.Infrastructure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SQLite repositories, file system, parsers, PDF generation, logging adapters, template loading and external libraries.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FuelRecon.Tests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Unit and integration tests for domain rules, parsers, reconciliation engine and golden-file acceptance cases.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docs/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User guide, setup/admin notes, known limitations and technical handover documents.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samples/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Agreed May 2026 acceptance files and expected reference results, subject to client approval.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installer/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MSIX/Inno Setup packaging configuration and release notes.</w:t>
            </w:r>
          </w:p>
        </w:tc>
      </w:tr>
    </w:tbl>
    <w:p/>
    <w:p>
      <w:pPr>
        <w:pStyle w:val="Heading1"/>
      </w:pPr>
      <w:r>
        <w:t>4. Layers and Core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464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Main Modules</w:t>
            </w:r>
          </w:p>
        </w:tc>
        <w:tc>
          <w:tcPr>
            <w:tcW w:type="dxa" w:w="4464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Presentation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Dashboard, Import/Validate, Reconciliation Detail, Review Queue, Branch Reports, PDF Export, History/Audit, Settings, Help.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MVVM with CommunityToolkit.Mvvm. UI actions are permission- and lifecycle-aware.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Application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ImportWorkflowService, ValidationService, ReconciliationUseCase, ReviewWorkflowService, BranchReportService, PdfExportUseCase, LifecycleService.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Coordinates operations and transactions; does not parse files directly.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Domain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ReconciliationEngine, MatchingRules, ConfidenceScoring, PeriodLifecycle, Status/Reason models, Normalisation contracts.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Deterministic and testable; no infrastructure dependencies.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ClosedXML parsers, PdfPig parsers, SQLite repositories, MigraDoc/PDFsharp exporter, Serilog logging, local file storage.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Implementation details behind interfaces.</w:t>
            </w:r>
          </w:p>
        </w:tc>
      </w:tr>
    </w:tbl>
    <w:p/>
    <w:p>
      <w:pPr>
        <w:pStyle w:val="Heading1"/>
      </w:pPr>
      <w:r>
        <w:t>5. Database Schema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Table / Entity</w:t>
            </w:r>
          </w:p>
        </w:tc>
        <w:tc>
          <w:tcPr>
            <w:tcW w:type="dxa" w:w="7632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Periods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One row per reconciliation period, lifecycle state and active import/run references.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ImportBatches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Active/historical file batches for a period.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ImportedFiles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 slot, filename, size, checksum, parser, validation status and storage reference.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ValidationResults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File-level and row-level validation summaries, warnings, errors and skipped rows.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SupplierTransactions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Parsed supplier statement rows with raw and normalised values.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BranchLitresEntries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Parsed branch workbook rows with raw and normalised values.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CarsBillingEntries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Parsed Cars+ billing rows with raw and normalised values.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ReconciliationRuns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Immutable run record with input checksums, mapping/rules snapshots and result summary.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ReconciliationItems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Final match/exception items, status, confidence, reason codes and source references.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ManualActions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Manual resolutions, notes, links, assignments and final/override statuses.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BranchReports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 versions/snapshots by branch, period and reconciliation run.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PdfExports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PDF export attempts, options, file path/reference, status and template version.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AuditRecords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audit trail for imports, mappings, settings, reconciliation, lifecycle, reports and exports.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SettingsSnapshots</w:t>
            </w:r>
          </w:p>
        </w:tc>
        <w:tc>
          <w:tcPr>
            <w:tcW w:type="dxa" w:w="763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Versioned settings/rules used by validation, normalisation, reconciliation and reporting.</w:t>
            </w:r>
          </w:p>
        </w:tc>
      </w:tr>
    </w:tbl>
    <w:p/>
    <w:p>
      <w:r>
        <w:rPr>
          <w:b/>
        </w:rPr>
        <w:t xml:space="preserve">Schema principle: </w:t>
      </w:r>
      <w:r>
        <w:t>runs and exports are immutable. New inputs, settings or mappings create new batches, snapshots and runs rather than rewriting historical results.</w:t>
      </w:r>
    </w:p>
    <w:p>
      <w:pPr>
        <w:pStyle w:val="Heading1"/>
      </w:pPr>
      <w:r>
        <w:t>6. Import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6048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1. Select files</w:t>
            </w:r>
          </w:p>
        </w:tc>
        <w:tc>
          <w:tcPr>
            <w:tcW w:type="dxa" w:w="604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User uploads one file per required input slot.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ImportedFiles records with checksum and slot.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2. Detect type/layout</w:t>
            </w:r>
          </w:p>
        </w:tc>
        <w:tc>
          <w:tcPr>
            <w:tcW w:type="dxa" w:w="604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Identify supplier PDF layout or workbook/template type.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Parser selection and mapping candidates.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3. Parse</w:t>
            </w:r>
          </w:p>
        </w:tc>
        <w:tc>
          <w:tcPr>
            <w:tcW w:type="dxa" w:w="604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Extract logical rows from PDF/Excel without executing macros/scripts.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Raw parsed rows.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4. Validate/map</w:t>
            </w:r>
          </w:p>
        </w:tc>
        <w:tc>
          <w:tcPr>
            <w:tcW w:type="dxa" w:w="604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Apply direct detection, saved mapping template or manual mapping.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ValidationResults and mapped fields.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5. Normalise</w:t>
            </w:r>
          </w:p>
        </w:tc>
        <w:tc>
          <w:tcPr>
            <w:tcW w:type="dxa" w:w="604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raw and normalised values for branch, RA, rego, date, litres and amount.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Canonical rows ready for reconciliation.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6. Save batch</w:t>
            </w:r>
          </w:p>
        </w:tc>
        <w:tc>
          <w:tcPr>
            <w:tcW w:type="dxa" w:w="604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Persist import batch, parsed rows, validation summary and audit events.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Active import batch for period.</w:t>
            </w:r>
          </w:p>
        </w:tc>
      </w:tr>
    </w:tbl>
    <w:p/>
    <w:p>
      <w:pPr>
        <w:pStyle w:val="Heading1"/>
      </w:pPr>
      <w:r>
        <w:t>7. Reconciliation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6192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1. Gate check</w:t>
            </w:r>
          </w:p>
        </w:tc>
        <w:tc>
          <w:tcPr>
            <w:tcW w:type="dxa" w:w="619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Ensure mandatory input slots are Valid or Valid With Warnings and no blocking errors remain.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 allowed or blocked.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2. Snapshot rules</w:t>
            </w:r>
          </w:p>
        </w:tc>
        <w:tc>
          <w:tcPr>
            <w:tcW w:type="dxa" w:w="619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Capture mappings, normalisation rules, tolerances, aliases, review policy and financial assumptions.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Settings/rules snapshot.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3. Supplier-to-branch match</w:t>
            </w:r>
          </w:p>
        </w:tc>
        <w:tc>
          <w:tcPr>
            <w:tcW w:type="dxa" w:w="619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Match supplier transactions to branch litres using canonical branch, date and litres rules.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Supplier-to-branch candidates.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4. Branch-to-Cars+ match</w:t>
            </w:r>
          </w:p>
        </w:tc>
        <w:tc>
          <w:tcPr>
            <w:tcW w:type="dxa" w:w="619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Match branch entries to Cars+ using RA first, then rego/date/litres fallback.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Billing candidates.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5. Resolve cardinality</w:t>
            </w:r>
          </w:p>
        </w:tc>
        <w:tc>
          <w:tcPr>
            <w:tcW w:type="dxa" w:w="619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Prefer deterministic one-to-one; many-to-one and one-to-many become review candidates.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Candidate groups.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6. Assign item status</w:t>
            </w:r>
          </w:p>
        </w:tc>
        <w:tc>
          <w:tcPr>
            <w:tcW w:type="dxa" w:w="619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ReconciliationItems: Matched, Unbilled, Variance, DuplicatePossible, MissingRA, RegoMismatch, SupplierOnly, CarsOnly, ReviewRequired.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Immutable run result.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7. Compute totals</w:t>
            </w:r>
          </w:p>
        </w:tc>
        <w:tc>
          <w:tcPr>
            <w:tcW w:type="dxa" w:w="619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Calculate branch and period summaries from reconciliation items and rules snapshot.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Dashboard/Branch Report totals.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8. Persist and audit</w:t>
            </w:r>
          </w:p>
        </w:tc>
        <w:tc>
          <w:tcPr>
            <w:tcW w:type="dxa" w:w="619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Save run, items, summary, warnings and audit records.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ReconciliationRun visible in history.</w:t>
            </w:r>
          </w:p>
        </w:tc>
      </w:tr>
    </w:tbl>
    <w:p/>
    <w:p>
      <w:pPr>
        <w:pStyle w:val="Heading1"/>
      </w:pPr>
      <w:r>
        <w:t>8. Audit, Logging and File Storage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audit</w:t>
            </w:r>
          </w:p>
        </w:tc>
        <w:tc>
          <w:tcPr>
            <w:tcW w:type="dxa" w:w="835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Stored in SQLite AuditRecords. Captures user/system actor, action type, entity, old/new values, reason/note, period/run/report references and correlation ID where applicable.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Technical logs</w:t>
            </w:r>
          </w:p>
        </w:tc>
        <w:tc>
          <w:tcPr>
            <w:tcW w:type="dxa" w:w="835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Written locally through Serilog. Contains timestamps, severity, operation name, error category, correlation ID and diagnostic details. Not the same as business audit.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Correlation IDs</w:t>
            </w:r>
          </w:p>
        </w:tc>
        <w:tc>
          <w:tcPr>
            <w:tcW w:type="dxa" w:w="835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User-facing failures and audit-visible failures include a correlation ID to find matching technical logs.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 files</w:t>
            </w:r>
          </w:p>
        </w:tc>
        <w:tc>
          <w:tcPr>
            <w:tcW w:type="dxa" w:w="835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MVP may store controlled copies of imported files or store references/checksums. The selected mode is documented in setup/admin notes.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Temporary files</w:t>
            </w:r>
          </w:p>
        </w:tc>
        <w:tc>
          <w:tcPr>
            <w:tcW w:type="dxa" w:w="835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 only in controlled temp folders and cleaned after successful operations where practical.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PDF exports</w:t>
            </w:r>
          </w:p>
        </w:tc>
        <w:tc>
          <w:tcPr>
            <w:tcW w:type="dxa" w:w="8352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Stored in user-selected/configured export folder. Export records are immutable and linked to report version/run snapshot.</w:t>
            </w:r>
          </w:p>
        </w:tc>
      </w:tr>
    </w:tbl>
    <w:p/>
    <w:p>
      <w:pPr>
        <w:pStyle w:val="Heading1"/>
      </w:pPr>
      <w:r>
        <w:t>9. Background Work and Reliability</w:t>
      </w:r>
    </w:p>
    <w:p>
      <w:pPr>
        <w:pStyle w:val="ListBullet"/>
      </w:pPr>
      <w:r>
        <w:t>Long-running operations such as validation, reconciliation and PDF export run asynchronously so the UI remains responsive.</w:t>
      </w:r>
    </w:p>
    <w:p>
      <w:pPr>
        <w:pStyle w:val="ListBullet"/>
      </w:pPr>
      <w:r>
        <w:t>Operations prevent duplicate execution on the same period/run while already running.</w:t>
      </w:r>
    </w:p>
    <w:p>
      <w:pPr>
        <w:pStyle w:val="ListBullet"/>
      </w:pPr>
      <w:r>
        <w:t>Database writes for critical operations use transactions; committed data must survive crash/restart.</w:t>
      </w:r>
    </w:p>
    <w:p>
      <w:pPr>
        <w:pStyle w:val="ListBullet"/>
      </w:pPr>
      <w:r>
        <w:t>Interrupted operations are recorded as Failed, Cancelled or Incomplete where a record exists and can be safely retried.</w:t>
      </w:r>
    </w:p>
    <w:p>
      <w:pPr>
        <w:pStyle w:val="ListBullet"/>
      </w:pPr>
      <w:r>
        <w:t>The MVP concurrency model is one active local user/session per local SQLite database.</w:t>
      </w:r>
    </w:p>
    <w:p>
      <w:pPr>
        <w:pStyle w:val="Heading1"/>
      </w:pPr>
      <w:r>
        <w:t>10. Packaging, Updates and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8640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Packaging</w:t>
            </w:r>
          </w:p>
        </w:tc>
        <w:tc>
          <w:tcPr>
            <w:tcW w:type="dxa" w:w="864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Self-contained Windows build delivered as portable folder or lightweight installer.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Installer</w:t>
            </w:r>
          </w:p>
        </w:tc>
        <w:tc>
          <w:tcPr>
            <w:tcW w:type="dxa" w:w="864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MSIX or Inno Setup. Choice depends on client deployment preference and IT constraints.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Runtime</w:t>
            </w:r>
          </w:p>
        </w:tc>
        <w:tc>
          <w:tcPr>
            <w:tcW w:type="dxa" w:w="864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End user should not manually install .NET or developer tools.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Updates</w:t>
            </w:r>
          </w:p>
        </w:tc>
        <w:tc>
          <w:tcPr>
            <w:tcW w:type="dxa" w:w="864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MVP uses manual installer/package replacement unless auto-update is explicitly added later.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Configuration</w:t>
            </w:r>
          </w:p>
        </w:tc>
        <w:tc>
          <w:tcPr>
            <w:tcW w:type="dxa" w:w="864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Default MVP configuration ships with the app. Client-specific templates/settings are included in delivery package.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Release artefacts</w:t>
            </w:r>
          </w:p>
        </w:tc>
        <w:tc>
          <w:tcPr>
            <w:tcW w:type="dxa" w:w="8640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Build, source code, user guide, setup/admin notes, known limitations, third-party licenses and acceptance test package.</w:t>
            </w:r>
          </w:p>
        </w:tc>
      </w:tr>
    </w:tbl>
    <w:p/>
    <w:p>
      <w:pPr>
        <w:pStyle w:val="Heading1"/>
      </w:pPr>
      <w:r>
        <w:t>11. Open Decisions Before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96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904"/>
            <w:vAlign w:val="top"/>
            <w:shd w:fill="1F4E79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Owner / Trigger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Confirm accepted supplier PDF layouts and whether OCR/scanned PDFs are out of scope.</w:t>
            </w:r>
          </w:p>
        </w:tc>
        <w:tc>
          <w:tcPr>
            <w:tcW w:type="dxa" w:w="590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 + developer before parser implementation.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Confirm RA normalisation rule: numeric-only or alphanumeric.</w:t>
            </w:r>
          </w:p>
        </w:tc>
        <w:tc>
          <w:tcPr>
            <w:tcW w:type="dxa" w:w="590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 sample review before matching freeze.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Confirm third-party grid vendor: Syncfusion, Telerik or DevExpress, including licence/budget.</w:t>
            </w:r>
          </w:p>
        </w:tc>
        <w:tc>
          <w:tcPr>
            <w:tcW w:type="dxa" w:w="590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Client/developer before heavy table UI implementation.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Confirm source file storage mode: controlled copies vs references/checksums only.</w:t>
            </w:r>
          </w:p>
        </w:tc>
        <w:tc>
          <w:tcPr>
            <w:tcW w:type="dxa" w:w="590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 before import storage implementation.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Confirm installer preference: MSIX vs Inno Setup/portable folder.</w:t>
            </w:r>
          </w:p>
        </w:tc>
        <w:tc>
          <w:tcPr>
            <w:tcW w:type="dxa" w:w="590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Client/IT before release packaging.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Confirm backup/archive policy if required beyond local SQLite MVP.</w:t>
            </w:r>
          </w:p>
        </w:tc>
        <w:tc>
          <w:tcPr>
            <w:tcW w:type="dxa" w:w="5904"/>
            <w:vAlign w:val="top"/>
          </w:tcPr>
          <w:p>
            <w:pPr>
              <w:spacing w:after="4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 before production rollout.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Fuel Reconciliation Manager - Architecture Decisions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