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11882" w14:textId="77777777" w:rsidR="00A3386E" w:rsidRPr="004513DC" w:rsidRDefault="00347669">
      <w:pPr>
        <w:spacing w:before="400"/>
        <w:jc w:val="center"/>
        <w:rPr>
          <w:rFonts w:asciiTheme="majorBidi" w:hAnsiTheme="majorBidi" w:cstheme="majorBidi"/>
          <w:u w:val="single"/>
        </w:rPr>
      </w:pPr>
      <w:r w:rsidRPr="004513DC">
        <w:rPr>
          <w:rFonts w:asciiTheme="majorBidi" w:hAnsiTheme="majorBidi" w:cstheme="majorBidi"/>
          <w:b/>
          <w:bCs/>
          <w:color w:val="1B3A4B"/>
          <w:sz w:val="40"/>
          <w:szCs w:val="40"/>
          <w:u w:val="single"/>
        </w:rPr>
        <w:t>DRUG INTERACTION REFERENCE GUIDE</w:t>
      </w:r>
    </w:p>
    <w:p w14:paraId="3E48EE85" w14:textId="6ED0EE00" w:rsidR="00A3386E" w:rsidRPr="004513DC" w:rsidRDefault="00347669" w:rsidP="004513DC">
      <w:pPr>
        <w:spacing w:before="120"/>
        <w:jc w:val="center"/>
        <w:rPr>
          <w:rFonts w:asciiTheme="majorBidi" w:hAnsiTheme="majorBidi" w:cstheme="majorBidi"/>
          <w:color w:val="auto"/>
        </w:rPr>
      </w:pPr>
      <w:r w:rsidRPr="004513DC">
        <w:rPr>
          <w:rFonts w:asciiTheme="majorBidi" w:hAnsiTheme="majorBidi" w:cstheme="majorBidi"/>
          <w:color w:val="auto"/>
          <w:sz w:val="26"/>
          <w:szCs w:val="26"/>
        </w:rPr>
        <w:t>Smart Eco-Pharma Hub — Inventory Cross-Reference</w:t>
      </w:r>
    </w:p>
    <w:p w14:paraId="64D65922" w14:textId="77777777" w:rsidR="004513DC" w:rsidRPr="004513DC" w:rsidRDefault="004513DC" w:rsidP="004513DC">
      <w:pPr>
        <w:rPr>
          <w:rFonts w:asciiTheme="majorBidi" w:hAnsiTheme="majorBidi" w:cstheme="majorBidi"/>
          <w:b/>
          <w:bCs/>
          <w:color w:val="1B3A4B"/>
          <w:sz w:val="26"/>
          <w:szCs w:val="26"/>
          <w:u w:val="single"/>
        </w:rPr>
      </w:pPr>
    </w:p>
    <w:p w14:paraId="3E22C0E4" w14:textId="6FF2D889" w:rsidR="00A3386E" w:rsidRPr="004513DC" w:rsidRDefault="004513DC" w:rsidP="004513DC">
      <w:pPr>
        <w:rPr>
          <w:rFonts w:asciiTheme="majorBidi" w:hAnsiTheme="majorBidi" w:cstheme="majorBidi"/>
          <w:u w:val="single"/>
        </w:rPr>
      </w:pPr>
      <w:r w:rsidRPr="004513DC">
        <w:rPr>
          <w:rFonts w:asciiTheme="majorBidi" w:hAnsiTheme="majorBidi" w:cstheme="majorBidi"/>
          <w:b/>
          <w:bCs/>
          <w:color w:val="1B3A4B"/>
          <w:sz w:val="26"/>
          <w:szCs w:val="26"/>
          <w:u w:val="single"/>
        </w:rPr>
        <w:t>1</w:t>
      </w:r>
      <w:r w:rsidR="00347669" w:rsidRPr="004513DC">
        <w:rPr>
          <w:rFonts w:asciiTheme="majorBidi" w:hAnsiTheme="majorBidi" w:cstheme="majorBidi"/>
          <w:b/>
          <w:bCs/>
          <w:color w:val="auto"/>
          <w:sz w:val="26"/>
          <w:szCs w:val="26"/>
          <w:u w:val="single"/>
        </w:rPr>
        <w:t>.  Severity Classification</w:t>
      </w:r>
    </w:p>
    <w:p w14:paraId="564EB5D5" w14:textId="77777777" w:rsidR="00A3386E" w:rsidRPr="004513DC" w:rsidRDefault="00347669">
      <w:pPr>
        <w:spacing w:before="60" w:after="120" w:line="276" w:lineRule="auto"/>
        <w:rPr>
          <w:rFonts w:asciiTheme="majorBidi" w:hAnsiTheme="majorBidi" w:cstheme="majorBidi"/>
        </w:rPr>
      </w:pPr>
      <w:r w:rsidRPr="004513DC">
        <w:rPr>
          <w:rFonts w:asciiTheme="majorBidi" w:hAnsiTheme="majorBidi" w:cstheme="majorBidi"/>
        </w:rPr>
        <w:t>Interactions below are graded on the three-tier scale common</w:t>
      </w:r>
      <w:r w:rsidRPr="004513DC">
        <w:rPr>
          <w:rFonts w:asciiTheme="majorBidi" w:hAnsiTheme="majorBidi" w:cstheme="majorBidi"/>
        </w:rPr>
        <w:t>ly used by clinical interaction checkers: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386E" w:rsidRPr="004513DC" w14:paraId="1F47A2CB" w14:textId="77777777">
        <w:tblPrEx>
          <w:tblCellMar>
            <w:top w:w="0" w:type="dxa"/>
            <w:bottom w:w="0" w:type="dxa"/>
          </w:tblCellMar>
        </w:tblPrEx>
        <w:tc>
          <w:tcPr>
            <w:tcW w:w="9026" w:type="dxa"/>
            <w:tcBorders>
              <w:top w:val="single" w:sz="2" w:space="0" w:color="C9D2D6"/>
              <w:left w:val="single" w:sz="2" w:space="0" w:color="C9D2D6"/>
              <w:bottom w:val="single" w:sz="2" w:space="0" w:color="C9D2D6"/>
              <w:right w:val="single" w:sz="2" w:space="0" w:color="C9D2D6"/>
            </w:tcBorders>
            <w:shd w:val="clear" w:color="auto" w:fill="F8D7DA"/>
            <w:tcMar>
              <w:top w:w="100" w:type="dxa"/>
              <w:left w:w="160" w:type="dxa"/>
              <w:bottom w:w="100" w:type="dxa"/>
              <w:right w:w="160" w:type="dxa"/>
            </w:tcMar>
          </w:tcPr>
          <w:p w14:paraId="24A27F67" w14:textId="77777777" w:rsidR="00A3386E" w:rsidRPr="004513DC" w:rsidRDefault="00347669">
            <w:pPr>
              <w:spacing w:after="40"/>
              <w:rPr>
                <w:rFonts w:asciiTheme="majorBidi" w:hAnsiTheme="majorBidi" w:cstheme="majorBidi"/>
              </w:rPr>
            </w:pPr>
            <w:r w:rsidRPr="004513DC">
              <w:rPr>
                <w:rFonts w:asciiTheme="majorBidi" w:hAnsiTheme="majorBidi" w:cstheme="majorBidi"/>
                <w:b/>
                <w:bCs/>
                <w:color w:val="7A1F27"/>
                <w:sz w:val="22"/>
                <w:szCs w:val="22"/>
              </w:rPr>
              <w:t>MAJOR / SEVERE</w:t>
            </w:r>
          </w:p>
          <w:p w14:paraId="08FE4FCA" w14:textId="77777777" w:rsidR="00A3386E" w:rsidRPr="004513DC" w:rsidRDefault="00347669">
            <w:pPr>
              <w:rPr>
                <w:rFonts w:asciiTheme="majorBidi" w:hAnsiTheme="majorBidi" w:cstheme="majorBidi"/>
              </w:rPr>
            </w:pPr>
            <w:r w:rsidRPr="004513DC">
              <w:rPr>
                <w:rFonts w:asciiTheme="majorBidi" w:hAnsiTheme="majorBidi" w:cstheme="majorBidi"/>
                <w:color w:val="7A1F27"/>
                <w:sz w:val="18"/>
                <w:szCs w:val="18"/>
              </w:rPr>
              <w:t xml:space="preserve">Poses a serious risk — </w:t>
            </w:r>
            <w:proofErr w:type="gramStart"/>
            <w:r w:rsidRPr="004513DC">
              <w:rPr>
                <w:rFonts w:asciiTheme="majorBidi" w:hAnsiTheme="majorBidi" w:cstheme="majorBidi"/>
                <w:color w:val="7A1F27"/>
                <w:sz w:val="18"/>
                <w:szCs w:val="18"/>
              </w:rPr>
              <w:t>e.g.</w:t>
            </w:r>
            <w:proofErr w:type="gramEnd"/>
            <w:r w:rsidRPr="004513DC">
              <w:rPr>
                <w:rFonts w:asciiTheme="majorBidi" w:hAnsiTheme="majorBidi" w:cstheme="majorBidi"/>
                <w:color w:val="7A1F27"/>
                <w:sz w:val="18"/>
                <w:szCs w:val="18"/>
              </w:rPr>
              <w:t xml:space="preserve"> life-threatening bleeding, dangerous arrhythmia, organ toxicity, or dangerous CNS/respiratory depression. Avoid the combination; if unavoidable, only under direct medical </w:t>
            </w:r>
            <w:r w:rsidRPr="004513DC">
              <w:rPr>
                <w:rFonts w:asciiTheme="majorBidi" w:hAnsiTheme="majorBidi" w:cstheme="majorBidi"/>
                <w:color w:val="7A1F27"/>
                <w:sz w:val="18"/>
                <w:szCs w:val="18"/>
              </w:rPr>
              <w:t>supervision.</w:t>
            </w:r>
          </w:p>
        </w:tc>
      </w:tr>
    </w:tbl>
    <w:p w14:paraId="1A3D183F" w14:textId="77777777" w:rsidR="00A3386E" w:rsidRPr="004513DC" w:rsidRDefault="00A3386E">
      <w:pPr>
        <w:spacing w:before="120"/>
        <w:rPr>
          <w:rFonts w:asciiTheme="majorBidi" w:hAnsiTheme="majorBidi" w:cstheme="majorBid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386E" w:rsidRPr="004513DC" w14:paraId="677755A8" w14:textId="77777777">
        <w:tblPrEx>
          <w:tblCellMar>
            <w:top w:w="0" w:type="dxa"/>
            <w:bottom w:w="0" w:type="dxa"/>
          </w:tblCellMar>
        </w:tblPrEx>
        <w:tc>
          <w:tcPr>
            <w:tcW w:w="9026" w:type="dxa"/>
            <w:tcBorders>
              <w:top w:val="single" w:sz="2" w:space="0" w:color="C9D2D6"/>
              <w:left w:val="single" w:sz="2" w:space="0" w:color="C9D2D6"/>
              <w:bottom w:val="single" w:sz="2" w:space="0" w:color="C9D2D6"/>
              <w:right w:val="single" w:sz="2" w:space="0" w:color="C9D2D6"/>
            </w:tcBorders>
            <w:shd w:val="clear" w:color="auto" w:fill="FCEBCF"/>
            <w:tcMar>
              <w:top w:w="100" w:type="dxa"/>
              <w:left w:w="160" w:type="dxa"/>
              <w:bottom w:w="100" w:type="dxa"/>
              <w:right w:w="160" w:type="dxa"/>
            </w:tcMar>
          </w:tcPr>
          <w:p w14:paraId="34D7DBD7" w14:textId="77777777" w:rsidR="00A3386E" w:rsidRPr="004513DC" w:rsidRDefault="00347669">
            <w:pPr>
              <w:spacing w:after="40"/>
              <w:rPr>
                <w:rFonts w:asciiTheme="majorBidi" w:hAnsiTheme="majorBidi" w:cstheme="majorBidi"/>
              </w:rPr>
            </w:pPr>
            <w:r w:rsidRPr="004513DC">
              <w:rPr>
                <w:rFonts w:asciiTheme="majorBidi" w:hAnsiTheme="majorBidi" w:cstheme="majorBidi"/>
                <w:b/>
                <w:bCs/>
                <w:color w:val="7A5200"/>
                <w:sz w:val="22"/>
                <w:szCs w:val="22"/>
              </w:rPr>
              <w:t>MODERATE</w:t>
            </w:r>
          </w:p>
          <w:p w14:paraId="58198E5C" w14:textId="77777777" w:rsidR="00A3386E" w:rsidRPr="004513DC" w:rsidRDefault="00347669">
            <w:pPr>
              <w:rPr>
                <w:rFonts w:asciiTheme="majorBidi" w:hAnsiTheme="majorBidi" w:cstheme="majorBidi"/>
              </w:rPr>
            </w:pPr>
            <w:r w:rsidRPr="004513DC">
              <w:rPr>
                <w:rFonts w:asciiTheme="majorBidi" w:hAnsiTheme="majorBidi" w:cstheme="majorBidi"/>
                <w:color w:val="7A5200"/>
                <w:sz w:val="18"/>
                <w:szCs w:val="18"/>
              </w:rPr>
              <w:t>May worsen a condition, reduce the effectiveness of one or both products, or increase the risk of a clinically meaningful side effect. Use with caution: monitor, adjust dose, or space doses apart.</w:t>
            </w:r>
          </w:p>
        </w:tc>
      </w:tr>
    </w:tbl>
    <w:p w14:paraId="681DFFFF" w14:textId="77777777" w:rsidR="00A3386E" w:rsidRPr="004513DC" w:rsidRDefault="00A3386E">
      <w:pPr>
        <w:spacing w:before="120"/>
        <w:rPr>
          <w:rFonts w:asciiTheme="majorBidi" w:hAnsiTheme="majorBidi" w:cstheme="majorBid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386E" w:rsidRPr="004513DC" w14:paraId="72B2DC3E" w14:textId="77777777">
        <w:tblPrEx>
          <w:tblCellMar>
            <w:top w:w="0" w:type="dxa"/>
            <w:bottom w:w="0" w:type="dxa"/>
          </w:tblCellMar>
        </w:tblPrEx>
        <w:tc>
          <w:tcPr>
            <w:tcW w:w="9026" w:type="dxa"/>
            <w:tcBorders>
              <w:top w:val="single" w:sz="2" w:space="0" w:color="C9D2D6"/>
              <w:left w:val="single" w:sz="2" w:space="0" w:color="C9D2D6"/>
              <w:bottom w:val="single" w:sz="2" w:space="0" w:color="C9D2D6"/>
              <w:right w:val="single" w:sz="2" w:space="0" w:color="C9D2D6"/>
            </w:tcBorders>
            <w:shd w:val="clear" w:color="auto" w:fill="E1F0E3"/>
            <w:tcMar>
              <w:top w:w="100" w:type="dxa"/>
              <w:left w:w="160" w:type="dxa"/>
              <w:bottom w:w="100" w:type="dxa"/>
              <w:right w:w="160" w:type="dxa"/>
            </w:tcMar>
          </w:tcPr>
          <w:p w14:paraId="61F2BE0A" w14:textId="77777777" w:rsidR="00A3386E" w:rsidRPr="004513DC" w:rsidRDefault="00347669">
            <w:pPr>
              <w:spacing w:after="40"/>
              <w:rPr>
                <w:rFonts w:asciiTheme="majorBidi" w:hAnsiTheme="majorBidi" w:cstheme="majorBidi"/>
              </w:rPr>
            </w:pPr>
            <w:r w:rsidRPr="004513DC">
              <w:rPr>
                <w:rFonts w:asciiTheme="majorBidi" w:hAnsiTheme="majorBidi" w:cstheme="majorBidi"/>
                <w:b/>
                <w:bCs/>
                <w:color w:val="1E5C2A"/>
                <w:sz w:val="22"/>
                <w:szCs w:val="22"/>
              </w:rPr>
              <w:t>MINOR</w:t>
            </w:r>
          </w:p>
          <w:p w14:paraId="38716EC2" w14:textId="77777777" w:rsidR="00A3386E" w:rsidRPr="004513DC" w:rsidRDefault="00347669">
            <w:pPr>
              <w:rPr>
                <w:rFonts w:asciiTheme="majorBidi" w:hAnsiTheme="majorBidi" w:cstheme="majorBidi"/>
              </w:rPr>
            </w:pPr>
            <w:r w:rsidRPr="004513DC">
              <w:rPr>
                <w:rFonts w:asciiTheme="majorBidi" w:hAnsiTheme="majorBidi" w:cstheme="majorBidi"/>
                <w:color w:val="1E5C2A"/>
                <w:sz w:val="18"/>
                <w:szCs w:val="18"/>
              </w:rPr>
              <w:t>Limited clinical significance for most patients. Awareness is generally sufficient and no specific action is usually required.</w:t>
            </w:r>
          </w:p>
        </w:tc>
      </w:tr>
    </w:tbl>
    <w:p w14:paraId="0CAB3D9A" w14:textId="77777777" w:rsidR="004513DC" w:rsidRPr="004513DC" w:rsidRDefault="004513DC" w:rsidP="004513DC">
      <w:pPr>
        <w:rPr>
          <w:rFonts w:asciiTheme="majorBidi" w:hAnsiTheme="majorBidi" w:cstheme="majorBidi"/>
        </w:rPr>
      </w:pPr>
    </w:p>
    <w:p w14:paraId="00858A68" w14:textId="2605C939" w:rsidR="00A3386E" w:rsidRPr="004513DC" w:rsidRDefault="004513DC" w:rsidP="004513DC">
      <w:pPr>
        <w:rPr>
          <w:rFonts w:asciiTheme="majorBidi" w:hAnsiTheme="majorBidi" w:cstheme="majorBidi"/>
        </w:rPr>
      </w:pPr>
      <w:r w:rsidRPr="004513DC">
        <w:rPr>
          <w:rFonts w:asciiTheme="majorBidi" w:hAnsiTheme="majorBidi" w:cstheme="majorBidi"/>
          <w:b/>
          <w:bCs/>
          <w:color w:val="1B3A4B"/>
          <w:sz w:val="26"/>
          <w:szCs w:val="26"/>
        </w:rPr>
        <w:t>2</w:t>
      </w:r>
      <w:r w:rsidR="00347669" w:rsidRPr="004513DC">
        <w:rPr>
          <w:rFonts w:asciiTheme="majorBidi" w:hAnsiTheme="majorBidi" w:cstheme="majorBidi"/>
          <w:b/>
          <w:bCs/>
          <w:color w:val="1B3A4B"/>
          <w:sz w:val="26"/>
          <w:szCs w:val="26"/>
        </w:rPr>
        <w:t xml:space="preserve">. </w:t>
      </w:r>
      <w:r w:rsidR="00347669" w:rsidRPr="004513DC">
        <w:rPr>
          <w:rFonts w:asciiTheme="majorBidi" w:hAnsiTheme="majorBidi" w:cstheme="majorBidi"/>
          <w:b/>
          <w:bCs/>
          <w:color w:val="1B3A4B"/>
          <w:sz w:val="26"/>
          <w:szCs w:val="26"/>
          <w:u w:val="single"/>
        </w:rPr>
        <w:t xml:space="preserve"> </w:t>
      </w:r>
      <w:r w:rsidR="00347669" w:rsidRPr="004513DC">
        <w:rPr>
          <w:rFonts w:asciiTheme="majorBidi" w:hAnsiTheme="majorBidi" w:cstheme="majorBidi"/>
          <w:b/>
          <w:bCs/>
          <w:color w:val="auto"/>
          <w:sz w:val="26"/>
          <w:szCs w:val="26"/>
          <w:u w:val="single"/>
        </w:rPr>
        <w:t>Inventory Reference — Active Ingredients</w:t>
      </w:r>
    </w:p>
    <w:p w14:paraId="1E1B6EA2" w14:textId="5269F7BB" w:rsidR="00A3386E" w:rsidRPr="004513DC" w:rsidRDefault="00A3386E">
      <w:pPr>
        <w:spacing w:before="60" w:after="120" w:line="276" w:lineRule="auto"/>
        <w:rPr>
          <w:rFonts w:asciiTheme="majorBidi" w:hAnsiTheme="majorBidi" w:cstheme="majorBid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3626"/>
        <w:gridCol w:w="2500"/>
      </w:tblGrid>
      <w:tr w:rsidR="00A3386E" w:rsidRPr="004513DC" w14:paraId="7C9C031A" w14:textId="77777777">
        <w:tblPrEx>
          <w:tblCellMar>
            <w:top w:w="0" w:type="dxa"/>
            <w:bottom w:w="0" w:type="dxa"/>
          </w:tblCellMar>
        </w:tblPrEx>
        <w:trPr>
          <w:tblHeader/>
        </w:trPr>
        <w:tc>
          <w:tcPr>
            <w:tcW w:w="500" w:type="dxa"/>
            <w:tcBorders>
              <w:top w:val="single" w:sz="2" w:space="0" w:color="C9D2D6"/>
              <w:left w:val="single" w:sz="2" w:space="0" w:color="C9D2D6"/>
              <w:bottom w:val="single" w:sz="2" w:space="0" w:color="C9D2D6"/>
              <w:right w:val="single" w:sz="2" w:space="0" w:color="C9D2D6"/>
            </w:tcBorders>
            <w:shd w:val="clear" w:color="auto" w:fill="1B3A4B"/>
            <w:tcMar>
              <w:top w:w="80" w:type="dxa"/>
              <w:left w:w="100" w:type="dxa"/>
              <w:bottom w:w="80" w:type="dxa"/>
              <w:right w:w="100" w:type="dxa"/>
            </w:tcMar>
            <w:vAlign w:val="center"/>
          </w:tcPr>
          <w:p w14:paraId="1D6FEED5"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b/>
                <w:bCs/>
                <w:color w:val="FFFFFF"/>
                <w:sz w:val="18"/>
                <w:szCs w:val="18"/>
              </w:rPr>
              <w:t>#</w:t>
            </w:r>
          </w:p>
        </w:tc>
        <w:tc>
          <w:tcPr>
            <w:tcW w:w="2400" w:type="dxa"/>
            <w:tcBorders>
              <w:top w:val="single" w:sz="2" w:space="0" w:color="C9D2D6"/>
              <w:left w:val="single" w:sz="2" w:space="0" w:color="C9D2D6"/>
              <w:bottom w:val="single" w:sz="2" w:space="0" w:color="C9D2D6"/>
              <w:right w:val="single" w:sz="2" w:space="0" w:color="C9D2D6"/>
            </w:tcBorders>
            <w:shd w:val="clear" w:color="auto" w:fill="1B3A4B"/>
            <w:tcMar>
              <w:top w:w="80" w:type="dxa"/>
              <w:left w:w="100" w:type="dxa"/>
              <w:bottom w:w="80" w:type="dxa"/>
              <w:right w:w="100" w:type="dxa"/>
            </w:tcMar>
            <w:vAlign w:val="center"/>
          </w:tcPr>
          <w:p w14:paraId="6A2A2646"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color w:val="FFFFFF"/>
                <w:sz w:val="18"/>
                <w:szCs w:val="18"/>
              </w:rPr>
              <w:t>Product Name</w:t>
            </w:r>
          </w:p>
        </w:tc>
        <w:tc>
          <w:tcPr>
            <w:tcW w:w="3626" w:type="dxa"/>
            <w:tcBorders>
              <w:top w:val="single" w:sz="2" w:space="0" w:color="C9D2D6"/>
              <w:left w:val="single" w:sz="2" w:space="0" w:color="C9D2D6"/>
              <w:bottom w:val="single" w:sz="2" w:space="0" w:color="C9D2D6"/>
              <w:right w:val="single" w:sz="2" w:space="0" w:color="C9D2D6"/>
            </w:tcBorders>
            <w:shd w:val="clear" w:color="auto" w:fill="1B3A4B"/>
            <w:tcMar>
              <w:top w:w="80" w:type="dxa"/>
              <w:left w:w="100" w:type="dxa"/>
              <w:bottom w:w="80" w:type="dxa"/>
              <w:right w:w="100" w:type="dxa"/>
            </w:tcMar>
            <w:vAlign w:val="center"/>
          </w:tcPr>
          <w:p w14:paraId="6E0B3929"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color w:val="FFFFFF"/>
                <w:sz w:val="18"/>
                <w:szCs w:val="18"/>
              </w:rPr>
              <w:t>Active Ingredient(s)</w:t>
            </w:r>
          </w:p>
        </w:tc>
        <w:tc>
          <w:tcPr>
            <w:tcW w:w="2500" w:type="dxa"/>
            <w:tcBorders>
              <w:top w:val="single" w:sz="2" w:space="0" w:color="C9D2D6"/>
              <w:left w:val="single" w:sz="2" w:space="0" w:color="C9D2D6"/>
              <w:bottom w:val="single" w:sz="2" w:space="0" w:color="C9D2D6"/>
              <w:right w:val="single" w:sz="2" w:space="0" w:color="C9D2D6"/>
            </w:tcBorders>
            <w:shd w:val="clear" w:color="auto" w:fill="1B3A4B"/>
            <w:tcMar>
              <w:top w:w="80" w:type="dxa"/>
              <w:left w:w="100" w:type="dxa"/>
              <w:bottom w:w="80" w:type="dxa"/>
              <w:right w:w="100" w:type="dxa"/>
            </w:tcMar>
            <w:vAlign w:val="center"/>
          </w:tcPr>
          <w:p w14:paraId="3F9CC771"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color w:val="FFFFFF"/>
                <w:sz w:val="18"/>
                <w:szCs w:val="18"/>
              </w:rPr>
              <w:t>Therapeutic Class</w:t>
            </w:r>
          </w:p>
        </w:tc>
      </w:tr>
      <w:tr w:rsidR="00A3386E" w:rsidRPr="004513DC" w14:paraId="6E8BE471"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8300079"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1</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348ED788"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Panadol Advance 500mg</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66EF515F"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Paracetamol 500 mg</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611A8F8"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Analgesic / Antipyretic</w:t>
            </w:r>
          </w:p>
        </w:tc>
      </w:tr>
      <w:tr w:rsidR="00A3386E" w:rsidRPr="004513DC" w14:paraId="520119C6"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07C7C5A8"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2</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15F66239"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Catafast</w:t>
            </w:r>
            <w:proofErr w:type="spellEnd"/>
            <w:r w:rsidRPr="004513DC">
              <w:rPr>
                <w:rFonts w:asciiTheme="majorBidi" w:hAnsiTheme="majorBidi" w:cstheme="majorBidi"/>
                <w:b/>
                <w:bCs/>
                <w:sz w:val="18"/>
                <w:szCs w:val="18"/>
              </w:rPr>
              <w:t xml:space="preserve"> 50mg Sachet</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2822F448"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Diclofenac potassium 50 mg</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6002443F"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NSAID</w:t>
            </w:r>
          </w:p>
        </w:tc>
      </w:tr>
      <w:tr w:rsidR="00A3386E" w:rsidRPr="004513DC" w14:paraId="77F8B86C"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F46A88F"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3</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24BD3172"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Brufen</w:t>
            </w:r>
            <w:proofErr w:type="spellEnd"/>
            <w:r w:rsidRPr="004513DC">
              <w:rPr>
                <w:rFonts w:asciiTheme="majorBidi" w:hAnsiTheme="majorBidi" w:cstheme="majorBidi"/>
                <w:b/>
                <w:bCs/>
                <w:sz w:val="18"/>
                <w:szCs w:val="18"/>
              </w:rPr>
              <w:t xml:space="preserve"> 400mg</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91E9E6F"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Ibuprofen 400 mg</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76B0CEC1"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NSAID</w:t>
            </w:r>
          </w:p>
        </w:tc>
      </w:tr>
      <w:tr w:rsidR="00A3386E" w:rsidRPr="004513DC" w14:paraId="769BFDE9"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1BC8003F"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4</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62BE31D9"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Adolor</w:t>
            </w:r>
            <w:proofErr w:type="spellEnd"/>
            <w:r w:rsidRPr="004513DC">
              <w:rPr>
                <w:rFonts w:asciiTheme="majorBidi" w:hAnsiTheme="majorBidi" w:cstheme="majorBidi"/>
                <w:b/>
                <w:bCs/>
                <w:sz w:val="18"/>
                <w:szCs w:val="18"/>
              </w:rPr>
              <w:t xml:space="preserve"> 15mg/ml Amp</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358B3E2E"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Ketorolac trometamol 15 mg</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39DD3737"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NSAID — injectable, potent</w:t>
            </w:r>
          </w:p>
        </w:tc>
      </w:tr>
      <w:tr w:rsidR="00A3386E" w:rsidRPr="004513DC" w14:paraId="0240FEBB"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5968D80B"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5</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2634F657"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Alphintern</w:t>
            </w:r>
            <w:proofErr w:type="spellEnd"/>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58DB2100"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Trypsin + Chymotrypsin</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698DDC15"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Proteolytic enzyme (anti-inflammatory)</w:t>
            </w:r>
          </w:p>
        </w:tc>
      </w:tr>
      <w:tr w:rsidR="00A3386E" w:rsidRPr="004513DC" w14:paraId="110C3A7E"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1278EB08"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6</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43DD53FF"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Voltaren</w:t>
            </w:r>
            <w:proofErr w:type="spellEnd"/>
            <w:r w:rsidRPr="004513DC">
              <w:rPr>
                <w:rFonts w:asciiTheme="majorBidi" w:hAnsiTheme="majorBidi" w:cstheme="majorBidi"/>
                <w:b/>
                <w:bCs/>
                <w:sz w:val="18"/>
                <w:szCs w:val="18"/>
              </w:rPr>
              <w:t xml:space="preserve"> </w:t>
            </w:r>
            <w:proofErr w:type="spellStart"/>
            <w:r w:rsidRPr="004513DC">
              <w:rPr>
                <w:rFonts w:asciiTheme="majorBidi" w:hAnsiTheme="majorBidi" w:cstheme="majorBidi"/>
                <w:b/>
                <w:bCs/>
                <w:sz w:val="18"/>
                <w:szCs w:val="18"/>
              </w:rPr>
              <w:t>Emulgel</w:t>
            </w:r>
            <w:proofErr w:type="spellEnd"/>
            <w:r w:rsidRPr="004513DC">
              <w:rPr>
                <w:rFonts w:asciiTheme="majorBidi" w:hAnsiTheme="majorBidi" w:cstheme="majorBidi"/>
                <w:b/>
                <w:bCs/>
                <w:sz w:val="18"/>
                <w:szCs w:val="18"/>
              </w:rPr>
              <w:t xml:space="preserve"> 100g</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1CEC300F"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 xml:space="preserve">Diclofenac </w:t>
            </w:r>
            <w:proofErr w:type="spellStart"/>
            <w:r w:rsidRPr="004513DC">
              <w:rPr>
                <w:rFonts w:asciiTheme="majorBidi" w:hAnsiTheme="majorBidi" w:cstheme="majorBidi"/>
                <w:sz w:val="18"/>
                <w:szCs w:val="18"/>
              </w:rPr>
              <w:t>diethylamine</w:t>
            </w:r>
            <w:proofErr w:type="spellEnd"/>
            <w:r w:rsidRPr="004513DC">
              <w:rPr>
                <w:rFonts w:asciiTheme="majorBidi" w:hAnsiTheme="majorBidi" w:cstheme="majorBidi"/>
                <w:sz w:val="18"/>
                <w:szCs w:val="18"/>
              </w:rPr>
              <w:t xml:space="preserve"> (topical)</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2BFC81CC"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Topical NSAID</w:t>
            </w:r>
          </w:p>
        </w:tc>
      </w:tr>
      <w:tr w:rsidR="00A3386E" w:rsidRPr="004513DC" w14:paraId="5E5F8106"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1D2C9CE9"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7</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538C65C5"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Ketofan</w:t>
            </w:r>
            <w:proofErr w:type="spellEnd"/>
            <w:r w:rsidRPr="004513DC">
              <w:rPr>
                <w:rFonts w:asciiTheme="majorBidi" w:hAnsiTheme="majorBidi" w:cstheme="majorBidi"/>
                <w:b/>
                <w:bCs/>
                <w:sz w:val="18"/>
                <w:szCs w:val="18"/>
              </w:rPr>
              <w:t xml:space="preserve"> 50mg</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4C290936"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Ketoprofen 50 mg</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5D5343DE"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NSAID</w:t>
            </w:r>
          </w:p>
        </w:tc>
      </w:tr>
      <w:tr w:rsidR="00A3386E" w:rsidRPr="004513DC" w14:paraId="7B7DC564"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10E5BA2B"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8</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823C82E"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Cataflam</w:t>
            </w:r>
            <w:proofErr w:type="spellEnd"/>
            <w:r w:rsidRPr="004513DC">
              <w:rPr>
                <w:rFonts w:asciiTheme="majorBidi" w:hAnsiTheme="majorBidi" w:cstheme="majorBidi"/>
                <w:b/>
                <w:bCs/>
                <w:sz w:val="18"/>
                <w:szCs w:val="18"/>
              </w:rPr>
              <w:t xml:space="preserve"> 50mg</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6FC36E44"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Diclofenac potassium 50 mg</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376A1393"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NSAID</w:t>
            </w:r>
          </w:p>
        </w:tc>
      </w:tr>
      <w:tr w:rsidR="00A3386E" w:rsidRPr="004513DC" w14:paraId="28D1F009"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230A891D"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9</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663AD3B5"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Ambezim</w:t>
            </w:r>
            <w:proofErr w:type="spellEnd"/>
            <w:r w:rsidRPr="004513DC">
              <w:rPr>
                <w:rFonts w:asciiTheme="majorBidi" w:hAnsiTheme="majorBidi" w:cstheme="majorBidi"/>
                <w:b/>
                <w:bCs/>
                <w:sz w:val="18"/>
                <w:szCs w:val="18"/>
              </w:rPr>
              <w:t>-G</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79D8AD1A"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Trypsin + Chymotrypsin</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875C34C"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Proteolytic enzyme (anti-inflammatory)</w:t>
            </w:r>
          </w:p>
        </w:tc>
      </w:tr>
      <w:tr w:rsidR="00A3386E" w:rsidRPr="004513DC" w14:paraId="15E452F1"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18F2504E"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10</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22FF7B4E"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Antinal</w:t>
            </w:r>
            <w:proofErr w:type="spellEnd"/>
            <w:r w:rsidRPr="004513DC">
              <w:rPr>
                <w:rFonts w:asciiTheme="majorBidi" w:hAnsiTheme="majorBidi" w:cstheme="majorBidi"/>
                <w:b/>
                <w:bCs/>
                <w:sz w:val="18"/>
                <w:szCs w:val="18"/>
              </w:rPr>
              <w:t xml:space="preserve"> 200mg</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3E2A374D"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Nifuroxazide 200 mg</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74986840"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Intestinal antiseptic / Antidiarrheal</w:t>
            </w:r>
          </w:p>
        </w:tc>
      </w:tr>
      <w:tr w:rsidR="00A3386E" w:rsidRPr="004513DC" w14:paraId="4E90B1CD"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734EAC68"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11</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2C390F36"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Gaviscon Double Action</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24096728"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Sodium alginate + bicarbonate + Calcium carbonate</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17C72986"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Antacid / Reflux suppressant</w:t>
            </w:r>
          </w:p>
        </w:tc>
      </w:tr>
      <w:tr w:rsidR="00A3386E" w:rsidRPr="004513DC" w14:paraId="3A69EE3D"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2001E130"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12</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0328AE81"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Controloc</w:t>
            </w:r>
            <w:proofErr w:type="spellEnd"/>
            <w:r w:rsidRPr="004513DC">
              <w:rPr>
                <w:rFonts w:asciiTheme="majorBidi" w:hAnsiTheme="majorBidi" w:cstheme="majorBidi"/>
                <w:b/>
                <w:bCs/>
                <w:sz w:val="18"/>
                <w:szCs w:val="18"/>
              </w:rPr>
              <w:t xml:space="preserve"> 40mg</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4ABB49F4"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Pantoprazole 40 mg</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0E10ED3D"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Proton pump inhibitor</w:t>
            </w:r>
          </w:p>
        </w:tc>
      </w:tr>
      <w:tr w:rsidR="00A3386E" w:rsidRPr="004513DC" w14:paraId="232912E7"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CE57307"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13</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597A975A"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Motilium</w:t>
            </w:r>
            <w:proofErr w:type="spellEnd"/>
            <w:r w:rsidRPr="004513DC">
              <w:rPr>
                <w:rFonts w:asciiTheme="majorBidi" w:hAnsiTheme="majorBidi" w:cstheme="majorBidi"/>
                <w:b/>
                <w:bCs/>
                <w:sz w:val="18"/>
                <w:szCs w:val="18"/>
              </w:rPr>
              <w:t xml:space="preserve"> 10mg</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4F0D404B"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Domperidone 10 mg</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4A686CF7"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Prokinetic / Antiemetic</w:t>
            </w:r>
          </w:p>
        </w:tc>
      </w:tr>
      <w:tr w:rsidR="00A3386E" w:rsidRPr="004513DC" w14:paraId="60DE967E"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79C6F338"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lastRenderedPageBreak/>
              <w:t>14</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606D9A3C"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Maalox Plus Tablets</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67C2E967"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sz w:val="18"/>
                <w:szCs w:val="18"/>
              </w:rPr>
              <w:t>Aluminium</w:t>
            </w:r>
            <w:proofErr w:type="spellEnd"/>
            <w:r w:rsidRPr="004513DC">
              <w:rPr>
                <w:rFonts w:asciiTheme="majorBidi" w:hAnsiTheme="majorBidi" w:cstheme="majorBidi"/>
                <w:sz w:val="18"/>
                <w:szCs w:val="18"/>
              </w:rPr>
              <w:t xml:space="preserve"> hydroxide + Magnesium hydroxide + Simethicone</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3B810D0E"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 xml:space="preserve">Antacid / </w:t>
            </w:r>
            <w:proofErr w:type="spellStart"/>
            <w:r w:rsidRPr="004513DC">
              <w:rPr>
                <w:rFonts w:asciiTheme="majorBidi" w:hAnsiTheme="majorBidi" w:cstheme="majorBidi"/>
                <w:sz w:val="18"/>
                <w:szCs w:val="18"/>
              </w:rPr>
              <w:t>Antiflatulent</w:t>
            </w:r>
            <w:proofErr w:type="spellEnd"/>
          </w:p>
        </w:tc>
      </w:tr>
      <w:tr w:rsidR="00A3386E" w:rsidRPr="004513DC" w14:paraId="37A02BEA"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564059C1"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15</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7DC03639"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Spasmo-Digestin</w:t>
            </w:r>
            <w:proofErr w:type="spellEnd"/>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51ED253D"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 xml:space="preserve">Digestive enzymes + Dicyclomine HCl + Simethicone + Na </w:t>
            </w:r>
            <w:proofErr w:type="spellStart"/>
            <w:r w:rsidRPr="004513DC">
              <w:rPr>
                <w:rFonts w:asciiTheme="majorBidi" w:hAnsiTheme="majorBidi" w:cstheme="majorBidi"/>
                <w:sz w:val="18"/>
                <w:szCs w:val="18"/>
              </w:rPr>
              <w:t>dehydrocholate</w:t>
            </w:r>
            <w:proofErr w:type="spellEnd"/>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11BA6ACE"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Digestive aid / Antispasmodic</w:t>
            </w:r>
          </w:p>
        </w:tc>
      </w:tr>
      <w:tr w:rsidR="00A3386E" w:rsidRPr="004513DC" w14:paraId="1FADD699"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16C18A00"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16</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19D7DB3F"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Gastreg</w:t>
            </w:r>
            <w:proofErr w:type="spellEnd"/>
            <w:r w:rsidRPr="004513DC">
              <w:rPr>
                <w:rFonts w:asciiTheme="majorBidi" w:hAnsiTheme="majorBidi" w:cstheme="majorBidi"/>
                <w:b/>
                <w:bCs/>
                <w:sz w:val="18"/>
                <w:szCs w:val="18"/>
              </w:rPr>
              <w:t xml:space="preserve"> 200mg</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0902D10A"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Trimebutine maleate 200 mg</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4C1A153E"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GI motility regulator / Antispasmodic</w:t>
            </w:r>
          </w:p>
        </w:tc>
      </w:tr>
      <w:tr w:rsidR="00A3386E" w:rsidRPr="004513DC" w14:paraId="0A887E7A"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6B0E74B6"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17</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24A04EBF"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Visceralgine</w:t>
            </w:r>
            <w:proofErr w:type="spellEnd"/>
            <w:r w:rsidRPr="004513DC">
              <w:rPr>
                <w:rFonts w:asciiTheme="majorBidi" w:hAnsiTheme="majorBidi" w:cstheme="majorBidi"/>
                <w:b/>
                <w:bCs/>
                <w:sz w:val="18"/>
                <w:szCs w:val="18"/>
              </w:rPr>
              <w:t xml:space="preserve"> Ampoules</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34F9CD21"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 xml:space="preserve">Tiemonium </w:t>
            </w:r>
            <w:proofErr w:type="spellStart"/>
            <w:r w:rsidRPr="004513DC">
              <w:rPr>
                <w:rFonts w:asciiTheme="majorBidi" w:hAnsiTheme="majorBidi" w:cstheme="majorBidi"/>
                <w:sz w:val="18"/>
                <w:szCs w:val="18"/>
              </w:rPr>
              <w:t>methylsulfate</w:t>
            </w:r>
            <w:proofErr w:type="spellEnd"/>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6E3F395C"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Antispasmodic (anticholinergic)</w:t>
            </w:r>
          </w:p>
        </w:tc>
      </w:tr>
      <w:tr w:rsidR="00A3386E" w:rsidRPr="004513DC" w14:paraId="014B00D7"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3168D222"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18</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1D522497"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Streptoquin</w:t>
            </w:r>
            <w:proofErr w:type="spellEnd"/>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73527E35"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 xml:space="preserve">Diiodohydroxyquinoline + </w:t>
            </w:r>
            <w:proofErr w:type="spellStart"/>
            <w:r w:rsidRPr="004513DC">
              <w:rPr>
                <w:rFonts w:asciiTheme="majorBidi" w:hAnsiTheme="majorBidi" w:cstheme="majorBidi"/>
                <w:sz w:val="18"/>
                <w:szCs w:val="18"/>
              </w:rPr>
              <w:t>Phthalylsulfathiazole</w:t>
            </w:r>
            <w:proofErr w:type="spellEnd"/>
            <w:r w:rsidRPr="004513DC">
              <w:rPr>
                <w:rFonts w:asciiTheme="majorBidi" w:hAnsiTheme="majorBidi" w:cstheme="majorBidi"/>
                <w:sz w:val="18"/>
                <w:szCs w:val="18"/>
              </w:rPr>
              <w:t xml:space="preserve"> + Streptomycin + Homatropine</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3EC0B0CA"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Antidiarrheal combination</w:t>
            </w:r>
          </w:p>
        </w:tc>
      </w:tr>
      <w:tr w:rsidR="00A3386E" w:rsidRPr="004513DC" w14:paraId="1C280403"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356BE836"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19</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7B82AA0"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Duphalac</w:t>
            </w:r>
            <w:proofErr w:type="spellEnd"/>
            <w:r w:rsidRPr="004513DC">
              <w:rPr>
                <w:rFonts w:asciiTheme="majorBidi" w:hAnsiTheme="majorBidi" w:cstheme="majorBidi"/>
                <w:b/>
                <w:bCs/>
                <w:sz w:val="18"/>
                <w:szCs w:val="18"/>
              </w:rPr>
              <w:t xml:space="preserve"> Syrup</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3F47F43F"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Lactulose</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4671F099"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Osmotic laxative</w:t>
            </w:r>
          </w:p>
        </w:tc>
      </w:tr>
      <w:tr w:rsidR="00A3386E" w:rsidRPr="004513DC" w14:paraId="62933C45"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462EA62E"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20</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06AA0A4E"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Congestal</w:t>
            </w:r>
            <w:proofErr w:type="spellEnd"/>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445A12C6"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Paracetamol 650 mg + Chlorpheniramine 4 mg + Pseudoephedrine 60 mg</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4E8F17DC"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Cold / flu combination</w:t>
            </w:r>
          </w:p>
        </w:tc>
      </w:tr>
      <w:tr w:rsidR="00A3386E" w:rsidRPr="004513DC" w14:paraId="2EB5B351"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457C0BBE"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21</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42DB4859"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Zyrtec 10mg</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71734D61"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Cetirizine 10 mg</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6F6C7447"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Antihistamine (2nd-generation)</w:t>
            </w:r>
          </w:p>
        </w:tc>
      </w:tr>
      <w:tr w:rsidR="00A3386E" w:rsidRPr="004513DC" w14:paraId="41381545"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0BACF715"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22</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058F8D24"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Prospan</w:t>
            </w:r>
            <w:proofErr w:type="spellEnd"/>
            <w:r w:rsidRPr="004513DC">
              <w:rPr>
                <w:rFonts w:asciiTheme="majorBidi" w:hAnsiTheme="majorBidi" w:cstheme="majorBidi"/>
                <w:b/>
                <w:bCs/>
                <w:sz w:val="18"/>
                <w:szCs w:val="18"/>
              </w:rPr>
              <w:t xml:space="preserve"> Syrup</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6F264D81"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Ivy leaf dry extract</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2B784D3E"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Herbal antitussive / expectorant</w:t>
            </w:r>
          </w:p>
        </w:tc>
      </w:tr>
      <w:tr w:rsidR="00A3386E" w:rsidRPr="004513DC" w14:paraId="7AF13634"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1F94D86D"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23</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2C3F97B4"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Otrivin</w:t>
            </w:r>
            <w:proofErr w:type="spellEnd"/>
            <w:r w:rsidRPr="004513DC">
              <w:rPr>
                <w:rFonts w:asciiTheme="majorBidi" w:hAnsiTheme="majorBidi" w:cstheme="majorBidi"/>
                <w:b/>
                <w:bCs/>
                <w:sz w:val="18"/>
                <w:szCs w:val="18"/>
              </w:rPr>
              <w:t xml:space="preserve"> 0.1% Nasal Spray</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1EABA085"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Xylometazoline 0.1%</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3939D6C6"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Topical nasal decongestant</w:t>
            </w:r>
          </w:p>
        </w:tc>
      </w:tr>
      <w:tr w:rsidR="00A3386E" w:rsidRPr="004513DC" w14:paraId="44616098"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12B965A6"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24</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6D7D5569"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123 Cold &amp; Flu</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7C42A19D"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Paracetamol 325 mg + Caffeine 30 mg + Codeine 8 mg + Phenylephrine 5 mg + Carbinoxamine 3 mg</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233F09A2"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Cold / flu combination — contains opioid</w:t>
            </w:r>
          </w:p>
        </w:tc>
      </w:tr>
      <w:tr w:rsidR="00A3386E" w:rsidRPr="004513DC" w14:paraId="0659503C"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66C391C4"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25</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77BBF147"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C-Retard 500mg</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0243246"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Ascorbic acid (Vitamin C) 500 mg, sustained release</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7A9561D"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Vitamin supplement</w:t>
            </w:r>
          </w:p>
        </w:tc>
      </w:tr>
      <w:tr w:rsidR="00A3386E" w:rsidRPr="004513DC" w14:paraId="0027982F"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2B67CA68"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26</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47CCC057"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Telfast</w:t>
            </w:r>
            <w:proofErr w:type="spellEnd"/>
            <w:r w:rsidRPr="004513DC">
              <w:rPr>
                <w:rFonts w:asciiTheme="majorBidi" w:hAnsiTheme="majorBidi" w:cstheme="majorBidi"/>
                <w:b/>
                <w:bCs/>
                <w:sz w:val="18"/>
                <w:szCs w:val="18"/>
              </w:rPr>
              <w:t xml:space="preserve"> 120mg</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14FBA446"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Fexofenadine 120 mg</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14D9BCAB"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Antihistamine (2nd-generation)</w:t>
            </w:r>
          </w:p>
        </w:tc>
      </w:tr>
      <w:tr w:rsidR="00A3386E" w:rsidRPr="004513DC" w14:paraId="15B82BB5"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A05EF10"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27</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20B0DDD5"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Flurest</w:t>
            </w:r>
            <w:proofErr w:type="spellEnd"/>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3C3AEBE4"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Paracetamol 500 mg + Phenylephrine 5 mg + Chlorpheniramine 2 mg</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3B786B46"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Cold / flu combination</w:t>
            </w:r>
          </w:p>
        </w:tc>
      </w:tr>
      <w:tr w:rsidR="00A3386E" w:rsidRPr="004513DC" w14:paraId="4856E4F2"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57178F9"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28</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7D3AC776"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Oplex</w:t>
            </w:r>
            <w:proofErr w:type="spellEnd"/>
            <w:r w:rsidRPr="004513DC">
              <w:rPr>
                <w:rFonts w:asciiTheme="majorBidi" w:hAnsiTheme="majorBidi" w:cstheme="majorBidi"/>
                <w:b/>
                <w:bCs/>
                <w:sz w:val="18"/>
                <w:szCs w:val="18"/>
              </w:rPr>
              <w:t xml:space="preserve"> Syrup</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303065B"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Oxomemazine + Guaifenesin + Paracetamol + Sodium benzoate</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3617C114"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Antitussive / expectorant combination</w:t>
            </w:r>
          </w:p>
        </w:tc>
      </w:tr>
      <w:tr w:rsidR="00A3386E" w:rsidRPr="004513DC" w14:paraId="1079C66E"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4899F919"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29</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55F5FE1C"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Sinupret</w:t>
            </w:r>
            <w:proofErr w:type="spellEnd"/>
            <w:r w:rsidRPr="004513DC">
              <w:rPr>
                <w:rFonts w:asciiTheme="majorBidi" w:hAnsiTheme="majorBidi" w:cstheme="majorBidi"/>
                <w:b/>
                <w:bCs/>
                <w:sz w:val="18"/>
                <w:szCs w:val="18"/>
              </w:rPr>
              <w:t xml:space="preserve"> Forte</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592263B1"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Herbal (gentian root, elderflower, primrose, sorrel, verbena)</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1757703E"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Herbal mucolytic / decongestant</w:t>
            </w:r>
          </w:p>
        </w:tc>
      </w:tr>
      <w:tr w:rsidR="00A3386E" w:rsidRPr="004513DC" w14:paraId="70033E80"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2ABE1D83"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30</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A7F033B"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Flagyl 500mg</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5ABC3B3"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Metronidazole 500 mg</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397F9EFE"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Antiprotozoal / Antibacterial</w:t>
            </w:r>
          </w:p>
        </w:tc>
      </w:tr>
      <w:tr w:rsidR="00A3386E" w:rsidRPr="004513DC" w14:paraId="5D65511D"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4781B899"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31</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5693A869"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Betadine Antiseptic Solution</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79B0B462"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Povidone-iodine</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B05178E"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Topical antiseptic</w:t>
            </w:r>
          </w:p>
        </w:tc>
      </w:tr>
      <w:tr w:rsidR="00A3386E" w:rsidRPr="004513DC" w14:paraId="23E321FE"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12E5BE06"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32</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12B7A2A8"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Fucidin 2% Cream</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29E7BC88"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sz w:val="18"/>
                <w:szCs w:val="18"/>
              </w:rPr>
              <w:t>Fusidic</w:t>
            </w:r>
            <w:proofErr w:type="spellEnd"/>
            <w:r w:rsidRPr="004513DC">
              <w:rPr>
                <w:rFonts w:asciiTheme="majorBidi" w:hAnsiTheme="majorBidi" w:cstheme="majorBidi"/>
                <w:sz w:val="18"/>
                <w:szCs w:val="18"/>
              </w:rPr>
              <w:t xml:space="preserve"> acid 2%</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3A387B68"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Topical antibiotic</w:t>
            </w:r>
          </w:p>
        </w:tc>
      </w:tr>
      <w:tr w:rsidR="00A3386E" w:rsidRPr="004513DC" w14:paraId="4A27D4FE"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5B9BE59D"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33</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6C497CC"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Kenacomb</w:t>
            </w:r>
            <w:proofErr w:type="spellEnd"/>
            <w:r w:rsidRPr="004513DC">
              <w:rPr>
                <w:rFonts w:asciiTheme="majorBidi" w:hAnsiTheme="majorBidi" w:cstheme="majorBidi"/>
                <w:b/>
                <w:bCs/>
                <w:sz w:val="18"/>
                <w:szCs w:val="18"/>
              </w:rPr>
              <w:t xml:space="preserve"> Cream</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3F0025D5"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Triamcinolone + Neomycin + Gramicidin + Nystatin</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3B8231D"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Topical corticosteroid / antibiotic / antifungal</w:t>
            </w:r>
          </w:p>
        </w:tc>
      </w:tr>
      <w:tr w:rsidR="00A3386E" w:rsidRPr="004513DC" w14:paraId="5490D638"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7522FCB8"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34</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A4626FD"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Strepsils</w:t>
            </w:r>
            <w:proofErr w:type="spellEnd"/>
            <w:r w:rsidRPr="004513DC">
              <w:rPr>
                <w:rFonts w:asciiTheme="majorBidi" w:hAnsiTheme="majorBidi" w:cstheme="majorBidi"/>
                <w:b/>
                <w:bCs/>
                <w:sz w:val="18"/>
                <w:szCs w:val="18"/>
              </w:rPr>
              <w:t xml:space="preserve"> Honey &amp; Lemon</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0529366"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sz w:val="18"/>
                <w:szCs w:val="18"/>
              </w:rPr>
              <w:t>Amylmetacresol</w:t>
            </w:r>
            <w:proofErr w:type="spellEnd"/>
            <w:r w:rsidRPr="004513DC">
              <w:rPr>
                <w:rFonts w:asciiTheme="majorBidi" w:hAnsiTheme="majorBidi" w:cstheme="majorBidi"/>
                <w:sz w:val="18"/>
                <w:szCs w:val="18"/>
              </w:rPr>
              <w:t xml:space="preserve"> + 2,4-Dichlorobenzyl alcohol</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0AED8195"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Throat lozenge</w:t>
            </w:r>
          </w:p>
        </w:tc>
      </w:tr>
      <w:tr w:rsidR="00A3386E" w:rsidRPr="004513DC" w14:paraId="7F093E76"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5376F8CF"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35</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16340E92"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Mebo</w:t>
            </w:r>
            <w:proofErr w:type="spellEnd"/>
            <w:r w:rsidRPr="004513DC">
              <w:rPr>
                <w:rFonts w:asciiTheme="majorBidi" w:hAnsiTheme="majorBidi" w:cstheme="majorBidi"/>
                <w:b/>
                <w:bCs/>
                <w:sz w:val="18"/>
                <w:szCs w:val="18"/>
              </w:rPr>
              <w:t xml:space="preserve"> Ointment 30g</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661FA3B2"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Beta-sitosterol (herbal base)</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66D7C764"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Topical burn / wound ointment</w:t>
            </w:r>
          </w:p>
        </w:tc>
      </w:tr>
      <w:tr w:rsidR="00A3386E" w:rsidRPr="004513DC" w14:paraId="3AE1BE6F"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20AE2DBB"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36</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51D11F5"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Daktarin Oral Gel</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746D897"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Miconazole 2%</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3F00AF8"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Antifungal (oral gel)</w:t>
            </w:r>
          </w:p>
        </w:tc>
      </w:tr>
      <w:tr w:rsidR="00A3386E" w:rsidRPr="004513DC" w14:paraId="09ED19B5"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1538936"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37</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7CC38AC5"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Polyderm</w:t>
            </w:r>
            <w:proofErr w:type="spellEnd"/>
            <w:r w:rsidRPr="004513DC">
              <w:rPr>
                <w:rFonts w:asciiTheme="majorBidi" w:hAnsiTheme="majorBidi" w:cstheme="majorBidi"/>
                <w:b/>
                <w:bCs/>
                <w:sz w:val="18"/>
                <w:szCs w:val="18"/>
              </w:rPr>
              <w:t xml:space="preserve"> Cream</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74AFA392"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Beclomethasone + Miconazole + Neomycin + Chlorocresol</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11231519"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Topical corticosteroid / antifungal / antibiotic</w:t>
            </w:r>
          </w:p>
        </w:tc>
      </w:tr>
      <w:tr w:rsidR="00A3386E" w:rsidRPr="004513DC" w14:paraId="732782B7"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67FFDC04"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38</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DA8662F"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Neurovit</w:t>
            </w:r>
            <w:proofErr w:type="spellEnd"/>
            <w:r w:rsidRPr="004513DC">
              <w:rPr>
                <w:rFonts w:asciiTheme="majorBidi" w:hAnsiTheme="majorBidi" w:cstheme="majorBidi"/>
                <w:b/>
                <w:bCs/>
                <w:sz w:val="18"/>
                <w:szCs w:val="18"/>
              </w:rPr>
              <w:t xml:space="preserve"> Tablets</w:t>
            </w:r>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20650606"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Vitamin B1 + B6 + B12</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EA4CBB3"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Vitamin B-complex</w:t>
            </w:r>
          </w:p>
        </w:tc>
      </w:tr>
      <w:tr w:rsidR="00A3386E" w:rsidRPr="004513DC" w14:paraId="6017E032"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4DCEADE0"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lastRenderedPageBreak/>
              <w:t>39</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CF14CE9"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Vitacid</w:t>
            </w:r>
            <w:proofErr w:type="spellEnd"/>
            <w:r w:rsidRPr="004513DC">
              <w:rPr>
                <w:rFonts w:asciiTheme="majorBidi" w:hAnsiTheme="majorBidi" w:cstheme="majorBidi"/>
                <w:b/>
                <w:bCs/>
                <w:sz w:val="18"/>
                <w:szCs w:val="18"/>
              </w:rPr>
              <w:t xml:space="preserve"> Calcium Eff</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202034A7"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Vitamin C + Calcium</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E90B261"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Vitamin / mineral supplement</w:t>
            </w:r>
          </w:p>
        </w:tc>
      </w:tr>
      <w:tr w:rsidR="00A3386E" w:rsidRPr="004513DC" w14:paraId="0D8C3391"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0F00B768"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40</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2988D112"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Clexane 4000 Anti-</w:t>
            </w:r>
            <w:proofErr w:type="spellStart"/>
            <w:r w:rsidRPr="004513DC">
              <w:rPr>
                <w:rFonts w:asciiTheme="majorBidi" w:hAnsiTheme="majorBidi" w:cstheme="majorBidi"/>
                <w:b/>
                <w:bCs/>
                <w:sz w:val="18"/>
                <w:szCs w:val="18"/>
              </w:rPr>
              <w:t>Xa</w:t>
            </w:r>
            <w:proofErr w:type="spellEnd"/>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00C9738A"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Enoxaparin sodium 4000 IU</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4B6219FF"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Anticoagulant (LMWH)</w:t>
            </w:r>
          </w:p>
        </w:tc>
      </w:tr>
      <w:tr w:rsidR="00A3386E" w:rsidRPr="004513DC" w14:paraId="67C618D1"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56A2FE24"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41</w:t>
            </w:r>
          </w:p>
        </w:tc>
        <w:tc>
          <w:tcPr>
            <w:tcW w:w="24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45FC9B52"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Virogrip</w:t>
            </w:r>
            <w:proofErr w:type="spellEnd"/>
            <w:r w:rsidRPr="004513DC">
              <w:rPr>
                <w:rFonts w:asciiTheme="majorBidi" w:hAnsiTheme="majorBidi" w:cstheme="majorBidi"/>
                <w:b/>
                <w:bCs/>
                <w:sz w:val="18"/>
                <w:szCs w:val="18"/>
              </w:rPr>
              <w:t xml:space="preserve"> Drops</w:t>
            </w:r>
          </w:p>
        </w:tc>
        <w:tc>
          <w:tcPr>
            <w:tcW w:w="3626"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06DF7661"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Paracetamol + Phenylephrine + Chlorpheniramine</w:t>
            </w:r>
          </w:p>
        </w:tc>
        <w:tc>
          <w:tcPr>
            <w:tcW w:w="2500" w:type="dxa"/>
            <w:tcBorders>
              <w:top w:val="single" w:sz="2" w:space="0" w:color="C9D2D6"/>
              <w:left w:val="single" w:sz="2" w:space="0" w:color="C9D2D6"/>
              <w:bottom w:val="single" w:sz="2" w:space="0" w:color="C9D2D6"/>
              <w:right w:val="single" w:sz="2" w:space="0" w:color="C9D2D6"/>
            </w:tcBorders>
            <w:shd w:val="clear" w:color="auto" w:fill="F4F7F8"/>
            <w:tcMar>
              <w:top w:w="80" w:type="dxa"/>
              <w:left w:w="100" w:type="dxa"/>
              <w:bottom w:w="80" w:type="dxa"/>
              <w:right w:w="100" w:type="dxa"/>
            </w:tcMar>
            <w:vAlign w:val="center"/>
          </w:tcPr>
          <w:p w14:paraId="45CD15B2"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Pediatric cold / flu drops</w:t>
            </w:r>
          </w:p>
        </w:tc>
      </w:tr>
      <w:tr w:rsidR="00A3386E" w:rsidRPr="004513DC" w14:paraId="213409C5" w14:textId="77777777">
        <w:tblPrEx>
          <w:tblCellMar>
            <w:top w:w="0" w:type="dxa"/>
            <w:bottom w:w="0" w:type="dxa"/>
          </w:tblCellMar>
        </w:tblPrEx>
        <w:tc>
          <w:tcPr>
            <w:tcW w:w="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35B2EAE2" w14:textId="77777777" w:rsidR="00A3386E" w:rsidRPr="004513DC" w:rsidRDefault="00347669">
            <w:pPr>
              <w:spacing w:before="20" w:after="20"/>
              <w:jc w:val="center"/>
              <w:rPr>
                <w:rFonts w:asciiTheme="majorBidi" w:hAnsiTheme="majorBidi" w:cstheme="majorBidi"/>
              </w:rPr>
            </w:pPr>
            <w:r w:rsidRPr="004513DC">
              <w:rPr>
                <w:rFonts w:asciiTheme="majorBidi" w:hAnsiTheme="majorBidi" w:cstheme="majorBidi"/>
                <w:sz w:val="18"/>
                <w:szCs w:val="18"/>
              </w:rPr>
              <w:t>42</w:t>
            </w:r>
          </w:p>
        </w:tc>
        <w:tc>
          <w:tcPr>
            <w:tcW w:w="24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2BE9BB97"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 xml:space="preserve">Insulin </w:t>
            </w:r>
            <w:proofErr w:type="spellStart"/>
            <w:r w:rsidRPr="004513DC">
              <w:rPr>
                <w:rFonts w:asciiTheme="majorBidi" w:hAnsiTheme="majorBidi" w:cstheme="majorBidi"/>
                <w:b/>
                <w:bCs/>
                <w:sz w:val="18"/>
                <w:szCs w:val="18"/>
              </w:rPr>
              <w:t>Mixtard</w:t>
            </w:r>
            <w:proofErr w:type="spellEnd"/>
            <w:r w:rsidRPr="004513DC">
              <w:rPr>
                <w:rFonts w:asciiTheme="majorBidi" w:hAnsiTheme="majorBidi" w:cstheme="majorBidi"/>
                <w:b/>
                <w:bCs/>
                <w:sz w:val="18"/>
                <w:szCs w:val="18"/>
              </w:rPr>
              <w:t xml:space="preserve"> 30/70 </w:t>
            </w:r>
            <w:proofErr w:type="spellStart"/>
            <w:r w:rsidRPr="004513DC">
              <w:rPr>
                <w:rFonts w:asciiTheme="majorBidi" w:hAnsiTheme="majorBidi" w:cstheme="majorBidi"/>
                <w:b/>
                <w:bCs/>
                <w:sz w:val="18"/>
                <w:szCs w:val="18"/>
              </w:rPr>
              <w:t>Penfill</w:t>
            </w:r>
            <w:proofErr w:type="spellEnd"/>
          </w:p>
        </w:tc>
        <w:tc>
          <w:tcPr>
            <w:tcW w:w="36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40CE6161"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Biphasic isophane human insulin (30/70)</w:t>
            </w:r>
          </w:p>
        </w:tc>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487A91B1"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Antidiabetic (insulin)</w:t>
            </w:r>
          </w:p>
        </w:tc>
      </w:tr>
    </w:tbl>
    <w:p w14:paraId="1F86B695" w14:textId="77777777" w:rsidR="004513DC" w:rsidRPr="004513DC" w:rsidRDefault="004513DC" w:rsidP="004513DC">
      <w:pPr>
        <w:rPr>
          <w:rFonts w:asciiTheme="majorBidi" w:hAnsiTheme="majorBidi" w:cstheme="majorBidi"/>
        </w:rPr>
      </w:pPr>
    </w:p>
    <w:p w14:paraId="6B7EFD70" w14:textId="70F0DFEF" w:rsidR="004513DC" w:rsidRPr="004513DC" w:rsidRDefault="004513DC" w:rsidP="004513DC">
      <w:pPr>
        <w:rPr>
          <w:rFonts w:asciiTheme="majorBidi" w:hAnsiTheme="majorBidi" w:cstheme="majorBidi"/>
          <w:b/>
          <w:bCs/>
          <w:color w:val="1B3A4B"/>
          <w:sz w:val="26"/>
          <w:szCs w:val="26"/>
          <w:u w:val="single"/>
        </w:rPr>
      </w:pPr>
      <w:r w:rsidRPr="004513DC">
        <w:rPr>
          <w:rFonts w:asciiTheme="majorBidi" w:hAnsiTheme="majorBidi" w:cstheme="majorBidi"/>
          <w:b/>
          <w:bCs/>
          <w:color w:val="1B3A4B"/>
          <w:sz w:val="26"/>
          <w:szCs w:val="26"/>
        </w:rPr>
        <w:t>3</w:t>
      </w:r>
      <w:r w:rsidR="00347669" w:rsidRPr="004513DC">
        <w:rPr>
          <w:rFonts w:asciiTheme="majorBidi" w:hAnsiTheme="majorBidi" w:cstheme="majorBidi"/>
          <w:b/>
          <w:bCs/>
          <w:color w:val="auto"/>
          <w:sz w:val="26"/>
          <w:szCs w:val="26"/>
        </w:rPr>
        <w:t xml:space="preserve">.  </w:t>
      </w:r>
      <w:r w:rsidR="00347669" w:rsidRPr="004513DC">
        <w:rPr>
          <w:rFonts w:asciiTheme="majorBidi" w:hAnsiTheme="majorBidi" w:cstheme="majorBidi"/>
          <w:b/>
          <w:bCs/>
          <w:color w:val="auto"/>
          <w:sz w:val="26"/>
          <w:szCs w:val="26"/>
          <w:u w:val="single"/>
        </w:rPr>
        <w:t>Drug Interactions by Severit</w:t>
      </w:r>
      <w:r w:rsidR="00347669" w:rsidRPr="004513DC">
        <w:rPr>
          <w:rFonts w:asciiTheme="majorBidi" w:hAnsiTheme="majorBidi" w:cstheme="majorBidi"/>
          <w:b/>
          <w:bCs/>
          <w:color w:val="auto"/>
          <w:sz w:val="26"/>
          <w:szCs w:val="26"/>
          <w:u w:val="single"/>
        </w:rPr>
        <w:t>y</w:t>
      </w:r>
    </w:p>
    <w:p w14:paraId="63CBD346" w14:textId="77777777" w:rsidR="004513DC" w:rsidRPr="004513DC" w:rsidRDefault="004513DC" w:rsidP="004513DC">
      <w:pPr>
        <w:rPr>
          <w:rFonts w:asciiTheme="majorBidi" w:hAnsiTheme="majorBidi" w:cstheme="majorBidi"/>
          <w:b/>
          <w:bCs/>
          <w:color w:val="1B3A4B"/>
          <w:sz w:val="26"/>
          <w:szCs w:val="26"/>
          <w:u w:val="single"/>
        </w:rPr>
      </w:pPr>
    </w:p>
    <w:p w14:paraId="53147EA7" w14:textId="1CF92289" w:rsidR="00A3386E" w:rsidRPr="004513DC" w:rsidRDefault="004513DC" w:rsidP="004513DC">
      <w:pPr>
        <w:rPr>
          <w:rFonts w:asciiTheme="majorBidi" w:hAnsiTheme="majorBidi" w:cstheme="majorBidi"/>
          <w:b/>
          <w:bCs/>
          <w:color w:val="auto"/>
          <w:sz w:val="22"/>
          <w:szCs w:val="22"/>
        </w:rPr>
      </w:pPr>
      <w:proofErr w:type="gramStart"/>
      <w:r w:rsidRPr="004513DC">
        <w:rPr>
          <w:rFonts w:asciiTheme="majorBidi" w:hAnsiTheme="majorBidi" w:cstheme="majorBidi"/>
          <w:b/>
          <w:bCs/>
          <w:color w:val="auto"/>
          <w:sz w:val="22"/>
          <w:szCs w:val="22"/>
        </w:rPr>
        <w:t>3</w:t>
      </w:r>
      <w:r w:rsidR="00347669" w:rsidRPr="004513DC">
        <w:rPr>
          <w:rFonts w:asciiTheme="majorBidi" w:hAnsiTheme="majorBidi" w:cstheme="majorBidi"/>
          <w:b/>
          <w:bCs/>
          <w:color w:val="auto"/>
          <w:sz w:val="22"/>
          <w:szCs w:val="22"/>
        </w:rPr>
        <w:t>.1  Major</w:t>
      </w:r>
      <w:proofErr w:type="gramEnd"/>
      <w:r w:rsidR="00347669" w:rsidRPr="004513DC">
        <w:rPr>
          <w:rFonts w:asciiTheme="majorBidi" w:hAnsiTheme="majorBidi" w:cstheme="majorBidi"/>
          <w:b/>
          <w:bCs/>
          <w:color w:val="auto"/>
          <w:sz w:val="22"/>
          <w:szCs w:val="22"/>
        </w:rPr>
        <w:t xml:space="preserve"> / Severe Interactions</w:t>
      </w:r>
      <w:r w:rsidRPr="004513DC">
        <w:rPr>
          <w:rFonts w:asciiTheme="majorBidi" w:hAnsiTheme="majorBidi" w:cstheme="majorBidi"/>
          <w:b/>
          <w:bCs/>
          <w:color w:val="auto"/>
          <w:sz w:val="22"/>
          <w:szCs w:val="22"/>
        </w:rPr>
        <w:t xml:space="preserve"> :</w:t>
      </w:r>
    </w:p>
    <w:p w14:paraId="1CAE9759" w14:textId="77777777" w:rsidR="004513DC" w:rsidRPr="004513DC" w:rsidRDefault="004513DC" w:rsidP="004513DC">
      <w:pPr>
        <w:rPr>
          <w:rFonts w:asciiTheme="majorBidi" w:hAnsiTheme="majorBidi" w:cstheme="majorBidi"/>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26"/>
        <w:gridCol w:w="2700"/>
      </w:tblGrid>
      <w:tr w:rsidR="00A3386E" w:rsidRPr="004513DC" w14:paraId="2CD95045" w14:textId="77777777">
        <w:tblPrEx>
          <w:tblCellMar>
            <w:top w:w="0" w:type="dxa"/>
            <w:bottom w:w="0" w:type="dxa"/>
          </w:tblCellMar>
        </w:tblPrEx>
        <w:trPr>
          <w:tblHeader/>
        </w:trPr>
        <w:tc>
          <w:tcPr>
            <w:tcW w:w="2500" w:type="dxa"/>
            <w:tcBorders>
              <w:top w:val="single" w:sz="2" w:space="0" w:color="C9D2D6"/>
              <w:left w:val="single" w:sz="2" w:space="0" w:color="C9D2D6"/>
              <w:bottom w:val="single" w:sz="2" w:space="0" w:color="C9D2D6"/>
              <w:right w:val="single" w:sz="2" w:space="0" w:color="C9D2D6"/>
            </w:tcBorders>
            <w:shd w:val="clear" w:color="auto" w:fill="1B3A4B"/>
            <w:tcMar>
              <w:top w:w="80" w:type="dxa"/>
              <w:left w:w="100" w:type="dxa"/>
              <w:bottom w:w="80" w:type="dxa"/>
              <w:right w:w="100" w:type="dxa"/>
            </w:tcMar>
            <w:vAlign w:val="center"/>
          </w:tcPr>
          <w:p w14:paraId="544BA801"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color w:val="FFFFFF"/>
                <w:sz w:val="18"/>
                <w:szCs w:val="18"/>
              </w:rPr>
              <w:t>Interacting Products (Active Ingredients)</w:t>
            </w:r>
          </w:p>
        </w:tc>
        <w:tc>
          <w:tcPr>
            <w:tcW w:w="3826" w:type="dxa"/>
            <w:tcBorders>
              <w:top w:val="single" w:sz="2" w:space="0" w:color="C9D2D6"/>
              <w:left w:val="single" w:sz="2" w:space="0" w:color="C9D2D6"/>
              <w:bottom w:val="single" w:sz="2" w:space="0" w:color="C9D2D6"/>
              <w:right w:val="single" w:sz="2" w:space="0" w:color="C9D2D6"/>
            </w:tcBorders>
            <w:shd w:val="clear" w:color="auto" w:fill="1B3A4B"/>
            <w:tcMar>
              <w:top w:w="80" w:type="dxa"/>
              <w:left w:w="100" w:type="dxa"/>
              <w:bottom w:w="80" w:type="dxa"/>
              <w:right w:w="100" w:type="dxa"/>
            </w:tcMar>
            <w:vAlign w:val="center"/>
          </w:tcPr>
          <w:p w14:paraId="7579184F"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color w:val="FFFFFF"/>
                <w:sz w:val="18"/>
                <w:szCs w:val="18"/>
              </w:rPr>
              <w:t>Mechanism &amp; Clinical Effect</w:t>
            </w:r>
          </w:p>
        </w:tc>
        <w:tc>
          <w:tcPr>
            <w:tcW w:w="2700" w:type="dxa"/>
            <w:tcBorders>
              <w:top w:val="single" w:sz="2" w:space="0" w:color="C9D2D6"/>
              <w:left w:val="single" w:sz="2" w:space="0" w:color="C9D2D6"/>
              <w:bottom w:val="single" w:sz="2" w:space="0" w:color="C9D2D6"/>
              <w:right w:val="single" w:sz="2" w:space="0" w:color="C9D2D6"/>
            </w:tcBorders>
            <w:shd w:val="clear" w:color="auto" w:fill="1B3A4B"/>
            <w:tcMar>
              <w:top w:w="80" w:type="dxa"/>
              <w:left w:w="100" w:type="dxa"/>
              <w:bottom w:w="80" w:type="dxa"/>
              <w:right w:w="100" w:type="dxa"/>
            </w:tcMar>
            <w:vAlign w:val="center"/>
          </w:tcPr>
          <w:p w14:paraId="41A688C2"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color w:val="FFFFFF"/>
                <w:sz w:val="18"/>
                <w:szCs w:val="18"/>
              </w:rPr>
              <w:t>Recommendation</w:t>
            </w:r>
          </w:p>
        </w:tc>
      </w:tr>
      <w:tr w:rsidR="00A3386E" w:rsidRPr="004513DC" w14:paraId="13614DE7"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F8D7DA"/>
            <w:tcMar>
              <w:top w:w="80" w:type="dxa"/>
              <w:left w:w="100" w:type="dxa"/>
              <w:bottom w:w="80" w:type="dxa"/>
              <w:right w:w="100" w:type="dxa"/>
            </w:tcMar>
            <w:vAlign w:val="center"/>
          </w:tcPr>
          <w:p w14:paraId="27E94015"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Adolor</w:t>
            </w:r>
            <w:proofErr w:type="spellEnd"/>
            <w:r w:rsidRPr="004513DC">
              <w:rPr>
                <w:rFonts w:asciiTheme="majorBidi" w:hAnsiTheme="majorBidi" w:cstheme="majorBidi"/>
                <w:b/>
                <w:bCs/>
                <w:sz w:val="18"/>
                <w:szCs w:val="18"/>
              </w:rPr>
              <w:t xml:space="preserve"> (Ketorolac) + Clexane (Enoxaparin)</w:t>
            </w:r>
          </w:p>
        </w:tc>
        <w:tc>
          <w:tcPr>
            <w:tcW w:w="3826" w:type="dxa"/>
            <w:tcBorders>
              <w:top w:val="single" w:sz="2" w:space="0" w:color="C9D2D6"/>
              <w:left w:val="single" w:sz="2" w:space="0" w:color="C9D2D6"/>
              <w:bottom w:val="single" w:sz="2" w:space="0" w:color="C9D2D6"/>
              <w:right w:val="single" w:sz="2" w:space="0" w:color="C9D2D6"/>
            </w:tcBorders>
            <w:shd w:val="clear" w:color="auto" w:fill="F8D7DA"/>
            <w:tcMar>
              <w:top w:w="80" w:type="dxa"/>
              <w:left w:w="100" w:type="dxa"/>
              <w:bottom w:w="80" w:type="dxa"/>
              <w:right w:w="100" w:type="dxa"/>
            </w:tcMar>
            <w:vAlign w:val="center"/>
          </w:tcPr>
          <w:p w14:paraId="3A4C3760"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Ketorolac inhibits platelet aggregation while enoxaparin adds anticoagulant effect. Official prescribing information specifically warns of increased bleeding risk with concurrent anticoagulant use.</w:t>
            </w:r>
          </w:p>
        </w:tc>
        <w:tc>
          <w:tcPr>
            <w:tcW w:w="2700" w:type="dxa"/>
            <w:tcBorders>
              <w:top w:val="single" w:sz="2" w:space="0" w:color="C9D2D6"/>
              <w:left w:val="single" w:sz="2" w:space="0" w:color="C9D2D6"/>
              <w:bottom w:val="single" w:sz="2" w:space="0" w:color="C9D2D6"/>
              <w:right w:val="single" w:sz="2" w:space="0" w:color="C9D2D6"/>
            </w:tcBorders>
            <w:shd w:val="clear" w:color="auto" w:fill="F8D7DA"/>
            <w:tcMar>
              <w:top w:w="80" w:type="dxa"/>
              <w:left w:w="100" w:type="dxa"/>
              <w:bottom w:w="80" w:type="dxa"/>
              <w:right w:w="100" w:type="dxa"/>
            </w:tcMar>
            <w:vAlign w:val="center"/>
          </w:tcPr>
          <w:p w14:paraId="18F53E3C"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Avoid the combination. If pain relief is needed in an anti</w:t>
            </w:r>
            <w:r w:rsidRPr="004513DC">
              <w:rPr>
                <w:rFonts w:asciiTheme="majorBidi" w:hAnsiTheme="majorBidi" w:cstheme="majorBidi"/>
                <w:i/>
                <w:iCs/>
                <w:sz w:val="18"/>
                <w:szCs w:val="18"/>
              </w:rPr>
              <w:t>coagulated patient, use paracetamol first-line and involve a physician before considering any NSAID.</w:t>
            </w:r>
          </w:p>
        </w:tc>
      </w:tr>
      <w:tr w:rsidR="00A3386E" w:rsidRPr="004513DC" w14:paraId="7D6DAA48"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16F6630C"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Adolor</w:t>
            </w:r>
            <w:proofErr w:type="spellEnd"/>
            <w:r w:rsidRPr="004513DC">
              <w:rPr>
                <w:rFonts w:asciiTheme="majorBidi" w:hAnsiTheme="majorBidi" w:cstheme="majorBidi"/>
                <w:b/>
                <w:bCs/>
                <w:sz w:val="18"/>
                <w:szCs w:val="18"/>
              </w:rPr>
              <w:t xml:space="preserve"> (Ketorolac) + any other NSAID — </w:t>
            </w:r>
            <w:proofErr w:type="spellStart"/>
            <w:r w:rsidRPr="004513DC">
              <w:rPr>
                <w:rFonts w:asciiTheme="majorBidi" w:hAnsiTheme="majorBidi" w:cstheme="majorBidi"/>
                <w:b/>
                <w:bCs/>
                <w:sz w:val="18"/>
                <w:szCs w:val="18"/>
              </w:rPr>
              <w:t>Catafast</w:t>
            </w:r>
            <w:proofErr w:type="spellEnd"/>
            <w:r w:rsidRPr="004513DC">
              <w:rPr>
                <w:rFonts w:asciiTheme="majorBidi" w:hAnsiTheme="majorBidi" w:cstheme="majorBidi"/>
                <w:b/>
                <w:bCs/>
                <w:sz w:val="18"/>
                <w:szCs w:val="18"/>
              </w:rPr>
              <w:t xml:space="preserve">, </w:t>
            </w:r>
            <w:proofErr w:type="spellStart"/>
            <w:r w:rsidRPr="004513DC">
              <w:rPr>
                <w:rFonts w:asciiTheme="majorBidi" w:hAnsiTheme="majorBidi" w:cstheme="majorBidi"/>
                <w:b/>
                <w:bCs/>
                <w:sz w:val="18"/>
                <w:szCs w:val="18"/>
              </w:rPr>
              <w:t>Brufen</w:t>
            </w:r>
            <w:proofErr w:type="spellEnd"/>
            <w:r w:rsidRPr="004513DC">
              <w:rPr>
                <w:rFonts w:asciiTheme="majorBidi" w:hAnsiTheme="majorBidi" w:cstheme="majorBidi"/>
                <w:b/>
                <w:bCs/>
                <w:sz w:val="18"/>
                <w:szCs w:val="18"/>
              </w:rPr>
              <w:t xml:space="preserve">, </w:t>
            </w:r>
            <w:proofErr w:type="spellStart"/>
            <w:r w:rsidRPr="004513DC">
              <w:rPr>
                <w:rFonts w:asciiTheme="majorBidi" w:hAnsiTheme="majorBidi" w:cstheme="majorBidi"/>
                <w:b/>
                <w:bCs/>
                <w:sz w:val="18"/>
                <w:szCs w:val="18"/>
              </w:rPr>
              <w:t>Cataflam</w:t>
            </w:r>
            <w:proofErr w:type="spellEnd"/>
            <w:r w:rsidRPr="004513DC">
              <w:rPr>
                <w:rFonts w:asciiTheme="majorBidi" w:hAnsiTheme="majorBidi" w:cstheme="majorBidi"/>
                <w:b/>
                <w:bCs/>
                <w:sz w:val="18"/>
                <w:szCs w:val="18"/>
              </w:rPr>
              <w:t xml:space="preserve">, </w:t>
            </w:r>
            <w:proofErr w:type="spellStart"/>
            <w:r w:rsidRPr="004513DC">
              <w:rPr>
                <w:rFonts w:asciiTheme="majorBidi" w:hAnsiTheme="majorBidi" w:cstheme="majorBidi"/>
                <w:b/>
                <w:bCs/>
                <w:sz w:val="18"/>
                <w:szCs w:val="18"/>
              </w:rPr>
              <w:t>Ketofan</w:t>
            </w:r>
            <w:proofErr w:type="spellEnd"/>
            <w:r w:rsidRPr="004513DC">
              <w:rPr>
                <w:rFonts w:asciiTheme="majorBidi" w:hAnsiTheme="majorBidi" w:cstheme="majorBidi"/>
                <w:b/>
                <w:bCs/>
                <w:sz w:val="18"/>
                <w:szCs w:val="18"/>
              </w:rPr>
              <w:t xml:space="preserve">, </w:t>
            </w:r>
            <w:proofErr w:type="spellStart"/>
            <w:r w:rsidRPr="004513DC">
              <w:rPr>
                <w:rFonts w:asciiTheme="majorBidi" w:hAnsiTheme="majorBidi" w:cstheme="majorBidi"/>
                <w:b/>
                <w:bCs/>
                <w:sz w:val="18"/>
                <w:szCs w:val="18"/>
              </w:rPr>
              <w:t>Voltaren</w:t>
            </w:r>
            <w:proofErr w:type="spellEnd"/>
            <w:r w:rsidRPr="004513DC">
              <w:rPr>
                <w:rFonts w:asciiTheme="majorBidi" w:hAnsiTheme="majorBidi" w:cstheme="majorBidi"/>
                <w:b/>
                <w:bCs/>
                <w:sz w:val="18"/>
                <w:szCs w:val="18"/>
              </w:rPr>
              <w:t xml:space="preserve"> </w:t>
            </w:r>
            <w:proofErr w:type="spellStart"/>
            <w:r w:rsidRPr="004513DC">
              <w:rPr>
                <w:rFonts w:asciiTheme="majorBidi" w:hAnsiTheme="majorBidi" w:cstheme="majorBidi"/>
                <w:b/>
                <w:bCs/>
                <w:sz w:val="18"/>
                <w:szCs w:val="18"/>
              </w:rPr>
              <w:t>Emulgel</w:t>
            </w:r>
            <w:proofErr w:type="spellEnd"/>
          </w:p>
        </w:tc>
        <w:tc>
          <w:tcPr>
            <w:tcW w:w="38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05428BD2"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Additive inhibition of prostaglandin synthesis. Ketorolac already carries the highest GI-bleeding risk among common NSAIDs; adding a second NSAID increases risk wi</w:t>
            </w:r>
            <w:r w:rsidRPr="004513DC">
              <w:rPr>
                <w:rFonts w:asciiTheme="majorBidi" w:hAnsiTheme="majorBidi" w:cstheme="majorBidi"/>
                <w:sz w:val="18"/>
                <w:szCs w:val="18"/>
              </w:rPr>
              <w:t>thout extra pain relief.</w:t>
            </w:r>
          </w:p>
        </w:tc>
        <w:tc>
          <w:tcPr>
            <w:tcW w:w="27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64FA9D33"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Never co-administer. Use one NSAID only, at the lowest effective dose and for the shortest time.</w:t>
            </w:r>
          </w:p>
        </w:tc>
      </w:tr>
      <w:tr w:rsidR="00A3386E" w:rsidRPr="004513DC" w14:paraId="13C18E44"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F8D7DA"/>
            <w:tcMar>
              <w:top w:w="80" w:type="dxa"/>
              <w:left w:w="100" w:type="dxa"/>
              <w:bottom w:w="80" w:type="dxa"/>
              <w:right w:w="100" w:type="dxa"/>
            </w:tcMar>
            <w:vAlign w:val="center"/>
          </w:tcPr>
          <w:p w14:paraId="732A768D"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 xml:space="preserve">Oral NSAIDs — </w:t>
            </w:r>
            <w:proofErr w:type="spellStart"/>
            <w:r w:rsidRPr="004513DC">
              <w:rPr>
                <w:rFonts w:asciiTheme="majorBidi" w:hAnsiTheme="majorBidi" w:cstheme="majorBidi"/>
                <w:b/>
                <w:bCs/>
                <w:sz w:val="18"/>
                <w:szCs w:val="18"/>
              </w:rPr>
              <w:t>Catafast</w:t>
            </w:r>
            <w:proofErr w:type="spellEnd"/>
            <w:r w:rsidRPr="004513DC">
              <w:rPr>
                <w:rFonts w:asciiTheme="majorBidi" w:hAnsiTheme="majorBidi" w:cstheme="majorBidi"/>
                <w:b/>
                <w:bCs/>
                <w:sz w:val="18"/>
                <w:szCs w:val="18"/>
              </w:rPr>
              <w:t xml:space="preserve">, </w:t>
            </w:r>
            <w:proofErr w:type="spellStart"/>
            <w:r w:rsidRPr="004513DC">
              <w:rPr>
                <w:rFonts w:asciiTheme="majorBidi" w:hAnsiTheme="majorBidi" w:cstheme="majorBidi"/>
                <w:b/>
                <w:bCs/>
                <w:sz w:val="18"/>
                <w:szCs w:val="18"/>
              </w:rPr>
              <w:t>Brufen</w:t>
            </w:r>
            <w:proofErr w:type="spellEnd"/>
            <w:r w:rsidRPr="004513DC">
              <w:rPr>
                <w:rFonts w:asciiTheme="majorBidi" w:hAnsiTheme="majorBidi" w:cstheme="majorBidi"/>
                <w:b/>
                <w:bCs/>
                <w:sz w:val="18"/>
                <w:szCs w:val="18"/>
              </w:rPr>
              <w:t xml:space="preserve">, </w:t>
            </w:r>
            <w:proofErr w:type="spellStart"/>
            <w:r w:rsidRPr="004513DC">
              <w:rPr>
                <w:rFonts w:asciiTheme="majorBidi" w:hAnsiTheme="majorBidi" w:cstheme="majorBidi"/>
                <w:b/>
                <w:bCs/>
                <w:sz w:val="18"/>
                <w:szCs w:val="18"/>
              </w:rPr>
              <w:t>Cataflam</w:t>
            </w:r>
            <w:proofErr w:type="spellEnd"/>
            <w:r w:rsidRPr="004513DC">
              <w:rPr>
                <w:rFonts w:asciiTheme="majorBidi" w:hAnsiTheme="majorBidi" w:cstheme="majorBidi"/>
                <w:b/>
                <w:bCs/>
                <w:sz w:val="18"/>
                <w:szCs w:val="18"/>
              </w:rPr>
              <w:t xml:space="preserve">, </w:t>
            </w:r>
            <w:proofErr w:type="spellStart"/>
            <w:r w:rsidRPr="004513DC">
              <w:rPr>
                <w:rFonts w:asciiTheme="majorBidi" w:hAnsiTheme="majorBidi" w:cstheme="majorBidi"/>
                <w:b/>
                <w:bCs/>
                <w:sz w:val="18"/>
                <w:szCs w:val="18"/>
              </w:rPr>
              <w:t>Ketofan</w:t>
            </w:r>
            <w:proofErr w:type="spellEnd"/>
            <w:r w:rsidRPr="004513DC">
              <w:rPr>
                <w:rFonts w:asciiTheme="majorBidi" w:hAnsiTheme="majorBidi" w:cstheme="majorBidi"/>
                <w:b/>
                <w:bCs/>
                <w:sz w:val="18"/>
                <w:szCs w:val="18"/>
              </w:rPr>
              <w:t xml:space="preserve"> + Clexane (Enoxaparin)</w:t>
            </w:r>
          </w:p>
        </w:tc>
        <w:tc>
          <w:tcPr>
            <w:tcW w:w="3826" w:type="dxa"/>
            <w:tcBorders>
              <w:top w:val="single" w:sz="2" w:space="0" w:color="C9D2D6"/>
              <w:left w:val="single" w:sz="2" w:space="0" w:color="C9D2D6"/>
              <w:bottom w:val="single" w:sz="2" w:space="0" w:color="C9D2D6"/>
              <w:right w:val="single" w:sz="2" w:space="0" w:color="C9D2D6"/>
            </w:tcBorders>
            <w:shd w:val="clear" w:color="auto" w:fill="F8D7DA"/>
            <w:tcMar>
              <w:top w:w="80" w:type="dxa"/>
              <w:left w:w="100" w:type="dxa"/>
              <w:bottom w:w="80" w:type="dxa"/>
              <w:right w:w="100" w:type="dxa"/>
            </w:tcMar>
            <w:vAlign w:val="center"/>
          </w:tcPr>
          <w:p w14:paraId="3F12FCBA"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NSAID antiplatelet activity combines with enoxaparin's anticoagulant effect, raising the risk of GI and other bleeding.</w:t>
            </w:r>
          </w:p>
        </w:tc>
        <w:tc>
          <w:tcPr>
            <w:tcW w:w="2700" w:type="dxa"/>
            <w:tcBorders>
              <w:top w:val="single" w:sz="2" w:space="0" w:color="C9D2D6"/>
              <w:left w:val="single" w:sz="2" w:space="0" w:color="C9D2D6"/>
              <w:bottom w:val="single" w:sz="2" w:space="0" w:color="C9D2D6"/>
              <w:right w:val="single" w:sz="2" w:space="0" w:color="C9D2D6"/>
            </w:tcBorders>
            <w:shd w:val="clear" w:color="auto" w:fill="F8D7DA"/>
            <w:tcMar>
              <w:top w:w="80" w:type="dxa"/>
              <w:left w:w="100" w:type="dxa"/>
              <w:bottom w:w="80" w:type="dxa"/>
              <w:right w:w="100" w:type="dxa"/>
            </w:tcMar>
            <w:vAlign w:val="center"/>
          </w:tcPr>
          <w:p w14:paraId="56764F00"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Avoid where possible. If unavoidable, use the lowest NSAID dose</w:t>
            </w:r>
            <w:r w:rsidRPr="004513DC">
              <w:rPr>
                <w:rFonts w:asciiTheme="majorBidi" w:hAnsiTheme="majorBidi" w:cstheme="majorBidi"/>
                <w:i/>
                <w:iCs/>
                <w:sz w:val="18"/>
                <w:szCs w:val="18"/>
              </w:rPr>
              <w:t xml:space="preserve"> for the shortest duration and watch closely for bruising or bleeding.</w:t>
            </w:r>
          </w:p>
        </w:tc>
      </w:tr>
      <w:tr w:rsidR="00A3386E" w:rsidRPr="004513DC" w14:paraId="4D52C73C"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037B8353"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Motilium</w:t>
            </w:r>
            <w:proofErr w:type="spellEnd"/>
            <w:r w:rsidRPr="004513DC">
              <w:rPr>
                <w:rFonts w:asciiTheme="majorBidi" w:hAnsiTheme="majorBidi" w:cstheme="majorBidi"/>
                <w:b/>
                <w:bCs/>
                <w:sz w:val="18"/>
                <w:szCs w:val="18"/>
              </w:rPr>
              <w:t xml:space="preserve"> (Domperidone) + Daktarin Oral Gel (Miconazole)</w:t>
            </w:r>
          </w:p>
        </w:tc>
        <w:tc>
          <w:tcPr>
            <w:tcW w:w="38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3469B89B"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Miconazole is an azole antifungal that inhibits CYP3A4, the enzyme that clears domperidone, raising domperidone blood levels. Regulatory guidance lists azole antifungals as a high-risk / contraindicated combination with domperidone because of QT-interval p</w:t>
            </w:r>
            <w:r w:rsidRPr="004513DC">
              <w:rPr>
                <w:rFonts w:asciiTheme="majorBidi" w:hAnsiTheme="majorBidi" w:cstheme="majorBidi"/>
                <w:sz w:val="18"/>
                <w:szCs w:val="18"/>
              </w:rPr>
              <w:t>rolongation and risk of serious ventricular arrhythmia.</w:t>
            </w:r>
          </w:p>
        </w:tc>
        <w:tc>
          <w:tcPr>
            <w:tcW w:w="27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6DBE7A7"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Avoid the combination. If an antifungal is needed alongside domperidone, ask a physician or pharmacist for an alternative.</w:t>
            </w:r>
          </w:p>
        </w:tc>
      </w:tr>
      <w:tr w:rsidR="00A3386E" w:rsidRPr="004513DC" w14:paraId="783DCDDF"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F8D7DA"/>
            <w:tcMar>
              <w:top w:w="80" w:type="dxa"/>
              <w:left w:w="100" w:type="dxa"/>
              <w:bottom w:w="80" w:type="dxa"/>
              <w:right w:w="100" w:type="dxa"/>
            </w:tcMar>
            <w:vAlign w:val="center"/>
          </w:tcPr>
          <w:p w14:paraId="7BB23344"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 xml:space="preserve">123 Cold &amp; Flu (Codeine + Carbinoxamine) + </w:t>
            </w:r>
            <w:proofErr w:type="spellStart"/>
            <w:r w:rsidRPr="004513DC">
              <w:rPr>
                <w:rFonts w:asciiTheme="majorBidi" w:hAnsiTheme="majorBidi" w:cstheme="majorBidi"/>
                <w:b/>
                <w:bCs/>
                <w:sz w:val="18"/>
                <w:szCs w:val="18"/>
              </w:rPr>
              <w:t>Oplex</w:t>
            </w:r>
            <w:proofErr w:type="spellEnd"/>
            <w:r w:rsidRPr="004513DC">
              <w:rPr>
                <w:rFonts w:asciiTheme="majorBidi" w:hAnsiTheme="majorBidi" w:cstheme="majorBidi"/>
                <w:b/>
                <w:bCs/>
                <w:sz w:val="18"/>
                <w:szCs w:val="18"/>
              </w:rPr>
              <w:t xml:space="preserve"> Syrup (Oxomemazine), or other sedating-antihistamine products (</w:t>
            </w:r>
            <w:proofErr w:type="spellStart"/>
            <w:r w:rsidRPr="004513DC">
              <w:rPr>
                <w:rFonts w:asciiTheme="majorBidi" w:hAnsiTheme="majorBidi" w:cstheme="majorBidi"/>
                <w:b/>
                <w:bCs/>
                <w:sz w:val="18"/>
                <w:szCs w:val="18"/>
              </w:rPr>
              <w:t>Congestal</w:t>
            </w:r>
            <w:proofErr w:type="spellEnd"/>
            <w:r w:rsidRPr="004513DC">
              <w:rPr>
                <w:rFonts w:asciiTheme="majorBidi" w:hAnsiTheme="majorBidi" w:cstheme="majorBidi"/>
                <w:b/>
                <w:bCs/>
                <w:sz w:val="18"/>
                <w:szCs w:val="18"/>
              </w:rPr>
              <w:t xml:space="preserve">, </w:t>
            </w:r>
            <w:proofErr w:type="spellStart"/>
            <w:r w:rsidRPr="004513DC">
              <w:rPr>
                <w:rFonts w:asciiTheme="majorBidi" w:hAnsiTheme="majorBidi" w:cstheme="majorBidi"/>
                <w:b/>
                <w:bCs/>
                <w:sz w:val="18"/>
                <w:szCs w:val="18"/>
              </w:rPr>
              <w:t>Flurest</w:t>
            </w:r>
            <w:proofErr w:type="spellEnd"/>
            <w:r w:rsidRPr="004513DC">
              <w:rPr>
                <w:rFonts w:asciiTheme="majorBidi" w:hAnsiTheme="majorBidi" w:cstheme="majorBidi"/>
                <w:b/>
                <w:bCs/>
                <w:sz w:val="18"/>
                <w:szCs w:val="18"/>
              </w:rPr>
              <w:t xml:space="preserve">, </w:t>
            </w:r>
            <w:proofErr w:type="spellStart"/>
            <w:r w:rsidRPr="004513DC">
              <w:rPr>
                <w:rFonts w:asciiTheme="majorBidi" w:hAnsiTheme="majorBidi" w:cstheme="majorBidi"/>
                <w:b/>
                <w:bCs/>
                <w:sz w:val="18"/>
                <w:szCs w:val="18"/>
              </w:rPr>
              <w:t>Virogrip</w:t>
            </w:r>
            <w:proofErr w:type="spellEnd"/>
            <w:r w:rsidRPr="004513DC">
              <w:rPr>
                <w:rFonts w:asciiTheme="majorBidi" w:hAnsiTheme="majorBidi" w:cstheme="majorBidi"/>
                <w:b/>
                <w:bCs/>
                <w:sz w:val="18"/>
                <w:szCs w:val="18"/>
              </w:rPr>
              <w:t xml:space="preserve"> Drops)</w:t>
            </w:r>
          </w:p>
        </w:tc>
        <w:tc>
          <w:tcPr>
            <w:tcW w:w="3826" w:type="dxa"/>
            <w:tcBorders>
              <w:top w:val="single" w:sz="2" w:space="0" w:color="C9D2D6"/>
              <w:left w:val="single" w:sz="2" w:space="0" w:color="C9D2D6"/>
              <w:bottom w:val="single" w:sz="2" w:space="0" w:color="C9D2D6"/>
              <w:right w:val="single" w:sz="2" w:space="0" w:color="C9D2D6"/>
            </w:tcBorders>
            <w:shd w:val="clear" w:color="auto" w:fill="F8D7DA"/>
            <w:tcMar>
              <w:top w:w="80" w:type="dxa"/>
              <w:left w:w="100" w:type="dxa"/>
              <w:bottom w:w="80" w:type="dxa"/>
              <w:right w:w="100" w:type="dxa"/>
            </w:tcMar>
            <w:vAlign w:val="center"/>
          </w:tcPr>
          <w:p w14:paraId="7E65BC2C"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Codeine (an opioid) and sedating first-generation antihistamines / phenothiazines both depress the central n</w:t>
            </w:r>
            <w:r w:rsidRPr="004513DC">
              <w:rPr>
                <w:rFonts w:asciiTheme="majorBidi" w:hAnsiTheme="majorBidi" w:cstheme="majorBidi"/>
                <w:sz w:val="18"/>
                <w:szCs w:val="18"/>
              </w:rPr>
              <w:t>ervous system; combined use produces additive sedation and respiratory depression, not just overlapping side effects.</w:t>
            </w:r>
          </w:p>
        </w:tc>
        <w:tc>
          <w:tcPr>
            <w:tcW w:w="2700" w:type="dxa"/>
            <w:tcBorders>
              <w:top w:val="single" w:sz="2" w:space="0" w:color="C9D2D6"/>
              <w:left w:val="single" w:sz="2" w:space="0" w:color="C9D2D6"/>
              <w:bottom w:val="single" w:sz="2" w:space="0" w:color="C9D2D6"/>
              <w:right w:val="single" w:sz="2" w:space="0" w:color="C9D2D6"/>
            </w:tcBorders>
            <w:shd w:val="clear" w:color="auto" w:fill="F8D7DA"/>
            <w:tcMar>
              <w:top w:w="80" w:type="dxa"/>
              <w:left w:w="100" w:type="dxa"/>
              <w:bottom w:w="80" w:type="dxa"/>
              <w:right w:w="100" w:type="dxa"/>
            </w:tcMar>
            <w:vAlign w:val="center"/>
          </w:tcPr>
          <w:p w14:paraId="1FF0E995"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Do not combine. Avoid use with alcohol or other sedatives. Use particular caution in children and older adults.</w:t>
            </w:r>
          </w:p>
        </w:tc>
      </w:tr>
    </w:tbl>
    <w:p w14:paraId="5774292D" w14:textId="3C3A2E4B" w:rsidR="00A3386E" w:rsidRPr="004513DC" w:rsidRDefault="00347669" w:rsidP="004513DC">
      <w:pPr>
        <w:rPr>
          <w:rFonts w:asciiTheme="majorBidi" w:hAnsiTheme="majorBidi" w:cstheme="majorBidi"/>
          <w:b/>
          <w:bCs/>
          <w:color w:val="auto"/>
          <w:sz w:val="22"/>
          <w:szCs w:val="22"/>
        </w:rPr>
      </w:pPr>
      <w:r w:rsidRPr="004513DC">
        <w:rPr>
          <w:rFonts w:asciiTheme="majorBidi" w:hAnsiTheme="majorBidi" w:cstheme="majorBidi"/>
        </w:rPr>
        <w:br w:type="page"/>
      </w:r>
      <w:proofErr w:type="gramStart"/>
      <w:r w:rsidR="004513DC" w:rsidRPr="004513DC">
        <w:rPr>
          <w:rFonts w:asciiTheme="majorBidi" w:hAnsiTheme="majorBidi" w:cstheme="majorBidi"/>
          <w:b/>
          <w:bCs/>
          <w:color w:val="auto"/>
          <w:sz w:val="22"/>
          <w:szCs w:val="22"/>
        </w:rPr>
        <w:lastRenderedPageBreak/>
        <w:t>3</w:t>
      </w:r>
      <w:r w:rsidRPr="004513DC">
        <w:rPr>
          <w:rFonts w:asciiTheme="majorBidi" w:hAnsiTheme="majorBidi" w:cstheme="majorBidi"/>
          <w:b/>
          <w:bCs/>
          <w:color w:val="auto"/>
          <w:sz w:val="22"/>
          <w:szCs w:val="22"/>
        </w:rPr>
        <w:t>.2  Moderate</w:t>
      </w:r>
      <w:proofErr w:type="gramEnd"/>
      <w:r w:rsidRPr="004513DC">
        <w:rPr>
          <w:rFonts w:asciiTheme="majorBidi" w:hAnsiTheme="majorBidi" w:cstheme="majorBidi"/>
          <w:b/>
          <w:bCs/>
          <w:color w:val="auto"/>
          <w:sz w:val="22"/>
          <w:szCs w:val="22"/>
        </w:rPr>
        <w:t xml:space="preserve"> Interactions</w:t>
      </w:r>
      <w:r w:rsidR="004513DC" w:rsidRPr="004513DC">
        <w:rPr>
          <w:rFonts w:asciiTheme="majorBidi" w:hAnsiTheme="majorBidi" w:cstheme="majorBidi"/>
          <w:b/>
          <w:bCs/>
          <w:color w:val="auto"/>
          <w:sz w:val="22"/>
          <w:szCs w:val="22"/>
        </w:rPr>
        <w:t xml:space="preserve">: </w:t>
      </w:r>
    </w:p>
    <w:p w14:paraId="1F0EB9E8" w14:textId="77777777" w:rsidR="004513DC" w:rsidRPr="004513DC" w:rsidRDefault="004513DC" w:rsidP="004513DC">
      <w:pPr>
        <w:rPr>
          <w:rFonts w:asciiTheme="majorBidi" w:hAnsiTheme="majorBidi" w:cstheme="majorBid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26"/>
        <w:gridCol w:w="2700"/>
      </w:tblGrid>
      <w:tr w:rsidR="00A3386E" w:rsidRPr="004513DC" w14:paraId="3F2916E7" w14:textId="77777777">
        <w:tblPrEx>
          <w:tblCellMar>
            <w:top w:w="0" w:type="dxa"/>
            <w:bottom w:w="0" w:type="dxa"/>
          </w:tblCellMar>
        </w:tblPrEx>
        <w:trPr>
          <w:tblHeader/>
        </w:trPr>
        <w:tc>
          <w:tcPr>
            <w:tcW w:w="2500" w:type="dxa"/>
            <w:tcBorders>
              <w:top w:val="single" w:sz="2" w:space="0" w:color="C9D2D6"/>
              <w:left w:val="single" w:sz="2" w:space="0" w:color="C9D2D6"/>
              <w:bottom w:val="single" w:sz="2" w:space="0" w:color="C9D2D6"/>
              <w:right w:val="single" w:sz="2" w:space="0" w:color="C9D2D6"/>
            </w:tcBorders>
            <w:shd w:val="clear" w:color="auto" w:fill="1B3A4B"/>
            <w:tcMar>
              <w:top w:w="80" w:type="dxa"/>
              <w:left w:w="100" w:type="dxa"/>
              <w:bottom w:w="80" w:type="dxa"/>
              <w:right w:w="100" w:type="dxa"/>
            </w:tcMar>
            <w:vAlign w:val="center"/>
          </w:tcPr>
          <w:p w14:paraId="1E5C8C79"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color w:val="FFFFFF"/>
                <w:sz w:val="18"/>
                <w:szCs w:val="18"/>
              </w:rPr>
              <w:t>Interacting Products (Active Ingredients)</w:t>
            </w:r>
          </w:p>
        </w:tc>
        <w:tc>
          <w:tcPr>
            <w:tcW w:w="3826" w:type="dxa"/>
            <w:tcBorders>
              <w:top w:val="single" w:sz="2" w:space="0" w:color="C9D2D6"/>
              <w:left w:val="single" w:sz="2" w:space="0" w:color="C9D2D6"/>
              <w:bottom w:val="single" w:sz="2" w:space="0" w:color="C9D2D6"/>
              <w:right w:val="single" w:sz="2" w:space="0" w:color="C9D2D6"/>
            </w:tcBorders>
            <w:shd w:val="clear" w:color="auto" w:fill="1B3A4B"/>
            <w:tcMar>
              <w:top w:w="80" w:type="dxa"/>
              <w:left w:w="100" w:type="dxa"/>
              <w:bottom w:w="80" w:type="dxa"/>
              <w:right w:w="100" w:type="dxa"/>
            </w:tcMar>
            <w:vAlign w:val="center"/>
          </w:tcPr>
          <w:p w14:paraId="5F85D1BA"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color w:val="FFFFFF"/>
                <w:sz w:val="18"/>
                <w:szCs w:val="18"/>
              </w:rPr>
              <w:t>Mechanism &amp; Clinical Effect</w:t>
            </w:r>
          </w:p>
        </w:tc>
        <w:tc>
          <w:tcPr>
            <w:tcW w:w="2700" w:type="dxa"/>
            <w:tcBorders>
              <w:top w:val="single" w:sz="2" w:space="0" w:color="C9D2D6"/>
              <w:left w:val="single" w:sz="2" w:space="0" w:color="C9D2D6"/>
              <w:bottom w:val="single" w:sz="2" w:space="0" w:color="C9D2D6"/>
              <w:right w:val="single" w:sz="2" w:space="0" w:color="C9D2D6"/>
            </w:tcBorders>
            <w:shd w:val="clear" w:color="auto" w:fill="1B3A4B"/>
            <w:tcMar>
              <w:top w:w="80" w:type="dxa"/>
              <w:left w:w="100" w:type="dxa"/>
              <w:bottom w:w="80" w:type="dxa"/>
              <w:right w:w="100" w:type="dxa"/>
            </w:tcMar>
            <w:vAlign w:val="center"/>
          </w:tcPr>
          <w:p w14:paraId="2BCBA942"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color w:val="FFFFFF"/>
                <w:sz w:val="18"/>
                <w:szCs w:val="18"/>
              </w:rPr>
              <w:t>Recommendation</w:t>
            </w:r>
          </w:p>
        </w:tc>
      </w:tr>
      <w:tr w:rsidR="00A3386E" w:rsidRPr="004513DC" w14:paraId="7AA60EA7"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FCEBCF"/>
            <w:tcMar>
              <w:top w:w="80" w:type="dxa"/>
              <w:left w:w="100" w:type="dxa"/>
              <w:bottom w:w="80" w:type="dxa"/>
              <w:right w:w="100" w:type="dxa"/>
            </w:tcMar>
            <w:vAlign w:val="center"/>
          </w:tcPr>
          <w:p w14:paraId="2660722A"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Flagyl (Metronidazole) + Clexane (Enoxaparin)</w:t>
            </w:r>
          </w:p>
        </w:tc>
        <w:tc>
          <w:tcPr>
            <w:tcW w:w="3826" w:type="dxa"/>
            <w:tcBorders>
              <w:top w:val="single" w:sz="2" w:space="0" w:color="C9D2D6"/>
              <w:left w:val="single" w:sz="2" w:space="0" w:color="C9D2D6"/>
              <w:bottom w:val="single" w:sz="2" w:space="0" w:color="C9D2D6"/>
              <w:right w:val="single" w:sz="2" w:space="0" w:color="C9D2D6"/>
            </w:tcBorders>
            <w:shd w:val="clear" w:color="auto" w:fill="FCEBCF"/>
            <w:tcMar>
              <w:top w:w="80" w:type="dxa"/>
              <w:left w:w="100" w:type="dxa"/>
              <w:bottom w:w="80" w:type="dxa"/>
              <w:right w:w="100" w:type="dxa"/>
            </w:tcMar>
            <w:vAlign w:val="center"/>
          </w:tcPr>
          <w:p w14:paraId="5D086B5B"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Metronidazole can potentiate drugs that affect blood clotting. The best-documented version of this interaction is with warfarin-type anticoagulants; with enoxaparin the concern is a more general, additive bleeding tendency.</w:t>
            </w:r>
          </w:p>
        </w:tc>
        <w:tc>
          <w:tcPr>
            <w:tcW w:w="2700" w:type="dxa"/>
            <w:tcBorders>
              <w:top w:val="single" w:sz="2" w:space="0" w:color="C9D2D6"/>
              <w:left w:val="single" w:sz="2" w:space="0" w:color="C9D2D6"/>
              <w:bottom w:val="single" w:sz="2" w:space="0" w:color="C9D2D6"/>
              <w:right w:val="single" w:sz="2" w:space="0" w:color="C9D2D6"/>
            </w:tcBorders>
            <w:shd w:val="clear" w:color="auto" w:fill="FCEBCF"/>
            <w:tcMar>
              <w:top w:w="80" w:type="dxa"/>
              <w:left w:w="100" w:type="dxa"/>
              <w:bottom w:w="80" w:type="dxa"/>
              <w:right w:w="100" w:type="dxa"/>
            </w:tcMar>
            <w:vAlign w:val="center"/>
          </w:tcPr>
          <w:p w14:paraId="270B6172"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Watch for unusual bruising or bl</w:t>
            </w:r>
            <w:r w:rsidRPr="004513DC">
              <w:rPr>
                <w:rFonts w:asciiTheme="majorBidi" w:hAnsiTheme="majorBidi" w:cstheme="majorBidi"/>
                <w:i/>
                <w:iCs/>
                <w:sz w:val="18"/>
                <w:szCs w:val="18"/>
              </w:rPr>
              <w:t>eeding when both are used together.</w:t>
            </w:r>
          </w:p>
        </w:tc>
      </w:tr>
      <w:tr w:rsidR="00A3386E" w:rsidRPr="004513DC" w14:paraId="1286B20E"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4F8D1E5E"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 xml:space="preserve">Oral NSAIDs — </w:t>
            </w:r>
            <w:proofErr w:type="spellStart"/>
            <w:r w:rsidRPr="004513DC">
              <w:rPr>
                <w:rFonts w:asciiTheme="majorBidi" w:hAnsiTheme="majorBidi" w:cstheme="majorBidi"/>
                <w:b/>
                <w:bCs/>
                <w:sz w:val="18"/>
                <w:szCs w:val="18"/>
              </w:rPr>
              <w:t>Catafast</w:t>
            </w:r>
            <w:proofErr w:type="spellEnd"/>
            <w:r w:rsidRPr="004513DC">
              <w:rPr>
                <w:rFonts w:asciiTheme="majorBidi" w:hAnsiTheme="majorBidi" w:cstheme="majorBidi"/>
                <w:b/>
                <w:bCs/>
                <w:sz w:val="18"/>
                <w:szCs w:val="18"/>
              </w:rPr>
              <w:t xml:space="preserve">, </w:t>
            </w:r>
            <w:proofErr w:type="spellStart"/>
            <w:r w:rsidRPr="004513DC">
              <w:rPr>
                <w:rFonts w:asciiTheme="majorBidi" w:hAnsiTheme="majorBidi" w:cstheme="majorBidi"/>
                <w:b/>
                <w:bCs/>
                <w:sz w:val="18"/>
                <w:szCs w:val="18"/>
              </w:rPr>
              <w:t>Brufen</w:t>
            </w:r>
            <w:proofErr w:type="spellEnd"/>
            <w:r w:rsidRPr="004513DC">
              <w:rPr>
                <w:rFonts w:asciiTheme="majorBidi" w:hAnsiTheme="majorBidi" w:cstheme="majorBidi"/>
                <w:b/>
                <w:bCs/>
                <w:sz w:val="18"/>
                <w:szCs w:val="18"/>
              </w:rPr>
              <w:t xml:space="preserve">, </w:t>
            </w:r>
            <w:proofErr w:type="spellStart"/>
            <w:r w:rsidRPr="004513DC">
              <w:rPr>
                <w:rFonts w:asciiTheme="majorBidi" w:hAnsiTheme="majorBidi" w:cstheme="majorBidi"/>
                <w:b/>
                <w:bCs/>
                <w:sz w:val="18"/>
                <w:szCs w:val="18"/>
              </w:rPr>
              <w:t>Cataflam</w:t>
            </w:r>
            <w:proofErr w:type="spellEnd"/>
            <w:r w:rsidRPr="004513DC">
              <w:rPr>
                <w:rFonts w:asciiTheme="majorBidi" w:hAnsiTheme="majorBidi" w:cstheme="majorBidi"/>
                <w:b/>
                <w:bCs/>
                <w:sz w:val="18"/>
                <w:szCs w:val="18"/>
              </w:rPr>
              <w:t xml:space="preserve">, </w:t>
            </w:r>
            <w:proofErr w:type="spellStart"/>
            <w:r w:rsidRPr="004513DC">
              <w:rPr>
                <w:rFonts w:asciiTheme="majorBidi" w:hAnsiTheme="majorBidi" w:cstheme="majorBidi"/>
                <w:b/>
                <w:bCs/>
                <w:sz w:val="18"/>
                <w:szCs w:val="18"/>
              </w:rPr>
              <w:t>Ketofan</w:t>
            </w:r>
            <w:proofErr w:type="spellEnd"/>
            <w:r w:rsidRPr="004513DC">
              <w:rPr>
                <w:rFonts w:asciiTheme="majorBidi" w:hAnsiTheme="majorBidi" w:cstheme="majorBidi"/>
                <w:b/>
                <w:bCs/>
                <w:sz w:val="18"/>
                <w:szCs w:val="18"/>
              </w:rPr>
              <w:t xml:space="preserve">, </w:t>
            </w:r>
            <w:proofErr w:type="spellStart"/>
            <w:r w:rsidRPr="004513DC">
              <w:rPr>
                <w:rFonts w:asciiTheme="majorBidi" w:hAnsiTheme="majorBidi" w:cstheme="majorBidi"/>
                <w:b/>
                <w:bCs/>
                <w:sz w:val="18"/>
                <w:szCs w:val="18"/>
              </w:rPr>
              <w:t>Adolor</w:t>
            </w:r>
            <w:proofErr w:type="spellEnd"/>
            <w:r w:rsidRPr="004513DC">
              <w:rPr>
                <w:rFonts w:asciiTheme="majorBidi" w:hAnsiTheme="majorBidi" w:cstheme="majorBidi"/>
                <w:b/>
                <w:bCs/>
                <w:sz w:val="18"/>
                <w:szCs w:val="18"/>
              </w:rPr>
              <w:t xml:space="preserve"> + Insulin </w:t>
            </w:r>
            <w:proofErr w:type="spellStart"/>
            <w:r w:rsidRPr="004513DC">
              <w:rPr>
                <w:rFonts w:asciiTheme="majorBidi" w:hAnsiTheme="majorBidi" w:cstheme="majorBidi"/>
                <w:b/>
                <w:bCs/>
                <w:sz w:val="18"/>
                <w:szCs w:val="18"/>
              </w:rPr>
              <w:t>Mixtard</w:t>
            </w:r>
            <w:proofErr w:type="spellEnd"/>
            <w:r w:rsidRPr="004513DC">
              <w:rPr>
                <w:rFonts w:asciiTheme="majorBidi" w:hAnsiTheme="majorBidi" w:cstheme="majorBidi"/>
                <w:b/>
                <w:bCs/>
                <w:sz w:val="18"/>
                <w:szCs w:val="18"/>
              </w:rPr>
              <w:t xml:space="preserve"> 30/70</w:t>
            </w:r>
          </w:p>
        </w:tc>
        <w:tc>
          <w:tcPr>
            <w:tcW w:w="38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73D2E62B"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NSAIDs can enhance the blood-glucose-lowering effect of insulin and may affect renal handling of both drugs.</w:t>
            </w:r>
          </w:p>
        </w:tc>
        <w:tc>
          <w:tcPr>
            <w:tcW w:w="27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7CD500A5"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Monitor blood glucose more closely whenever an NSAID is started or stopped in an insulin-treated patient.</w:t>
            </w:r>
          </w:p>
        </w:tc>
      </w:tr>
      <w:tr w:rsidR="00A3386E" w:rsidRPr="004513DC" w14:paraId="7BC89E54"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FCEBCF"/>
            <w:tcMar>
              <w:top w:w="80" w:type="dxa"/>
              <w:left w:w="100" w:type="dxa"/>
              <w:bottom w:w="80" w:type="dxa"/>
              <w:right w:w="100" w:type="dxa"/>
            </w:tcMar>
            <w:vAlign w:val="center"/>
          </w:tcPr>
          <w:p w14:paraId="54697D28"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Streptoquin</w:t>
            </w:r>
            <w:proofErr w:type="spellEnd"/>
            <w:r w:rsidRPr="004513DC">
              <w:rPr>
                <w:rFonts w:asciiTheme="majorBidi" w:hAnsiTheme="majorBidi" w:cstheme="majorBidi"/>
                <w:b/>
                <w:bCs/>
                <w:sz w:val="18"/>
                <w:szCs w:val="18"/>
              </w:rPr>
              <w:t xml:space="preserve"> (Streptomycin component) + Oral NSAIDs (multiple products)</w:t>
            </w:r>
          </w:p>
        </w:tc>
        <w:tc>
          <w:tcPr>
            <w:tcW w:w="3826" w:type="dxa"/>
            <w:tcBorders>
              <w:top w:val="single" w:sz="2" w:space="0" w:color="C9D2D6"/>
              <w:left w:val="single" w:sz="2" w:space="0" w:color="C9D2D6"/>
              <w:bottom w:val="single" w:sz="2" w:space="0" w:color="C9D2D6"/>
              <w:right w:val="single" w:sz="2" w:space="0" w:color="C9D2D6"/>
            </w:tcBorders>
            <w:shd w:val="clear" w:color="auto" w:fill="FCEBCF"/>
            <w:tcMar>
              <w:top w:w="80" w:type="dxa"/>
              <w:left w:w="100" w:type="dxa"/>
              <w:bottom w:w="80" w:type="dxa"/>
              <w:right w:w="100" w:type="dxa"/>
            </w:tcMar>
            <w:vAlign w:val="center"/>
          </w:tcPr>
          <w:p w14:paraId="6DF3389A"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Streptomycin (an aminoglycoside) and NSAIDs can each affect the kidney; combined use adds to nephrotoxic potential, especially with dehydration or existing renal impairment.</w:t>
            </w:r>
          </w:p>
        </w:tc>
        <w:tc>
          <w:tcPr>
            <w:tcW w:w="2700" w:type="dxa"/>
            <w:tcBorders>
              <w:top w:val="single" w:sz="2" w:space="0" w:color="C9D2D6"/>
              <w:left w:val="single" w:sz="2" w:space="0" w:color="C9D2D6"/>
              <w:bottom w:val="single" w:sz="2" w:space="0" w:color="C9D2D6"/>
              <w:right w:val="single" w:sz="2" w:space="0" w:color="C9D2D6"/>
            </w:tcBorders>
            <w:shd w:val="clear" w:color="auto" w:fill="FCEBCF"/>
            <w:tcMar>
              <w:top w:w="80" w:type="dxa"/>
              <w:left w:w="100" w:type="dxa"/>
              <w:bottom w:w="80" w:type="dxa"/>
              <w:right w:w="100" w:type="dxa"/>
            </w:tcMar>
            <w:vAlign w:val="center"/>
          </w:tcPr>
          <w:p w14:paraId="26CF5A51"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Ensure adeq</w:t>
            </w:r>
            <w:r w:rsidRPr="004513DC">
              <w:rPr>
                <w:rFonts w:asciiTheme="majorBidi" w:hAnsiTheme="majorBidi" w:cstheme="majorBidi"/>
                <w:i/>
                <w:iCs/>
                <w:sz w:val="18"/>
                <w:szCs w:val="18"/>
              </w:rPr>
              <w:t>uate hydration; avoid prolonged combined use, particularly in older adults or reduced kidney function.</w:t>
            </w:r>
          </w:p>
        </w:tc>
      </w:tr>
      <w:tr w:rsidR="00A3386E" w:rsidRPr="004513DC" w14:paraId="7E319FF8"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A6EF29A"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Motilium</w:t>
            </w:r>
            <w:proofErr w:type="spellEnd"/>
            <w:r w:rsidRPr="004513DC">
              <w:rPr>
                <w:rFonts w:asciiTheme="majorBidi" w:hAnsiTheme="majorBidi" w:cstheme="majorBidi"/>
                <w:b/>
                <w:bCs/>
                <w:sz w:val="18"/>
                <w:szCs w:val="18"/>
              </w:rPr>
              <w:t xml:space="preserve"> (Domperidone) + anticholinergic antispasmodics — </w:t>
            </w:r>
            <w:proofErr w:type="spellStart"/>
            <w:r w:rsidRPr="004513DC">
              <w:rPr>
                <w:rFonts w:asciiTheme="majorBidi" w:hAnsiTheme="majorBidi" w:cstheme="majorBidi"/>
                <w:b/>
                <w:bCs/>
                <w:sz w:val="18"/>
                <w:szCs w:val="18"/>
              </w:rPr>
              <w:t>Visceralgine</w:t>
            </w:r>
            <w:proofErr w:type="spellEnd"/>
            <w:r w:rsidRPr="004513DC">
              <w:rPr>
                <w:rFonts w:asciiTheme="majorBidi" w:hAnsiTheme="majorBidi" w:cstheme="majorBidi"/>
                <w:b/>
                <w:bCs/>
                <w:sz w:val="18"/>
                <w:szCs w:val="18"/>
              </w:rPr>
              <w:t xml:space="preserve"> (Tiemonium), </w:t>
            </w:r>
            <w:proofErr w:type="spellStart"/>
            <w:r w:rsidRPr="004513DC">
              <w:rPr>
                <w:rFonts w:asciiTheme="majorBidi" w:hAnsiTheme="majorBidi" w:cstheme="majorBidi"/>
                <w:b/>
                <w:bCs/>
                <w:sz w:val="18"/>
                <w:szCs w:val="18"/>
              </w:rPr>
              <w:t>Spasmo-Digestin</w:t>
            </w:r>
            <w:proofErr w:type="spellEnd"/>
            <w:r w:rsidRPr="004513DC">
              <w:rPr>
                <w:rFonts w:asciiTheme="majorBidi" w:hAnsiTheme="majorBidi" w:cstheme="majorBidi"/>
                <w:b/>
                <w:bCs/>
                <w:sz w:val="18"/>
                <w:szCs w:val="18"/>
              </w:rPr>
              <w:t xml:space="preserve"> (Dicyclomine), </w:t>
            </w:r>
            <w:proofErr w:type="spellStart"/>
            <w:r w:rsidRPr="004513DC">
              <w:rPr>
                <w:rFonts w:asciiTheme="majorBidi" w:hAnsiTheme="majorBidi" w:cstheme="majorBidi"/>
                <w:b/>
                <w:bCs/>
                <w:sz w:val="18"/>
                <w:szCs w:val="18"/>
              </w:rPr>
              <w:t>Streptoquin</w:t>
            </w:r>
            <w:proofErr w:type="spellEnd"/>
            <w:r w:rsidRPr="004513DC">
              <w:rPr>
                <w:rFonts w:asciiTheme="majorBidi" w:hAnsiTheme="majorBidi" w:cstheme="majorBidi"/>
                <w:b/>
                <w:bCs/>
                <w:sz w:val="18"/>
                <w:szCs w:val="18"/>
              </w:rPr>
              <w:t xml:space="preserve"> (Homatropine)</w:t>
            </w:r>
          </w:p>
        </w:tc>
        <w:tc>
          <w:tcPr>
            <w:tcW w:w="38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6D5DE1F9"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Domperidone works by speeding up gut motility; anticholinergic antispasmodics work by slowing it down — the two act</w:t>
            </w:r>
            <w:r w:rsidRPr="004513DC">
              <w:rPr>
                <w:rFonts w:asciiTheme="majorBidi" w:hAnsiTheme="majorBidi" w:cstheme="majorBidi"/>
                <w:sz w:val="18"/>
                <w:szCs w:val="18"/>
              </w:rPr>
              <w:t>ions oppose one another.</w:t>
            </w:r>
          </w:p>
        </w:tc>
        <w:tc>
          <w:tcPr>
            <w:tcW w:w="27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45B2FA1A"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Avoid routine combination. If both effects are genuinely needed, space doses apart and reassess if symptoms persist.</w:t>
            </w:r>
          </w:p>
        </w:tc>
      </w:tr>
      <w:tr w:rsidR="00A3386E" w:rsidRPr="004513DC" w14:paraId="2D920267"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FCEBCF"/>
            <w:tcMar>
              <w:top w:w="80" w:type="dxa"/>
              <w:left w:w="100" w:type="dxa"/>
              <w:bottom w:w="80" w:type="dxa"/>
              <w:right w:w="100" w:type="dxa"/>
            </w:tcMar>
            <w:vAlign w:val="center"/>
          </w:tcPr>
          <w:p w14:paraId="50D2D5D8"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Controloc</w:t>
            </w:r>
            <w:proofErr w:type="spellEnd"/>
            <w:r w:rsidRPr="004513DC">
              <w:rPr>
                <w:rFonts w:asciiTheme="majorBidi" w:hAnsiTheme="majorBidi" w:cstheme="majorBidi"/>
                <w:b/>
                <w:bCs/>
                <w:sz w:val="18"/>
                <w:szCs w:val="18"/>
              </w:rPr>
              <w:t xml:space="preserve"> (Pantoprazole) or antacids (Gaviscon, Maalox) + Daktarin Oral Gel (Miconazole)</w:t>
            </w:r>
          </w:p>
        </w:tc>
        <w:tc>
          <w:tcPr>
            <w:tcW w:w="3826" w:type="dxa"/>
            <w:tcBorders>
              <w:top w:val="single" w:sz="2" w:space="0" w:color="C9D2D6"/>
              <w:left w:val="single" w:sz="2" w:space="0" w:color="C9D2D6"/>
              <w:bottom w:val="single" w:sz="2" w:space="0" w:color="C9D2D6"/>
              <w:right w:val="single" w:sz="2" w:space="0" w:color="C9D2D6"/>
            </w:tcBorders>
            <w:shd w:val="clear" w:color="auto" w:fill="FCEBCF"/>
            <w:tcMar>
              <w:top w:w="80" w:type="dxa"/>
              <w:left w:w="100" w:type="dxa"/>
              <w:bottom w:w="80" w:type="dxa"/>
              <w:right w:w="100" w:type="dxa"/>
            </w:tcMar>
            <w:vAlign w:val="center"/>
          </w:tcPr>
          <w:p w14:paraId="436296E9"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Reduced stomach acidity can impair dissolution and absorption of a swallowed azole antifungal.</w:t>
            </w:r>
          </w:p>
        </w:tc>
        <w:tc>
          <w:tcPr>
            <w:tcW w:w="2700" w:type="dxa"/>
            <w:tcBorders>
              <w:top w:val="single" w:sz="2" w:space="0" w:color="C9D2D6"/>
              <w:left w:val="single" w:sz="2" w:space="0" w:color="C9D2D6"/>
              <w:bottom w:val="single" w:sz="2" w:space="0" w:color="C9D2D6"/>
              <w:right w:val="single" w:sz="2" w:space="0" w:color="C9D2D6"/>
            </w:tcBorders>
            <w:shd w:val="clear" w:color="auto" w:fill="FCEBCF"/>
            <w:tcMar>
              <w:top w:w="80" w:type="dxa"/>
              <w:left w:w="100" w:type="dxa"/>
              <w:bottom w:w="80" w:type="dxa"/>
              <w:right w:w="100" w:type="dxa"/>
            </w:tcMar>
            <w:vAlign w:val="center"/>
          </w:tcPr>
          <w:p w14:paraId="38444183"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 xml:space="preserve">Separate dosing times where practical; monitor the clinical response to </w:t>
            </w:r>
            <w:r w:rsidRPr="004513DC">
              <w:rPr>
                <w:rFonts w:asciiTheme="majorBidi" w:hAnsiTheme="majorBidi" w:cstheme="majorBidi"/>
                <w:i/>
                <w:iCs/>
                <w:sz w:val="18"/>
                <w:szCs w:val="18"/>
              </w:rPr>
              <w:t>the antifungal.</w:t>
            </w:r>
          </w:p>
        </w:tc>
      </w:tr>
      <w:tr w:rsidR="00A3386E" w:rsidRPr="004513DC" w14:paraId="14772C05"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572EBA7"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Gaviscon / Maalox (antacids) + other oral medicines taken at the same time (</w:t>
            </w:r>
            <w:proofErr w:type="gramStart"/>
            <w:r w:rsidRPr="004513DC">
              <w:rPr>
                <w:rFonts w:asciiTheme="majorBidi" w:hAnsiTheme="majorBidi" w:cstheme="majorBidi"/>
                <w:b/>
                <w:bCs/>
                <w:sz w:val="18"/>
                <w:szCs w:val="18"/>
              </w:rPr>
              <w:t>e.g.</w:t>
            </w:r>
            <w:proofErr w:type="gramEnd"/>
            <w:r w:rsidRPr="004513DC">
              <w:rPr>
                <w:rFonts w:asciiTheme="majorBidi" w:hAnsiTheme="majorBidi" w:cstheme="majorBidi"/>
                <w:b/>
                <w:bCs/>
                <w:sz w:val="18"/>
                <w:szCs w:val="18"/>
              </w:rPr>
              <w:t xml:space="preserve"> </w:t>
            </w:r>
            <w:proofErr w:type="spellStart"/>
            <w:r w:rsidRPr="004513DC">
              <w:rPr>
                <w:rFonts w:asciiTheme="majorBidi" w:hAnsiTheme="majorBidi" w:cstheme="majorBidi"/>
                <w:b/>
                <w:bCs/>
                <w:sz w:val="18"/>
                <w:szCs w:val="18"/>
              </w:rPr>
              <w:t>Telfast</w:t>
            </w:r>
            <w:proofErr w:type="spellEnd"/>
            <w:r w:rsidRPr="004513DC">
              <w:rPr>
                <w:rFonts w:asciiTheme="majorBidi" w:hAnsiTheme="majorBidi" w:cstheme="majorBidi"/>
                <w:b/>
                <w:bCs/>
                <w:sz w:val="18"/>
                <w:szCs w:val="18"/>
              </w:rPr>
              <w:t>, Zyrtec)</w:t>
            </w:r>
          </w:p>
        </w:tc>
        <w:tc>
          <w:tcPr>
            <w:tcW w:w="38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34C75563"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sz w:val="18"/>
                <w:szCs w:val="18"/>
              </w:rPr>
              <w:t>Aluminium</w:t>
            </w:r>
            <w:proofErr w:type="spellEnd"/>
            <w:r w:rsidRPr="004513DC">
              <w:rPr>
                <w:rFonts w:asciiTheme="majorBidi" w:hAnsiTheme="majorBidi" w:cstheme="majorBidi"/>
                <w:sz w:val="18"/>
                <w:szCs w:val="18"/>
              </w:rPr>
              <w:t>, magnesium, and calcium salts in antacids can bind to or alter the absorption of many oral drugs taken together.</w:t>
            </w:r>
          </w:p>
        </w:tc>
        <w:tc>
          <w:tcPr>
            <w:tcW w:w="27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E238A22"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Separate antacid dosing from other oral medicines by at least 2 hours.</w:t>
            </w:r>
          </w:p>
        </w:tc>
      </w:tr>
      <w:tr w:rsidR="00A3386E" w:rsidRPr="004513DC" w14:paraId="3117090B"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FCEBCF"/>
            <w:tcMar>
              <w:top w:w="80" w:type="dxa"/>
              <w:left w:w="100" w:type="dxa"/>
              <w:bottom w:w="80" w:type="dxa"/>
              <w:right w:w="100" w:type="dxa"/>
            </w:tcMar>
            <w:vAlign w:val="center"/>
          </w:tcPr>
          <w:p w14:paraId="3AE08459"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 xml:space="preserve">123 Cold &amp; Flu (Codeine) + </w:t>
            </w:r>
            <w:proofErr w:type="spellStart"/>
            <w:r w:rsidRPr="004513DC">
              <w:rPr>
                <w:rFonts w:asciiTheme="majorBidi" w:hAnsiTheme="majorBidi" w:cstheme="majorBidi"/>
                <w:b/>
                <w:bCs/>
                <w:sz w:val="18"/>
                <w:szCs w:val="18"/>
              </w:rPr>
              <w:t>Motilium</w:t>
            </w:r>
            <w:proofErr w:type="spellEnd"/>
            <w:r w:rsidRPr="004513DC">
              <w:rPr>
                <w:rFonts w:asciiTheme="majorBidi" w:hAnsiTheme="majorBidi" w:cstheme="majorBidi"/>
                <w:b/>
                <w:bCs/>
                <w:sz w:val="18"/>
                <w:szCs w:val="18"/>
              </w:rPr>
              <w:t xml:space="preserve"> (Domperidone)</w:t>
            </w:r>
          </w:p>
        </w:tc>
        <w:tc>
          <w:tcPr>
            <w:tcW w:w="3826" w:type="dxa"/>
            <w:tcBorders>
              <w:top w:val="single" w:sz="2" w:space="0" w:color="C9D2D6"/>
              <w:left w:val="single" w:sz="2" w:space="0" w:color="C9D2D6"/>
              <w:bottom w:val="single" w:sz="2" w:space="0" w:color="C9D2D6"/>
              <w:right w:val="single" w:sz="2" w:space="0" w:color="C9D2D6"/>
            </w:tcBorders>
            <w:shd w:val="clear" w:color="auto" w:fill="FCEBCF"/>
            <w:tcMar>
              <w:top w:w="80" w:type="dxa"/>
              <w:left w:w="100" w:type="dxa"/>
              <w:bottom w:w="80" w:type="dxa"/>
              <w:right w:w="100" w:type="dxa"/>
            </w:tcMar>
            <w:vAlign w:val="center"/>
          </w:tcPr>
          <w:p w14:paraId="52421D94"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Opioids slow gut motility, working against domperidone's prokinetic effect, and both increase constipation risk.</w:t>
            </w:r>
          </w:p>
        </w:tc>
        <w:tc>
          <w:tcPr>
            <w:tcW w:w="2700" w:type="dxa"/>
            <w:tcBorders>
              <w:top w:val="single" w:sz="2" w:space="0" w:color="C9D2D6"/>
              <w:left w:val="single" w:sz="2" w:space="0" w:color="C9D2D6"/>
              <w:bottom w:val="single" w:sz="2" w:space="0" w:color="C9D2D6"/>
              <w:right w:val="single" w:sz="2" w:space="0" w:color="C9D2D6"/>
            </w:tcBorders>
            <w:shd w:val="clear" w:color="auto" w:fill="FCEBCF"/>
            <w:tcMar>
              <w:top w:w="80" w:type="dxa"/>
              <w:left w:w="100" w:type="dxa"/>
              <w:bottom w:w="80" w:type="dxa"/>
              <w:right w:w="100" w:type="dxa"/>
            </w:tcMar>
            <w:vAlign w:val="center"/>
          </w:tcPr>
          <w:p w14:paraId="4D758909"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Monitor bowel function; avoid routine combination.</w:t>
            </w:r>
          </w:p>
        </w:tc>
      </w:tr>
      <w:tr w:rsidR="00A3386E" w:rsidRPr="004513DC" w14:paraId="7D6642F2"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BC2BE9D"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Kenacomb</w:t>
            </w:r>
            <w:proofErr w:type="spellEnd"/>
            <w:r w:rsidRPr="004513DC">
              <w:rPr>
                <w:rFonts w:asciiTheme="majorBidi" w:hAnsiTheme="majorBidi" w:cstheme="majorBidi"/>
                <w:b/>
                <w:bCs/>
                <w:sz w:val="18"/>
                <w:szCs w:val="18"/>
              </w:rPr>
              <w:t xml:space="preserve"> / </w:t>
            </w:r>
            <w:proofErr w:type="spellStart"/>
            <w:r w:rsidRPr="004513DC">
              <w:rPr>
                <w:rFonts w:asciiTheme="majorBidi" w:hAnsiTheme="majorBidi" w:cstheme="majorBidi"/>
                <w:b/>
                <w:bCs/>
                <w:sz w:val="18"/>
                <w:szCs w:val="18"/>
              </w:rPr>
              <w:t>Polyderm</w:t>
            </w:r>
            <w:proofErr w:type="spellEnd"/>
            <w:r w:rsidRPr="004513DC">
              <w:rPr>
                <w:rFonts w:asciiTheme="majorBidi" w:hAnsiTheme="majorBidi" w:cstheme="majorBidi"/>
                <w:b/>
                <w:bCs/>
                <w:sz w:val="18"/>
                <w:szCs w:val="18"/>
              </w:rPr>
              <w:t xml:space="preserve"> (topical corticosteroids) over large areas, broken skin, or long-term + Insulin </w:t>
            </w:r>
            <w:proofErr w:type="spellStart"/>
            <w:r w:rsidRPr="004513DC">
              <w:rPr>
                <w:rFonts w:asciiTheme="majorBidi" w:hAnsiTheme="majorBidi" w:cstheme="majorBidi"/>
                <w:b/>
                <w:bCs/>
                <w:sz w:val="18"/>
                <w:szCs w:val="18"/>
              </w:rPr>
              <w:t>Mixtard</w:t>
            </w:r>
            <w:proofErr w:type="spellEnd"/>
            <w:r w:rsidRPr="004513DC">
              <w:rPr>
                <w:rFonts w:asciiTheme="majorBidi" w:hAnsiTheme="majorBidi" w:cstheme="majorBidi"/>
                <w:b/>
                <w:bCs/>
                <w:sz w:val="18"/>
                <w:szCs w:val="18"/>
              </w:rPr>
              <w:t xml:space="preserve"> 30/70</w:t>
            </w:r>
          </w:p>
        </w:tc>
        <w:tc>
          <w:tcPr>
            <w:tcW w:w="38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9178226"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Corticosteroid absorbed into the bloodstream can raise blood glucose. Absorption from normal, limited topical use is usually minimal but rises with larger treated areas, broken skin, occlusion, or prolonged use.</w:t>
            </w:r>
          </w:p>
        </w:tc>
        <w:tc>
          <w:tcPr>
            <w:tcW w:w="27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75E8C1F8"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Use the smallest effective area for the shor</w:t>
            </w:r>
            <w:r w:rsidRPr="004513DC">
              <w:rPr>
                <w:rFonts w:asciiTheme="majorBidi" w:hAnsiTheme="majorBidi" w:cstheme="majorBidi"/>
                <w:i/>
                <w:iCs/>
                <w:sz w:val="18"/>
                <w:szCs w:val="18"/>
              </w:rPr>
              <w:t>test duration in patients with diabetes; monitor glucose if extensive or prolonged use is needed.</w:t>
            </w:r>
          </w:p>
        </w:tc>
      </w:tr>
    </w:tbl>
    <w:p w14:paraId="7F8885D4" w14:textId="3A94C7DB" w:rsidR="00A3386E" w:rsidRPr="004513DC" w:rsidRDefault="00347669" w:rsidP="004513DC">
      <w:pPr>
        <w:rPr>
          <w:rFonts w:asciiTheme="majorBidi" w:hAnsiTheme="majorBidi" w:cstheme="majorBidi"/>
          <w:b/>
          <w:bCs/>
          <w:color w:val="auto"/>
          <w:sz w:val="22"/>
          <w:szCs w:val="22"/>
        </w:rPr>
      </w:pPr>
      <w:r w:rsidRPr="004513DC">
        <w:rPr>
          <w:rFonts w:asciiTheme="majorBidi" w:hAnsiTheme="majorBidi" w:cstheme="majorBidi"/>
        </w:rPr>
        <w:br w:type="page"/>
      </w:r>
      <w:proofErr w:type="gramStart"/>
      <w:r w:rsidR="004513DC" w:rsidRPr="004513DC">
        <w:rPr>
          <w:rFonts w:asciiTheme="majorBidi" w:hAnsiTheme="majorBidi" w:cstheme="majorBidi"/>
          <w:b/>
          <w:bCs/>
          <w:color w:val="auto"/>
          <w:sz w:val="22"/>
          <w:szCs w:val="22"/>
        </w:rPr>
        <w:lastRenderedPageBreak/>
        <w:t>3</w:t>
      </w:r>
      <w:r w:rsidRPr="004513DC">
        <w:rPr>
          <w:rFonts w:asciiTheme="majorBidi" w:hAnsiTheme="majorBidi" w:cstheme="majorBidi"/>
          <w:b/>
          <w:bCs/>
          <w:color w:val="auto"/>
          <w:sz w:val="22"/>
          <w:szCs w:val="22"/>
        </w:rPr>
        <w:t>.3  Minor</w:t>
      </w:r>
      <w:proofErr w:type="gramEnd"/>
      <w:r w:rsidRPr="004513DC">
        <w:rPr>
          <w:rFonts w:asciiTheme="majorBidi" w:hAnsiTheme="majorBidi" w:cstheme="majorBidi"/>
          <w:b/>
          <w:bCs/>
          <w:color w:val="auto"/>
          <w:sz w:val="22"/>
          <w:szCs w:val="22"/>
        </w:rPr>
        <w:t xml:space="preserve"> Interactions</w:t>
      </w:r>
      <w:r w:rsidR="004513DC" w:rsidRPr="004513DC">
        <w:rPr>
          <w:rFonts w:asciiTheme="majorBidi" w:hAnsiTheme="majorBidi" w:cstheme="majorBidi"/>
          <w:b/>
          <w:bCs/>
          <w:color w:val="auto"/>
          <w:sz w:val="22"/>
          <w:szCs w:val="22"/>
        </w:rPr>
        <w:t xml:space="preserve"> :</w:t>
      </w:r>
    </w:p>
    <w:p w14:paraId="78C3DDE5" w14:textId="77777777" w:rsidR="004513DC" w:rsidRPr="004513DC" w:rsidRDefault="004513DC" w:rsidP="004513DC">
      <w:pPr>
        <w:rPr>
          <w:rFonts w:asciiTheme="majorBidi" w:hAnsiTheme="majorBidi" w:cstheme="majorBid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26"/>
        <w:gridCol w:w="2700"/>
      </w:tblGrid>
      <w:tr w:rsidR="00A3386E" w:rsidRPr="004513DC" w14:paraId="0B8D4FFD" w14:textId="77777777">
        <w:tblPrEx>
          <w:tblCellMar>
            <w:top w:w="0" w:type="dxa"/>
            <w:bottom w:w="0" w:type="dxa"/>
          </w:tblCellMar>
        </w:tblPrEx>
        <w:trPr>
          <w:tblHeader/>
        </w:trPr>
        <w:tc>
          <w:tcPr>
            <w:tcW w:w="2500" w:type="dxa"/>
            <w:tcBorders>
              <w:top w:val="single" w:sz="2" w:space="0" w:color="C9D2D6"/>
              <w:left w:val="single" w:sz="2" w:space="0" w:color="C9D2D6"/>
              <w:bottom w:val="single" w:sz="2" w:space="0" w:color="C9D2D6"/>
              <w:right w:val="single" w:sz="2" w:space="0" w:color="C9D2D6"/>
            </w:tcBorders>
            <w:shd w:val="clear" w:color="auto" w:fill="1B3A4B"/>
            <w:tcMar>
              <w:top w:w="80" w:type="dxa"/>
              <w:left w:w="100" w:type="dxa"/>
              <w:bottom w:w="80" w:type="dxa"/>
              <w:right w:w="100" w:type="dxa"/>
            </w:tcMar>
            <w:vAlign w:val="center"/>
          </w:tcPr>
          <w:p w14:paraId="33831E16"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color w:val="FFFFFF"/>
                <w:sz w:val="18"/>
                <w:szCs w:val="18"/>
              </w:rPr>
              <w:t>Interacting Products (Active Ingredients)</w:t>
            </w:r>
          </w:p>
        </w:tc>
        <w:tc>
          <w:tcPr>
            <w:tcW w:w="3826" w:type="dxa"/>
            <w:tcBorders>
              <w:top w:val="single" w:sz="2" w:space="0" w:color="C9D2D6"/>
              <w:left w:val="single" w:sz="2" w:space="0" w:color="C9D2D6"/>
              <w:bottom w:val="single" w:sz="2" w:space="0" w:color="C9D2D6"/>
              <w:right w:val="single" w:sz="2" w:space="0" w:color="C9D2D6"/>
            </w:tcBorders>
            <w:shd w:val="clear" w:color="auto" w:fill="1B3A4B"/>
            <w:tcMar>
              <w:top w:w="80" w:type="dxa"/>
              <w:left w:w="100" w:type="dxa"/>
              <w:bottom w:w="80" w:type="dxa"/>
              <w:right w:w="100" w:type="dxa"/>
            </w:tcMar>
            <w:vAlign w:val="center"/>
          </w:tcPr>
          <w:p w14:paraId="48260670"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color w:val="FFFFFF"/>
                <w:sz w:val="18"/>
                <w:szCs w:val="18"/>
              </w:rPr>
              <w:t>Mechanism &amp; Clinical Effect</w:t>
            </w:r>
          </w:p>
        </w:tc>
        <w:tc>
          <w:tcPr>
            <w:tcW w:w="2700" w:type="dxa"/>
            <w:tcBorders>
              <w:top w:val="single" w:sz="2" w:space="0" w:color="C9D2D6"/>
              <w:left w:val="single" w:sz="2" w:space="0" w:color="C9D2D6"/>
              <w:bottom w:val="single" w:sz="2" w:space="0" w:color="C9D2D6"/>
              <w:right w:val="single" w:sz="2" w:space="0" w:color="C9D2D6"/>
            </w:tcBorders>
            <w:shd w:val="clear" w:color="auto" w:fill="1B3A4B"/>
            <w:tcMar>
              <w:top w:w="80" w:type="dxa"/>
              <w:left w:w="100" w:type="dxa"/>
              <w:bottom w:w="80" w:type="dxa"/>
              <w:right w:w="100" w:type="dxa"/>
            </w:tcMar>
            <w:vAlign w:val="center"/>
          </w:tcPr>
          <w:p w14:paraId="75D1C55C"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color w:val="FFFFFF"/>
                <w:sz w:val="18"/>
                <w:szCs w:val="18"/>
              </w:rPr>
              <w:t>Recommendation</w:t>
            </w:r>
          </w:p>
        </w:tc>
      </w:tr>
      <w:tr w:rsidR="00A3386E" w:rsidRPr="004513DC" w14:paraId="68468520"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E1F0E3"/>
            <w:tcMar>
              <w:top w:w="80" w:type="dxa"/>
              <w:left w:w="100" w:type="dxa"/>
              <w:bottom w:w="80" w:type="dxa"/>
              <w:right w:w="100" w:type="dxa"/>
            </w:tcMar>
            <w:vAlign w:val="center"/>
          </w:tcPr>
          <w:p w14:paraId="4742503C"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Alphintern</w:t>
            </w:r>
            <w:proofErr w:type="spellEnd"/>
            <w:r w:rsidRPr="004513DC">
              <w:rPr>
                <w:rFonts w:asciiTheme="majorBidi" w:hAnsiTheme="majorBidi" w:cstheme="majorBidi"/>
                <w:b/>
                <w:bCs/>
                <w:sz w:val="18"/>
                <w:szCs w:val="18"/>
              </w:rPr>
              <w:t xml:space="preserve"> / </w:t>
            </w:r>
            <w:proofErr w:type="spellStart"/>
            <w:r w:rsidRPr="004513DC">
              <w:rPr>
                <w:rFonts w:asciiTheme="majorBidi" w:hAnsiTheme="majorBidi" w:cstheme="majorBidi"/>
                <w:b/>
                <w:bCs/>
                <w:sz w:val="18"/>
                <w:szCs w:val="18"/>
              </w:rPr>
              <w:t>Ambezim</w:t>
            </w:r>
            <w:proofErr w:type="spellEnd"/>
            <w:r w:rsidRPr="004513DC">
              <w:rPr>
                <w:rFonts w:asciiTheme="majorBidi" w:hAnsiTheme="majorBidi" w:cstheme="majorBidi"/>
                <w:b/>
                <w:bCs/>
                <w:sz w:val="18"/>
                <w:szCs w:val="18"/>
              </w:rPr>
              <w:t>-G (Trypsin + Chymotrypsin) + Clexane (Enoxaparin) or any NSAID</w:t>
            </w:r>
          </w:p>
        </w:tc>
        <w:tc>
          <w:tcPr>
            <w:tcW w:w="3826" w:type="dxa"/>
            <w:tcBorders>
              <w:top w:val="single" w:sz="2" w:space="0" w:color="C9D2D6"/>
              <w:left w:val="single" w:sz="2" w:space="0" w:color="C9D2D6"/>
              <w:bottom w:val="single" w:sz="2" w:space="0" w:color="C9D2D6"/>
              <w:right w:val="single" w:sz="2" w:space="0" w:color="C9D2D6"/>
            </w:tcBorders>
            <w:shd w:val="clear" w:color="auto" w:fill="E1F0E3"/>
            <w:tcMar>
              <w:top w:w="80" w:type="dxa"/>
              <w:left w:w="100" w:type="dxa"/>
              <w:bottom w:w="80" w:type="dxa"/>
              <w:right w:w="100" w:type="dxa"/>
            </w:tcMar>
            <w:vAlign w:val="center"/>
          </w:tcPr>
          <w:p w14:paraId="560CF7E5"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Proteolytic enzymes have been reported to have mild antiplatelet / fibrinolytic activity in some studies; real-world evidence for a bleeding effect is weak and largely theo</w:t>
            </w:r>
            <w:r w:rsidRPr="004513DC">
              <w:rPr>
                <w:rFonts w:asciiTheme="majorBidi" w:hAnsiTheme="majorBidi" w:cstheme="majorBidi"/>
                <w:sz w:val="18"/>
                <w:szCs w:val="18"/>
              </w:rPr>
              <w:t>retical.</w:t>
            </w:r>
          </w:p>
        </w:tc>
        <w:tc>
          <w:tcPr>
            <w:tcW w:w="2700" w:type="dxa"/>
            <w:tcBorders>
              <w:top w:val="single" w:sz="2" w:space="0" w:color="C9D2D6"/>
              <w:left w:val="single" w:sz="2" w:space="0" w:color="C9D2D6"/>
              <w:bottom w:val="single" w:sz="2" w:space="0" w:color="C9D2D6"/>
              <w:right w:val="single" w:sz="2" w:space="0" w:color="C9D2D6"/>
            </w:tcBorders>
            <w:shd w:val="clear" w:color="auto" w:fill="E1F0E3"/>
            <w:tcMar>
              <w:top w:w="80" w:type="dxa"/>
              <w:left w:w="100" w:type="dxa"/>
              <w:bottom w:w="80" w:type="dxa"/>
              <w:right w:w="100" w:type="dxa"/>
            </w:tcMar>
            <w:vAlign w:val="center"/>
          </w:tcPr>
          <w:p w14:paraId="4A8EEDD3"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Awareness is generally sufficient. Use added caution in anyone already at higher bleeding risk.</w:t>
            </w:r>
          </w:p>
        </w:tc>
      </w:tr>
      <w:tr w:rsidR="00A3386E" w:rsidRPr="004513DC" w14:paraId="1F8FF8AF"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746E15C8"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 xml:space="preserve">C-Retard / </w:t>
            </w:r>
            <w:proofErr w:type="spellStart"/>
            <w:r w:rsidRPr="004513DC">
              <w:rPr>
                <w:rFonts w:asciiTheme="majorBidi" w:hAnsiTheme="majorBidi" w:cstheme="majorBidi"/>
                <w:b/>
                <w:bCs/>
                <w:sz w:val="18"/>
                <w:szCs w:val="18"/>
              </w:rPr>
              <w:t>Vitacid</w:t>
            </w:r>
            <w:proofErr w:type="spellEnd"/>
            <w:r w:rsidRPr="004513DC">
              <w:rPr>
                <w:rFonts w:asciiTheme="majorBidi" w:hAnsiTheme="majorBidi" w:cstheme="majorBidi"/>
                <w:b/>
                <w:bCs/>
                <w:sz w:val="18"/>
                <w:szCs w:val="18"/>
              </w:rPr>
              <w:t xml:space="preserve"> Calcium Eff (Vitamin C) + </w:t>
            </w:r>
            <w:proofErr w:type="spellStart"/>
            <w:r w:rsidRPr="004513DC">
              <w:rPr>
                <w:rFonts w:asciiTheme="majorBidi" w:hAnsiTheme="majorBidi" w:cstheme="majorBidi"/>
                <w:b/>
                <w:bCs/>
                <w:sz w:val="18"/>
                <w:szCs w:val="18"/>
              </w:rPr>
              <w:t>Controloc</w:t>
            </w:r>
            <w:proofErr w:type="spellEnd"/>
            <w:r w:rsidRPr="004513DC">
              <w:rPr>
                <w:rFonts w:asciiTheme="majorBidi" w:hAnsiTheme="majorBidi" w:cstheme="majorBidi"/>
                <w:b/>
                <w:bCs/>
                <w:sz w:val="18"/>
                <w:szCs w:val="18"/>
              </w:rPr>
              <w:t xml:space="preserve"> (Pantoprazole)</w:t>
            </w:r>
          </w:p>
        </w:tc>
        <w:tc>
          <w:tcPr>
            <w:tcW w:w="38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3E468ED8"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 xml:space="preserve">High-dose vitamin C can marginally affect gastric </w:t>
            </w:r>
            <w:proofErr w:type="spellStart"/>
            <w:r w:rsidRPr="004513DC">
              <w:rPr>
                <w:rFonts w:asciiTheme="majorBidi" w:hAnsiTheme="majorBidi" w:cstheme="majorBidi"/>
                <w:sz w:val="18"/>
                <w:szCs w:val="18"/>
              </w:rPr>
              <w:t>pH.</w:t>
            </w:r>
            <w:proofErr w:type="spellEnd"/>
          </w:p>
        </w:tc>
        <w:tc>
          <w:tcPr>
            <w:tcW w:w="27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33E2D19B"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No action needed at standard doses.</w:t>
            </w:r>
          </w:p>
        </w:tc>
      </w:tr>
      <w:tr w:rsidR="00A3386E" w:rsidRPr="004513DC" w14:paraId="301C7807"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E1F0E3"/>
            <w:tcMar>
              <w:top w:w="80" w:type="dxa"/>
              <w:left w:w="100" w:type="dxa"/>
              <w:bottom w:w="80" w:type="dxa"/>
              <w:right w:w="100" w:type="dxa"/>
            </w:tcMar>
            <w:vAlign w:val="center"/>
          </w:tcPr>
          <w:p w14:paraId="71440F16"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Vitacid</w:t>
            </w:r>
            <w:proofErr w:type="spellEnd"/>
            <w:r w:rsidRPr="004513DC">
              <w:rPr>
                <w:rFonts w:asciiTheme="majorBidi" w:hAnsiTheme="majorBidi" w:cstheme="majorBidi"/>
                <w:b/>
                <w:bCs/>
                <w:sz w:val="18"/>
                <w:szCs w:val="18"/>
              </w:rPr>
              <w:t xml:space="preserve"> Calcium Eff (Calcium) + </w:t>
            </w:r>
            <w:proofErr w:type="spellStart"/>
            <w:r w:rsidRPr="004513DC">
              <w:rPr>
                <w:rFonts w:asciiTheme="majorBidi" w:hAnsiTheme="majorBidi" w:cstheme="majorBidi"/>
                <w:b/>
                <w:bCs/>
                <w:sz w:val="18"/>
                <w:szCs w:val="18"/>
              </w:rPr>
              <w:t>Controloc</w:t>
            </w:r>
            <w:proofErr w:type="spellEnd"/>
            <w:r w:rsidRPr="004513DC">
              <w:rPr>
                <w:rFonts w:asciiTheme="majorBidi" w:hAnsiTheme="majorBidi" w:cstheme="majorBidi"/>
                <w:b/>
                <w:bCs/>
                <w:sz w:val="18"/>
                <w:szCs w:val="18"/>
              </w:rPr>
              <w:t xml:space="preserve"> (Pantoprazole), long-term use</w:t>
            </w:r>
          </w:p>
        </w:tc>
        <w:tc>
          <w:tcPr>
            <w:tcW w:w="3826" w:type="dxa"/>
            <w:tcBorders>
              <w:top w:val="single" w:sz="2" w:space="0" w:color="C9D2D6"/>
              <w:left w:val="single" w:sz="2" w:space="0" w:color="C9D2D6"/>
              <w:bottom w:val="single" w:sz="2" w:space="0" w:color="C9D2D6"/>
              <w:right w:val="single" w:sz="2" w:space="0" w:color="C9D2D6"/>
            </w:tcBorders>
            <w:shd w:val="clear" w:color="auto" w:fill="E1F0E3"/>
            <w:tcMar>
              <w:top w:w="80" w:type="dxa"/>
              <w:left w:w="100" w:type="dxa"/>
              <w:bottom w:w="80" w:type="dxa"/>
              <w:right w:w="100" w:type="dxa"/>
            </w:tcMar>
            <w:vAlign w:val="center"/>
          </w:tcPr>
          <w:p w14:paraId="5B03C410"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Chronic acid suppression can modestly reduce calcium absorption over months of continuous use.</w:t>
            </w:r>
          </w:p>
        </w:tc>
        <w:tc>
          <w:tcPr>
            <w:tcW w:w="2700" w:type="dxa"/>
            <w:tcBorders>
              <w:top w:val="single" w:sz="2" w:space="0" w:color="C9D2D6"/>
              <w:left w:val="single" w:sz="2" w:space="0" w:color="C9D2D6"/>
              <w:bottom w:val="single" w:sz="2" w:space="0" w:color="C9D2D6"/>
              <w:right w:val="single" w:sz="2" w:space="0" w:color="C9D2D6"/>
            </w:tcBorders>
            <w:shd w:val="clear" w:color="auto" w:fill="E1F0E3"/>
            <w:tcMar>
              <w:top w:w="80" w:type="dxa"/>
              <w:left w:w="100" w:type="dxa"/>
              <w:bottom w:w="80" w:type="dxa"/>
              <w:right w:w="100" w:type="dxa"/>
            </w:tcMar>
            <w:vAlign w:val="center"/>
          </w:tcPr>
          <w:p w14:paraId="3A858A6E"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Relevant mainly with prolonged PPI therapy; ensure adequate dietary calcium.</w:t>
            </w:r>
          </w:p>
        </w:tc>
      </w:tr>
      <w:tr w:rsidR="00A3386E" w:rsidRPr="004513DC" w14:paraId="07C81E2C"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4F3564C2"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Duphalac</w:t>
            </w:r>
            <w:proofErr w:type="spellEnd"/>
            <w:r w:rsidRPr="004513DC">
              <w:rPr>
                <w:rFonts w:asciiTheme="majorBidi" w:hAnsiTheme="majorBidi" w:cstheme="majorBidi"/>
                <w:b/>
                <w:bCs/>
                <w:sz w:val="18"/>
                <w:szCs w:val="18"/>
              </w:rPr>
              <w:t xml:space="preserve"> (Lactulose) + other oral medicines taken at the same time</w:t>
            </w:r>
          </w:p>
        </w:tc>
        <w:tc>
          <w:tcPr>
            <w:tcW w:w="38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4E673381"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High-dose lactulose speeds gut transit, which could in theory shorten the time available for absorption of another oral drug.</w:t>
            </w:r>
          </w:p>
        </w:tc>
        <w:tc>
          <w:tcPr>
            <w:tcW w:w="27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682FAB36"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Unlikely to be meaningful at recommended doses; no routine acti</w:t>
            </w:r>
            <w:r w:rsidRPr="004513DC">
              <w:rPr>
                <w:rFonts w:asciiTheme="majorBidi" w:hAnsiTheme="majorBidi" w:cstheme="majorBidi"/>
                <w:i/>
                <w:iCs/>
                <w:sz w:val="18"/>
                <w:szCs w:val="18"/>
              </w:rPr>
              <w:t>on needed.</w:t>
            </w:r>
          </w:p>
        </w:tc>
      </w:tr>
      <w:tr w:rsidR="00A3386E" w:rsidRPr="004513DC" w14:paraId="7762C5BE"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E1F0E3"/>
            <w:tcMar>
              <w:top w:w="80" w:type="dxa"/>
              <w:left w:w="100" w:type="dxa"/>
              <w:bottom w:w="80" w:type="dxa"/>
              <w:right w:w="100" w:type="dxa"/>
            </w:tcMar>
            <w:vAlign w:val="center"/>
          </w:tcPr>
          <w:p w14:paraId="233A3283" w14:textId="77777777" w:rsidR="00A3386E" w:rsidRPr="004513DC" w:rsidRDefault="00347669">
            <w:pPr>
              <w:spacing w:before="20" w:after="20"/>
              <w:rPr>
                <w:rFonts w:asciiTheme="majorBidi" w:hAnsiTheme="majorBidi" w:cstheme="majorBidi"/>
              </w:rPr>
            </w:pPr>
            <w:proofErr w:type="spellStart"/>
            <w:r w:rsidRPr="004513DC">
              <w:rPr>
                <w:rFonts w:asciiTheme="majorBidi" w:hAnsiTheme="majorBidi" w:cstheme="majorBidi"/>
                <w:b/>
                <w:bCs/>
                <w:sz w:val="18"/>
                <w:szCs w:val="18"/>
              </w:rPr>
              <w:t>Oplex</w:t>
            </w:r>
            <w:proofErr w:type="spellEnd"/>
            <w:r w:rsidRPr="004513DC">
              <w:rPr>
                <w:rFonts w:asciiTheme="majorBidi" w:hAnsiTheme="majorBidi" w:cstheme="majorBidi"/>
                <w:b/>
                <w:bCs/>
                <w:sz w:val="18"/>
                <w:szCs w:val="18"/>
              </w:rPr>
              <w:t xml:space="preserve"> Syrup (expectorant + sedating antitussive) + </w:t>
            </w:r>
            <w:proofErr w:type="spellStart"/>
            <w:r w:rsidRPr="004513DC">
              <w:rPr>
                <w:rFonts w:asciiTheme="majorBidi" w:hAnsiTheme="majorBidi" w:cstheme="majorBidi"/>
                <w:b/>
                <w:bCs/>
                <w:sz w:val="18"/>
                <w:szCs w:val="18"/>
              </w:rPr>
              <w:t>Prospan</w:t>
            </w:r>
            <w:proofErr w:type="spellEnd"/>
            <w:r w:rsidRPr="004513DC">
              <w:rPr>
                <w:rFonts w:asciiTheme="majorBidi" w:hAnsiTheme="majorBidi" w:cstheme="majorBidi"/>
                <w:b/>
                <w:bCs/>
                <w:sz w:val="18"/>
                <w:szCs w:val="18"/>
              </w:rPr>
              <w:t xml:space="preserve"> Syrup (expectorant)</w:t>
            </w:r>
          </w:p>
        </w:tc>
        <w:tc>
          <w:tcPr>
            <w:tcW w:w="3826" w:type="dxa"/>
            <w:tcBorders>
              <w:top w:val="single" w:sz="2" w:space="0" w:color="C9D2D6"/>
              <w:left w:val="single" w:sz="2" w:space="0" w:color="C9D2D6"/>
              <w:bottom w:val="single" w:sz="2" w:space="0" w:color="C9D2D6"/>
              <w:right w:val="single" w:sz="2" w:space="0" w:color="C9D2D6"/>
            </w:tcBorders>
            <w:shd w:val="clear" w:color="auto" w:fill="E1F0E3"/>
            <w:tcMar>
              <w:top w:w="80" w:type="dxa"/>
              <w:left w:w="100" w:type="dxa"/>
              <w:bottom w:w="80" w:type="dxa"/>
              <w:right w:w="100" w:type="dxa"/>
            </w:tcMar>
            <w:vAlign w:val="center"/>
          </w:tcPr>
          <w:p w14:paraId="0AB08BBB"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 xml:space="preserve">Both loosen mucus, so combining them is redundant rather than dangerous; </w:t>
            </w:r>
            <w:proofErr w:type="spellStart"/>
            <w:r w:rsidRPr="004513DC">
              <w:rPr>
                <w:rFonts w:asciiTheme="majorBidi" w:hAnsiTheme="majorBidi" w:cstheme="majorBidi"/>
                <w:sz w:val="18"/>
                <w:szCs w:val="18"/>
              </w:rPr>
              <w:t>Oplex's</w:t>
            </w:r>
            <w:proofErr w:type="spellEnd"/>
            <w:r w:rsidRPr="004513DC">
              <w:rPr>
                <w:rFonts w:asciiTheme="majorBidi" w:hAnsiTheme="majorBidi" w:cstheme="majorBidi"/>
                <w:sz w:val="18"/>
                <w:szCs w:val="18"/>
              </w:rPr>
              <w:t xml:space="preserve"> antitussive component also works against the purpose of an expectorant.</w:t>
            </w:r>
          </w:p>
        </w:tc>
        <w:tc>
          <w:tcPr>
            <w:tcW w:w="2700" w:type="dxa"/>
            <w:tcBorders>
              <w:top w:val="single" w:sz="2" w:space="0" w:color="C9D2D6"/>
              <w:left w:val="single" w:sz="2" w:space="0" w:color="C9D2D6"/>
              <w:bottom w:val="single" w:sz="2" w:space="0" w:color="C9D2D6"/>
              <w:right w:val="single" w:sz="2" w:space="0" w:color="C9D2D6"/>
            </w:tcBorders>
            <w:shd w:val="clear" w:color="auto" w:fill="E1F0E3"/>
            <w:tcMar>
              <w:top w:w="80" w:type="dxa"/>
              <w:left w:w="100" w:type="dxa"/>
              <w:bottom w:w="80" w:type="dxa"/>
              <w:right w:w="100" w:type="dxa"/>
            </w:tcMar>
            <w:vAlign w:val="center"/>
          </w:tcPr>
          <w:p w14:paraId="31ED4AFE"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Choose one product matched to the symptom (productive vs. dry cough) rather than combining.</w:t>
            </w:r>
          </w:p>
        </w:tc>
      </w:tr>
      <w:tr w:rsidR="00A3386E" w:rsidRPr="004513DC" w14:paraId="5D1B84E6"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2348F134"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 xml:space="preserve">Zyrtec (Cetirizine) / </w:t>
            </w:r>
            <w:proofErr w:type="spellStart"/>
            <w:r w:rsidRPr="004513DC">
              <w:rPr>
                <w:rFonts w:asciiTheme="majorBidi" w:hAnsiTheme="majorBidi" w:cstheme="majorBidi"/>
                <w:b/>
                <w:bCs/>
                <w:sz w:val="18"/>
                <w:szCs w:val="18"/>
              </w:rPr>
              <w:t>Telfast</w:t>
            </w:r>
            <w:proofErr w:type="spellEnd"/>
            <w:r w:rsidRPr="004513DC">
              <w:rPr>
                <w:rFonts w:asciiTheme="majorBidi" w:hAnsiTheme="majorBidi" w:cstheme="majorBidi"/>
                <w:b/>
                <w:bCs/>
                <w:sz w:val="18"/>
                <w:szCs w:val="18"/>
              </w:rPr>
              <w:t xml:space="preserve"> (Fexofenadine) + </w:t>
            </w:r>
            <w:proofErr w:type="spellStart"/>
            <w:r w:rsidRPr="004513DC">
              <w:rPr>
                <w:rFonts w:asciiTheme="majorBidi" w:hAnsiTheme="majorBidi" w:cstheme="majorBidi"/>
                <w:b/>
                <w:bCs/>
                <w:sz w:val="18"/>
                <w:szCs w:val="18"/>
              </w:rPr>
              <w:t>Motilium</w:t>
            </w:r>
            <w:proofErr w:type="spellEnd"/>
            <w:r w:rsidRPr="004513DC">
              <w:rPr>
                <w:rFonts w:asciiTheme="majorBidi" w:hAnsiTheme="majorBidi" w:cstheme="majorBidi"/>
                <w:b/>
                <w:bCs/>
                <w:sz w:val="18"/>
                <w:szCs w:val="18"/>
              </w:rPr>
              <w:t xml:space="preserve"> (Domperidone)</w:t>
            </w:r>
          </w:p>
        </w:tc>
        <w:tc>
          <w:tcPr>
            <w:tcW w:w="3826"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405A1003"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Both antihistamines are second-generation with low potential to affect heart rhythm, unlike the azole-antifungal interaction above.</w:t>
            </w:r>
          </w:p>
        </w:tc>
        <w:tc>
          <w:tcPr>
            <w:tcW w:w="2700" w:type="dxa"/>
            <w:tcBorders>
              <w:top w:val="single" w:sz="2" w:space="0" w:color="C9D2D6"/>
              <w:left w:val="single" w:sz="2" w:space="0" w:color="C9D2D6"/>
              <w:bottom w:val="single" w:sz="2" w:space="0" w:color="C9D2D6"/>
              <w:right w:val="single" w:sz="2" w:space="0" w:color="C9D2D6"/>
            </w:tcBorders>
            <w:shd w:val="clear" w:color="auto" w:fill="FFFFFF"/>
            <w:tcMar>
              <w:top w:w="80" w:type="dxa"/>
              <w:left w:w="100" w:type="dxa"/>
              <w:bottom w:w="80" w:type="dxa"/>
              <w:right w:w="100" w:type="dxa"/>
            </w:tcMar>
            <w:vAlign w:val="center"/>
          </w:tcPr>
          <w:p w14:paraId="5A251ECD"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No specific action needed at standard doses.</w:t>
            </w:r>
          </w:p>
        </w:tc>
      </w:tr>
      <w:tr w:rsidR="00A3386E" w:rsidRPr="004513DC" w14:paraId="3CB70E01" w14:textId="77777777">
        <w:tblPrEx>
          <w:tblCellMar>
            <w:top w:w="0" w:type="dxa"/>
            <w:bottom w:w="0" w:type="dxa"/>
          </w:tblCellMar>
        </w:tblPrEx>
        <w:tc>
          <w:tcPr>
            <w:tcW w:w="2500" w:type="dxa"/>
            <w:tcBorders>
              <w:top w:val="single" w:sz="2" w:space="0" w:color="C9D2D6"/>
              <w:left w:val="single" w:sz="2" w:space="0" w:color="C9D2D6"/>
              <w:bottom w:val="single" w:sz="2" w:space="0" w:color="C9D2D6"/>
              <w:right w:val="single" w:sz="2" w:space="0" w:color="C9D2D6"/>
            </w:tcBorders>
            <w:shd w:val="clear" w:color="auto" w:fill="E1F0E3"/>
            <w:tcMar>
              <w:top w:w="80" w:type="dxa"/>
              <w:left w:w="100" w:type="dxa"/>
              <w:bottom w:w="80" w:type="dxa"/>
              <w:right w:w="100" w:type="dxa"/>
            </w:tcMar>
            <w:vAlign w:val="center"/>
          </w:tcPr>
          <w:p w14:paraId="03C65103"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b/>
                <w:bCs/>
                <w:sz w:val="18"/>
                <w:szCs w:val="18"/>
              </w:rPr>
              <w:t>Betadine (Povidone-iodine) on large wounds or used for a prolonged period</w:t>
            </w:r>
          </w:p>
        </w:tc>
        <w:tc>
          <w:tcPr>
            <w:tcW w:w="3826" w:type="dxa"/>
            <w:tcBorders>
              <w:top w:val="single" w:sz="2" w:space="0" w:color="C9D2D6"/>
              <w:left w:val="single" w:sz="2" w:space="0" w:color="C9D2D6"/>
              <w:bottom w:val="single" w:sz="2" w:space="0" w:color="C9D2D6"/>
              <w:right w:val="single" w:sz="2" w:space="0" w:color="C9D2D6"/>
            </w:tcBorders>
            <w:shd w:val="clear" w:color="auto" w:fill="E1F0E3"/>
            <w:tcMar>
              <w:top w:w="80" w:type="dxa"/>
              <w:left w:w="100" w:type="dxa"/>
              <w:bottom w:w="80" w:type="dxa"/>
              <w:right w:w="100" w:type="dxa"/>
            </w:tcMar>
            <w:vAlign w:val="center"/>
          </w:tcPr>
          <w:p w14:paraId="6A1E9151"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sz w:val="18"/>
                <w:szCs w:val="18"/>
              </w:rPr>
              <w:t>Absorbed iodine can transiently interfere with thyroid function tests. This is a lab-test effect, not a drug-drug interaction with other inventory items.</w:t>
            </w:r>
          </w:p>
        </w:tc>
        <w:tc>
          <w:tcPr>
            <w:tcW w:w="2700" w:type="dxa"/>
            <w:tcBorders>
              <w:top w:val="single" w:sz="2" w:space="0" w:color="C9D2D6"/>
              <w:left w:val="single" w:sz="2" w:space="0" w:color="C9D2D6"/>
              <w:bottom w:val="single" w:sz="2" w:space="0" w:color="C9D2D6"/>
              <w:right w:val="single" w:sz="2" w:space="0" w:color="C9D2D6"/>
            </w:tcBorders>
            <w:shd w:val="clear" w:color="auto" w:fill="E1F0E3"/>
            <w:tcMar>
              <w:top w:w="80" w:type="dxa"/>
              <w:left w:w="100" w:type="dxa"/>
              <w:bottom w:w="80" w:type="dxa"/>
              <w:right w:w="100" w:type="dxa"/>
            </w:tcMar>
            <w:vAlign w:val="center"/>
          </w:tcPr>
          <w:p w14:paraId="31B9B73B" w14:textId="77777777" w:rsidR="00A3386E" w:rsidRPr="004513DC" w:rsidRDefault="00347669">
            <w:pPr>
              <w:spacing w:before="20" w:after="20"/>
              <w:rPr>
                <w:rFonts w:asciiTheme="majorBidi" w:hAnsiTheme="majorBidi" w:cstheme="majorBidi"/>
              </w:rPr>
            </w:pPr>
            <w:r w:rsidRPr="004513DC">
              <w:rPr>
                <w:rFonts w:asciiTheme="majorBidi" w:hAnsiTheme="majorBidi" w:cstheme="majorBidi"/>
                <w:i/>
                <w:iCs/>
                <w:sz w:val="18"/>
                <w:szCs w:val="18"/>
              </w:rPr>
              <w:t xml:space="preserve">No action needed for normal </w:t>
            </w:r>
            <w:r w:rsidRPr="004513DC">
              <w:rPr>
                <w:rFonts w:asciiTheme="majorBidi" w:hAnsiTheme="majorBidi" w:cstheme="majorBidi"/>
                <w:i/>
                <w:iCs/>
                <w:sz w:val="18"/>
                <w:szCs w:val="18"/>
              </w:rPr>
              <w:t>short-term topical use; flag iodine exposure if thyroid testing is planned.</w:t>
            </w:r>
          </w:p>
        </w:tc>
      </w:tr>
    </w:tbl>
    <w:p w14:paraId="2F131575" w14:textId="77777777" w:rsidR="004513DC" w:rsidRPr="004513DC" w:rsidRDefault="004513DC" w:rsidP="004513DC">
      <w:pPr>
        <w:rPr>
          <w:rFonts w:asciiTheme="majorBidi" w:hAnsiTheme="majorBidi" w:cstheme="majorBidi"/>
        </w:rPr>
      </w:pPr>
    </w:p>
    <w:p w14:paraId="1C70E202" w14:textId="6271493A" w:rsidR="00A3386E" w:rsidRPr="004513DC" w:rsidRDefault="004513DC" w:rsidP="004513DC">
      <w:pPr>
        <w:rPr>
          <w:rFonts w:asciiTheme="majorBidi" w:hAnsiTheme="majorBidi" w:cstheme="majorBidi"/>
          <w:color w:val="auto"/>
        </w:rPr>
      </w:pPr>
      <w:r w:rsidRPr="004513DC">
        <w:rPr>
          <w:rFonts w:asciiTheme="majorBidi" w:hAnsiTheme="majorBidi" w:cstheme="majorBidi"/>
          <w:b/>
          <w:bCs/>
          <w:color w:val="auto"/>
          <w:sz w:val="26"/>
          <w:szCs w:val="26"/>
        </w:rPr>
        <w:t>4</w:t>
      </w:r>
      <w:r w:rsidR="00347669" w:rsidRPr="004513DC">
        <w:rPr>
          <w:rFonts w:asciiTheme="majorBidi" w:hAnsiTheme="majorBidi" w:cstheme="majorBidi"/>
          <w:b/>
          <w:bCs/>
          <w:color w:val="auto"/>
          <w:sz w:val="26"/>
          <w:szCs w:val="26"/>
        </w:rPr>
        <w:t xml:space="preserve">.  </w:t>
      </w:r>
      <w:r w:rsidR="00347669" w:rsidRPr="004513DC">
        <w:rPr>
          <w:rFonts w:asciiTheme="majorBidi" w:hAnsiTheme="majorBidi" w:cstheme="majorBidi"/>
          <w:b/>
          <w:bCs/>
          <w:color w:val="auto"/>
          <w:sz w:val="26"/>
          <w:szCs w:val="26"/>
          <w:u w:val="single"/>
        </w:rPr>
        <w:t xml:space="preserve">Products </w:t>
      </w:r>
      <w:proofErr w:type="gramStart"/>
      <w:r w:rsidR="00347669" w:rsidRPr="004513DC">
        <w:rPr>
          <w:rFonts w:asciiTheme="majorBidi" w:hAnsiTheme="majorBidi" w:cstheme="majorBidi"/>
          <w:b/>
          <w:bCs/>
          <w:color w:val="auto"/>
          <w:sz w:val="26"/>
          <w:szCs w:val="26"/>
          <w:u w:val="single"/>
        </w:rPr>
        <w:t>With</w:t>
      </w:r>
      <w:proofErr w:type="gramEnd"/>
      <w:r w:rsidR="00347669" w:rsidRPr="004513DC">
        <w:rPr>
          <w:rFonts w:asciiTheme="majorBidi" w:hAnsiTheme="majorBidi" w:cstheme="majorBidi"/>
          <w:b/>
          <w:bCs/>
          <w:color w:val="auto"/>
          <w:sz w:val="26"/>
          <w:szCs w:val="26"/>
          <w:u w:val="single"/>
        </w:rPr>
        <w:t xml:space="preserve"> Minimal or No Significant Interaction Potential in This Inventory</w:t>
      </w:r>
    </w:p>
    <w:p w14:paraId="49493CF0" w14:textId="77777777" w:rsidR="004513DC" w:rsidRPr="004513DC" w:rsidRDefault="00347669" w:rsidP="004513DC">
      <w:pPr>
        <w:spacing w:before="60" w:after="120" w:line="276" w:lineRule="auto"/>
        <w:rPr>
          <w:rFonts w:asciiTheme="majorBidi" w:hAnsiTheme="majorBidi" w:cstheme="majorBidi"/>
          <w:color w:val="auto"/>
        </w:rPr>
      </w:pPr>
      <w:r w:rsidRPr="004513DC">
        <w:rPr>
          <w:rFonts w:asciiTheme="majorBidi" w:hAnsiTheme="majorBidi" w:cstheme="majorBidi"/>
          <w:color w:val="auto"/>
        </w:rPr>
        <w:t>The following products act locally, are not significantly systemically absorbed at normal use, or have no pharmacologically meaningful overlap with anything else currently stocked. Routine caution (checking allergies, following label directions) is still a</w:t>
      </w:r>
      <w:r w:rsidRPr="004513DC">
        <w:rPr>
          <w:rFonts w:asciiTheme="majorBidi" w:hAnsiTheme="majorBidi" w:cstheme="majorBidi"/>
          <w:color w:val="auto"/>
        </w:rPr>
        <w:t>dvised.</w:t>
      </w:r>
    </w:p>
    <w:p w14:paraId="2A9BBCC6" w14:textId="7BBAD34D" w:rsidR="00A3386E" w:rsidRPr="004513DC" w:rsidRDefault="00347669" w:rsidP="004513DC">
      <w:pPr>
        <w:spacing w:before="60" w:after="120" w:line="276" w:lineRule="auto"/>
        <w:rPr>
          <w:rFonts w:asciiTheme="majorBidi" w:hAnsiTheme="majorBidi" w:cstheme="majorBidi"/>
          <w:color w:val="auto"/>
        </w:rPr>
      </w:pPr>
      <w:r w:rsidRPr="004513DC">
        <w:rPr>
          <w:rFonts w:asciiTheme="majorBidi" w:hAnsiTheme="majorBidi" w:cstheme="majorBidi"/>
          <w:b/>
          <w:bCs/>
          <w:color w:val="auto"/>
          <w:sz w:val="22"/>
          <w:szCs w:val="22"/>
        </w:rPr>
        <w:t>Topical / locally-acting products</w:t>
      </w:r>
    </w:p>
    <w:p w14:paraId="317501E0" w14:textId="77777777" w:rsidR="004513DC" w:rsidRPr="004513DC" w:rsidRDefault="00347669" w:rsidP="004513DC">
      <w:pPr>
        <w:pStyle w:val="ListParagraph"/>
        <w:numPr>
          <w:ilvl w:val="0"/>
          <w:numId w:val="2"/>
        </w:numPr>
        <w:spacing w:before="30" w:after="30" w:line="264" w:lineRule="auto"/>
        <w:rPr>
          <w:rFonts w:asciiTheme="majorBidi" w:hAnsiTheme="majorBidi" w:cstheme="majorBidi"/>
          <w:color w:val="auto"/>
        </w:rPr>
      </w:pPr>
      <w:r w:rsidRPr="004513DC">
        <w:rPr>
          <w:rFonts w:asciiTheme="majorBidi" w:hAnsiTheme="majorBidi" w:cstheme="majorBidi"/>
          <w:color w:val="auto"/>
        </w:rPr>
        <w:t xml:space="preserve">Betadine Antiseptic Solution • Fucidin 2% Cream • </w:t>
      </w:r>
      <w:proofErr w:type="spellStart"/>
      <w:r w:rsidRPr="004513DC">
        <w:rPr>
          <w:rFonts w:asciiTheme="majorBidi" w:hAnsiTheme="majorBidi" w:cstheme="majorBidi"/>
          <w:color w:val="auto"/>
        </w:rPr>
        <w:t>Kenacomb</w:t>
      </w:r>
      <w:proofErr w:type="spellEnd"/>
      <w:r w:rsidRPr="004513DC">
        <w:rPr>
          <w:rFonts w:asciiTheme="majorBidi" w:hAnsiTheme="majorBidi" w:cstheme="majorBidi"/>
          <w:color w:val="auto"/>
        </w:rPr>
        <w:t xml:space="preserve"> Cream (routine use) • </w:t>
      </w:r>
      <w:proofErr w:type="spellStart"/>
      <w:r w:rsidRPr="004513DC">
        <w:rPr>
          <w:rFonts w:asciiTheme="majorBidi" w:hAnsiTheme="majorBidi" w:cstheme="majorBidi"/>
          <w:color w:val="auto"/>
        </w:rPr>
        <w:t>Polyderm</w:t>
      </w:r>
      <w:proofErr w:type="spellEnd"/>
      <w:r w:rsidRPr="004513DC">
        <w:rPr>
          <w:rFonts w:asciiTheme="majorBidi" w:hAnsiTheme="majorBidi" w:cstheme="majorBidi"/>
          <w:color w:val="auto"/>
        </w:rPr>
        <w:t xml:space="preserve"> Cream (routine use) • </w:t>
      </w:r>
      <w:proofErr w:type="spellStart"/>
      <w:r w:rsidRPr="004513DC">
        <w:rPr>
          <w:rFonts w:asciiTheme="majorBidi" w:hAnsiTheme="majorBidi" w:cstheme="majorBidi"/>
          <w:color w:val="auto"/>
        </w:rPr>
        <w:t>Strepsils</w:t>
      </w:r>
      <w:proofErr w:type="spellEnd"/>
      <w:r w:rsidRPr="004513DC">
        <w:rPr>
          <w:rFonts w:asciiTheme="majorBidi" w:hAnsiTheme="majorBidi" w:cstheme="majorBidi"/>
          <w:color w:val="auto"/>
        </w:rPr>
        <w:t xml:space="preserve"> Honey &amp; Lemon • </w:t>
      </w:r>
      <w:proofErr w:type="spellStart"/>
      <w:r w:rsidRPr="004513DC">
        <w:rPr>
          <w:rFonts w:asciiTheme="majorBidi" w:hAnsiTheme="majorBidi" w:cstheme="majorBidi"/>
          <w:color w:val="auto"/>
        </w:rPr>
        <w:t>Mebo</w:t>
      </w:r>
      <w:proofErr w:type="spellEnd"/>
      <w:r w:rsidRPr="004513DC">
        <w:rPr>
          <w:rFonts w:asciiTheme="majorBidi" w:hAnsiTheme="majorBidi" w:cstheme="majorBidi"/>
          <w:color w:val="auto"/>
        </w:rPr>
        <w:t xml:space="preserve"> Ointment • </w:t>
      </w:r>
      <w:proofErr w:type="spellStart"/>
      <w:r w:rsidRPr="004513DC">
        <w:rPr>
          <w:rFonts w:asciiTheme="majorBidi" w:hAnsiTheme="majorBidi" w:cstheme="majorBidi"/>
          <w:color w:val="auto"/>
        </w:rPr>
        <w:t>Voltaren</w:t>
      </w:r>
      <w:proofErr w:type="spellEnd"/>
      <w:r w:rsidRPr="004513DC">
        <w:rPr>
          <w:rFonts w:asciiTheme="majorBidi" w:hAnsiTheme="majorBidi" w:cstheme="majorBidi"/>
          <w:color w:val="auto"/>
        </w:rPr>
        <w:t xml:space="preserve"> </w:t>
      </w:r>
      <w:proofErr w:type="spellStart"/>
      <w:r w:rsidRPr="004513DC">
        <w:rPr>
          <w:rFonts w:asciiTheme="majorBidi" w:hAnsiTheme="majorBidi" w:cstheme="majorBidi"/>
          <w:color w:val="auto"/>
        </w:rPr>
        <w:t>Emulgel</w:t>
      </w:r>
      <w:proofErr w:type="spellEnd"/>
      <w:r w:rsidRPr="004513DC">
        <w:rPr>
          <w:rFonts w:asciiTheme="majorBidi" w:hAnsiTheme="majorBidi" w:cstheme="majorBidi"/>
          <w:color w:val="auto"/>
        </w:rPr>
        <w:t xml:space="preserve"> (topical — systemic NSAID cautions in Section 5 apply with much lower likelihood than</w:t>
      </w:r>
      <w:r w:rsidRPr="004513DC">
        <w:rPr>
          <w:rFonts w:asciiTheme="majorBidi" w:hAnsiTheme="majorBidi" w:cstheme="majorBidi"/>
          <w:color w:val="auto"/>
        </w:rPr>
        <w:t xml:space="preserve"> with oral NSAIDs, unless used over large areas or long-term)</w:t>
      </w:r>
    </w:p>
    <w:p w14:paraId="794DFCAD" w14:textId="473E05E5" w:rsidR="00A3386E" w:rsidRPr="004513DC" w:rsidRDefault="00347669" w:rsidP="004513DC">
      <w:pPr>
        <w:spacing w:before="30" w:after="30" w:line="264" w:lineRule="auto"/>
        <w:rPr>
          <w:rFonts w:asciiTheme="majorBidi" w:hAnsiTheme="majorBidi" w:cstheme="majorBidi"/>
          <w:color w:val="auto"/>
        </w:rPr>
      </w:pPr>
      <w:r w:rsidRPr="004513DC">
        <w:rPr>
          <w:rFonts w:asciiTheme="majorBidi" w:hAnsiTheme="majorBidi" w:cstheme="majorBidi"/>
          <w:b/>
          <w:bCs/>
          <w:color w:val="auto"/>
          <w:sz w:val="22"/>
          <w:szCs w:val="22"/>
        </w:rPr>
        <w:t>Herbal / low-interaction-potential products</w:t>
      </w:r>
    </w:p>
    <w:p w14:paraId="472FFF98" w14:textId="274858C9" w:rsidR="004513DC" w:rsidRPr="004513DC" w:rsidRDefault="00347669" w:rsidP="004513DC">
      <w:pPr>
        <w:pStyle w:val="ListParagraph"/>
        <w:numPr>
          <w:ilvl w:val="0"/>
          <w:numId w:val="2"/>
        </w:numPr>
        <w:spacing w:before="30" w:after="30" w:line="264" w:lineRule="auto"/>
        <w:rPr>
          <w:rFonts w:asciiTheme="majorBidi" w:hAnsiTheme="majorBidi" w:cstheme="majorBidi"/>
          <w:color w:val="auto"/>
        </w:rPr>
      </w:pPr>
      <w:proofErr w:type="spellStart"/>
      <w:r w:rsidRPr="004513DC">
        <w:rPr>
          <w:rFonts w:asciiTheme="majorBidi" w:hAnsiTheme="majorBidi" w:cstheme="majorBidi"/>
          <w:color w:val="auto"/>
        </w:rPr>
        <w:t>Sinupret</w:t>
      </w:r>
      <w:proofErr w:type="spellEnd"/>
      <w:r w:rsidRPr="004513DC">
        <w:rPr>
          <w:rFonts w:asciiTheme="majorBidi" w:hAnsiTheme="majorBidi" w:cstheme="majorBidi"/>
          <w:color w:val="auto"/>
        </w:rPr>
        <w:t xml:space="preserve"> Forte • </w:t>
      </w:r>
      <w:proofErr w:type="spellStart"/>
      <w:r w:rsidRPr="004513DC">
        <w:rPr>
          <w:rFonts w:asciiTheme="majorBidi" w:hAnsiTheme="majorBidi" w:cstheme="majorBidi"/>
          <w:color w:val="auto"/>
        </w:rPr>
        <w:t>Prospan</w:t>
      </w:r>
      <w:proofErr w:type="spellEnd"/>
      <w:r w:rsidRPr="004513DC">
        <w:rPr>
          <w:rFonts w:asciiTheme="majorBidi" w:hAnsiTheme="majorBidi" w:cstheme="majorBidi"/>
          <w:color w:val="auto"/>
        </w:rPr>
        <w:t xml:space="preserve"> Syrup </w:t>
      </w:r>
      <w:r w:rsidRPr="004513DC">
        <w:rPr>
          <w:rFonts w:asciiTheme="majorBidi" w:hAnsiTheme="majorBidi" w:cstheme="majorBidi"/>
          <w:color w:val="auto"/>
        </w:rPr>
        <w:t xml:space="preserve">• </w:t>
      </w:r>
      <w:proofErr w:type="spellStart"/>
      <w:r w:rsidRPr="004513DC">
        <w:rPr>
          <w:rFonts w:asciiTheme="majorBidi" w:hAnsiTheme="majorBidi" w:cstheme="majorBidi"/>
          <w:color w:val="auto"/>
        </w:rPr>
        <w:t>Mebo</w:t>
      </w:r>
      <w:proofErr w:type="spellEnd"/>
      <w:r w:rsidRPr="004513DC">
        <w:rPr>
          <w:rFonts w:asciiTheme="majorBidi" w:hAnsiTheme="majorBidi" w:cstheme="majorBidi"/>
          <w:color w:val="auto"/>
        </w:rPr>
        <w:t xml:space="preserve"> Ointment</w:t>
      </w:r>
    </w:p>
    <w:p w14:paraId="16540621" w14:textId="176D4BEE" w:rsidR="00A3386E" w:rsidRPr="004513DC" w:rsidRDefault="00347669" w:rsidP="004513DC">
      <w:pPr>
        <w:spacing w:before="30" w:after="30" w:line="264" w:lineRule="auto"/>
        <w:rPr>
          <w:rFonts w:asciiTheme="majorBidi" w:hAnsiTheme="majorBidi" w:cstheme="majorBidi"/>
          <w:color w:val="auto"/>
        </w:rPr>
      </w:pPr>
      <w:r w:rsidRPr="004513DC">
        <w:rPr>
          <w:rFonts w:asciiTheme="majorBidi" w:hAnsiTheme="majorBidi" w:cstheme="majorBidi"/>
          <w:b/>
          <w:bCs/>
          <w:color w:val="auto"/>
          <w:sz w:val="22"/>
          <w:szCs w:val="22"/>
        </w:rPr>
        <w:t>Locally-acting gastrointestinal products</w:t>
      </w:r>
    </w:p>
    <w:p w14:paraId="7DC3BF3A" w14:textId="77777777" w:rsidR="004513DC" w:rsidRPr="004513DC" w:rsidRDefault="00347669" w:rsidP="004513DC">
      <w:pPr>
        <w:pStyle w:val="ListParagraph"/>
        <w:numPr>
          <w:ilvl w:val="0"/>
          <w:numId w:val="2"/>
        </w:numPr>
        <w:spacing w:before="30" w:after="30" w:line="264" w:lineRule="auto"/>
        <w:rPr>
          <w:rFonts w:asciiTheme="majorBidi" w:hAnsiTheme="majorBidi" w:cstheme="majorBidi"/>
          <w:color w:val="auto"/>
        </w:rPr>
      </w:pPr>
      <w:proofErr w:type="spellStart"/>
      <w:r w:rsidRPr="004513DC">
        <w:rPr>
          <w:rFonts w:asciiTheme="majorBidi" w:hAnsiTheme="majorBidi" w:cstheme="majorBidi"/>
          <w:color w:val="auto"/>
        </w:rPr>
        <w:t>Antinal</w:t>
      </w:r>
      <w:proofErr w:type="spellEnd"/>
      <w:r w:rsidRPr="004513DC">
        <w:rPr>
          <w:rFonts w:asciiTheme="majorBidi" w:hAnsiTheme="majorBidi" w:cstheme="majorBidi"/>
          <w:color w:val="auto"/>
        </w:rPr>
        <w:t xml:space="preserve"> 200mg </w:t>
      </w:r>
      <w:r w:rsidRPr="004513DC">
        <w:rPr>
          <w:rFonts w:asciiTheme="majorBidi" w:hAnsiTheme="majorBidi" w:cstheme="majorBidi"/>
          <w:color w:val="auto"/>
        </w:rPr>
        <w:t xml:space="preserve">(Nifuroxazide — minimal systemic absorption) • </w:t>
      </w:r>
      <w:proofErr w:type="spellStart"/>
      <w:r w:rsidRPr="004513DC">
        <w:rPr>
          <w:rFonts w:asciiTheme="majorBidi" w:hAnsiTheme="majorBidi" w:cstheme="majorBidi"/>
          <w:color w:val="auto"/>
        </w:rPr>
        <w:t>Gastreg</w:t>
      </w:r>
      <w:proofErr w:type="spellEnd"/>
      <w:r w:rsidRPr="004513DC">
        <w:rPr>
          <w:rFonts w:asciiTheme="majorBidi" w:hAnsiTheme="majorBidi" w:cstheme="majorBidi"/>
          <w:color w:val="auto"/>
        </w:rPr>
        <w:t xml:space="preserve"> 200mg (Trimebutine — generally well tolerated)</w:t>
      </w:r>
    </w:p>
    <w:p w14:paraId="19526F12" w14:textId="662392CD" w:rsidR="00A3386E" w:rsidRPr="004513DC" w:rsidRDefault="00347669" w:rsidP="004513DC">
      <w:pPr>
        <w:spacing w:before="30" w:after="30" w:line="264" w:lineRule="auto"/>
        <w:rPr>
          <w:rFonts w:asciiTheme="majorBidi" w:hAnsiTheme="majorBidi" w:cstheme="majorBidi"/>
          <w:color w:val="auto"/>
        </w:rPr>
      </w:pPr>
      <w:r w:rsidRPr="004513DC">
        <w:rPr>
          <w:rFonts w:asciiTheme="majorBidi" w:hAnsiTheme="majorBidi" w:cstheme="majorBidi"/>
          <w:b/>
          <w:bCs/>
          <w:color w:val="auto"/>
          <w:sz w:val="22"/>
          <w:szCs w:val="22"/>
        </w:rPr>
        <w:t>Vitamins and supplements (aside from PPI notes in Section 5.3)</w:t>
      </w:r>
    </w:p>
    <w:p w14:paraId="330267B7" w14:textId="77777777" w:rsidR="004513DC" w:rsidRPr="004513DC" w:rsidRDefault="00347669" w:rsidP="004513DC">
      <w:pPr>
        <w:pStyle w:val="ListParagraph"/>
        <w:numPr>
          <w:ilvl w:val="0"/>
          <w:numId w:val="2"/>
        </w:numPr>
        <w:spacing w:before="30" w:after="30" w:line="264" w:lineRule="auto"/>
        <w:rPr>
          <w:rFonts w:asciiTheme="majorBidi" w:hAnsiTheme="majorBidi" w:cstheme="majorBidi"/>
          <w:color w:val="auto"/>
        </w:rPr>
      </w:pPr>
      <w:proofErr w:type="spellStart"/>
      <w:r w:rsidRPr="004513DC">
        <w:rPr>
          <w:rFonts w:asciiTheme="majorBidi" w:hAnsiTheme="majorBidi" w:cstheme="majorBidi"/>
          <w:color w:val="auto"/>
        </w:rPr>
        <w:t>Neurovit</w:t>
      </w:r>
      <w:proofErr w:type="spellEnd"/>
      <w:r w:rsidRPr="004513DC">
        <w:rPr>
          <w:rFonts w:asciiTheme="majorBidi" w:hAnsiTheme="majorBidi" w:cstheme="majorBidi"/>
          <w:color w:val="auto"/>
        </w:rPr>
        <w:t xml:space="preserve"> Tablets • C-Retard 500mg • </w:t>
      </w:r>
      <w:proofErr w:type="spellStart"/>
      <w:r w:rsidRPr="004513DC">
        <w:rPr>
          <w:rFonts w:asciiTheme="majorBidi" w:hAnsiTheme="majorBidi" w:cstheme="majorBidi"/>
          <w:color w:val="auto"/>
        </w:rPr>
        <w:t>Vitacid</w:t>
      </w:r>
      <w:proofErr w:type="spellEnd"/>
      <w:r w:rsidRPr="004513DC">
        <w:rPr>
          <w:rFonts w:asciiTheme="majorBidi" w:hAnsiTheme="majorBidi" w:cstheme="majorBidi"/>
          <w:color w:val="auto"/>
        </w:rPr>
        <w:t xml:space="preserve"> Calcium Eff</w:t>
      </w:r>
    </w:p>
    <w:p w14:paraId="47338319" w14:textId="01C6644C" w:rsidR="00A3386E" w:rsidRPr="004513DC" w:rsidRDefault="00347669" w:rsidP="004513DC">
      <w:pPr>
        <w:spacing w:before="30" w:after="30" w:line="264" w:lineRule="auto"/>
        <w:rPr>
          <w:rFonts w:asciiTheme="majorBidi" w:hAnsiTheme="majorBidi" w:cstheme="majorBidi"/>
          <w:color w:val="auto"/>
        </w:rPr>
      </w:pPr>
      <w:r w:rsidRPr="004513DC">
        <w:rPr>
          <w:rFonts w:asciiTheme="majorBidi" w:hAnsiTheme="majorBidi" w:cstheme="majorBidi"/>
          <w:b/>
          <w:bCs/>
          <w:color w:val="auto"/>
          <w:sz w:val="22"/>
          <w:szCs w:val="22"/>
        </w:rPr>
        <w:t>Other</w:t>
      </w:r>
    </w:p>
    <w:p w14:paraId="4187D660" w14:textId="77777777" w:rsidR="004513DC" w:rsidRPr="004513DC" w:rsidRDefault="00347669" w:rsidP="004513DC">
      <w:pPr>
        <w:pStyle w:val="ListParagraph"/>
        <w:numPr>
          <w:ilvl w:val="0"/>
          <w:numId w:val="2"/>
        </w:numPr>
        <w:spacing w:before="30" w:after="30" w:line="264" w:lineRule="auto"/>
        <w:rPr>
          <w:rFonts w:asciiTheme="majorBidi" w:hAnsiTheme="majorBidi" w:cstheme="majorBidi"/>
        </w:rPr>
      </w:pPr>
      <w:proofErr w:type="spellStart"/>
      <w:r w:rsidRPr="004513DC">
        <w:rPr>
          <w:rFonts w:asciiTheme="majorBidi" w:hAnsiTheme="majorBidi" w:cstheme="majorBidi"/>
          <w:color w:val="auto"/>
        </w:rPr>
        <w:t>Duphalac</w:t>
      </w:r>
      <w:proofErr w:type="spellEnd"/>
      <w:r w:rsidRPr="004513DC">
        <w:rPr>
          <w:rFonts w:asciiTheme="majorBidi" w:hAnsiTheme="majorBidi" w:cstheme="majorBidi"/>
          <w:color w:val="auto"/>
        </w:rPr>
        <w:t xml:space="preserve"> </w:t>
      </w:r>
      <w:proofErr w:type="gramStart"/>
      <w:r w:rsidRPr="004513DC">
        <w:rPr>
          <w:rFonts w:asciiTheme="majorBidi" w:hAnsiTheme="majorBidi" w:cstheme="majorBidi"/>
          <w:color w:val="auto"/>
        </w:rPr>
        <w:t xml:space="preserve">Syrup </w:t>
      </w:r>
      <w:r w:rsidRPr="004513DC">
        <w:rPr>
          <w:rFonts w:asciiTheme="majorBidi" w:hAnsiTheme="majorBidi" w:cstheme="majorBidi"/>
          <w:color w:val="auto"/>
        </w:rPr>
        <w:t xml:space="preserve"> •</w:t>
      </w:r>
      <w:proofErr w:type="gramEnd"/>
      <w:r w:rsidRPr="004513DC">
        <w:rPr>
          <w:rFonts w:asciiTheme="majorBidi" w:hAnsiTheme="majorBidi" w:cstheme="majorBidi"/>
          <w:color w:val="auto"/>
        </w:rPr>
        <w:t xml:space="preserve"> Zyrtec 10mg and </w:t>
      </w:r>
      <w:proofErr w:type="spellStart"/>
      <w:r w:rsidRPr="004513DC">
        <w:rPr>
          <w:rFonts w:asciiTheme="majorBidi" w:hAnsiTheme="majorBidi" w:cstheme="majorBidi"/>
          <w:color w:val="auto"/>
        </w:rPr>
        <w:t>Telfast</w:t>
      </w:r>
      <w:proofErr w:type="spellEnd"/>
      <w:r w:rsidRPr="004513DC">
        <w:rPr>
          <w:rFonts w:asciiTheme="majorBidi" w:hAnsiTheme="majorBidi" w:cstheme="majorBidi"/>
          <w:color w:val="auto"/>
        </w:rPr>
        <w:t xml:space="preserve"> 120mg outside the specific notes above • Gaviscon Double Action and Maalox Plus Tablets </w:t>
      </w:r>
    </w:p>
    <w:p w14:paraId="60D39D7A" w14:textId="766AC889" w:rsidR="004513DC" w:rsidRPr="004513DC" w:rsidRDefault="004513DC" w:rsidP="004513DC">
      <w:pPr>
        <w:spacing w:before="30" w:after="30" w:line="264" w:lineRule="auto"/>
        <w:rPr>
          <w:rFonts w:asciiTheme="majorBidi" w:hAnsiTheme="majorBidi" w:cstheme="majorBidi"/>
        </w:rPr>
      </w:pPr>
    </w:p>
    <w:p w14:paraId="23D18C91" w14:textId="289BDDC2" w:rsidR="00A3386E" w:rsidRPr="004513DC" w:rsidRDefault="00A3386E" w:rsidP="004513DC">
      <w:pPr>
        <w:spacing w:before="30" w:after="30" w:line="264" w:lineRule="auto"/>
        <w:rPr>
          <w:rFonts w:asciiTheme="majorBidi" w:hAnsiTheme="majorBidi" w:cstheme="majorBidi"/>
        </w:rPr>
      </w:pPr>
    </w:p>
    <w:sectPr w:rsidR="00A3386E" w:rsidRPr="004513D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78ECC" w14:textId="77777777" w:rsidR="00347669" w:rsidRDefault="00347669">
      <w:r>
        <w:separator/>
      </w:r>
    </w:p>
  </w:endnote>
  <w:endnote w:type="continuationSeparator" w:id="0">
    <w:p w14:paraId="76CC492B" w14:textId="77777777" w:rsidR="00347669" w:rsidRDefault="00347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85B07" w14:textId="77777777" w:rsidR="00A3386E" w:rsidRDefault="00347669">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513DC">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513DC">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DAAF7" w14:textId="77777777" w:rsidR="00347669" w:rsidRDefault="00347669">
      <w:r>
        <w:separator/>
      </w:r>
    </w:p>
  </w:footnote>
  <w:footnote w:type="continuationSeparator" w:id="0">
    <w:p w14:paraId="6661897B" w14:textId="77777777" w:rsidR="00347669" w:rsidRDefault="003476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DC08B" w14:textId="77777777" w:rsidR="00A3386E" w:rsidRDefault="00347669">
    <w:pPr>
      <w:pBdr>
        <w:bottom w:val="single" w:sz="4" w:space="4" w:color="C9D2D6"/>
      </w:pBdr>
      <w:tabs>
        <w:tab w:val="right" w:pos="9026"/>
      </w:tabs>
    </w:pPr>
    <w:r>
      <w:rPr>
        <w:color w:val="888888"/>
        <w:sz w:val="15"/>
        <w:szCs w:val="15"/>
      </w:rPr>
      <w:t>Drug Interaction Reference Guide</w:t>
    </w:r>
    <w:r>
      <w:rPr>
        <w:color w:val="888888"/>
        <w:sz w:val="15"/>
        <w:szCs w:val="15"/>
      </w:rPr>
      <w:tab/>
      <w:t>Smart Eco-Pharma Hub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33F99"/>
    <w:multiLevelType w:val="hybridMultilevel"/>
    <w:tmpl w:val="1688AE5C"/>
    <w:lvl w:ilvl="0" w:tplc="9118CB5A">
      <w:start w:val="1"/>
      <w:numFmt w:val="bullet"/>
      <w:lvlText w:val="•"/>
      <w:lvlJc w:val="left"/>
      <w:pPr>
        <w:ind w:left="460" w:hanging="260"/>
      </w:pPr>
    </w:lvl>
    <w:lvl w:ilvl="1" w:tplc="DFB23CB4">
      <w:numFmt w:val="decimal"/>
      <w:lvlText w:val=""/>
      <w:lvlJc w:val="left"/>
    </w:lvl>
    <w:lvl w:ilvl="2" w:tplc="3B3E23A0">
      <w:numFmt w:val="decimal"/>
      <w:lvlText w:val=""/>
      <w:lvlJc w:val="left"/>
    </w:lvl>
    <w:lvl w:ilvl="3" w:tplc="263A093C">
      <w:numFmt w:val="decimal"/>
      <w:lvlText w:val=""/>
      <w:lvlJc w:val="left"/>
    </w:lvl>
    <w:lvl w:ilvl="4" w:tplc="A2C0160A">
      <w:numFmt w:val="decimal"/>
      <w:lvlText w:val=""/>
      <w:lvlJc w:val="left"/>
    </w:lvl>
    <w:lvl w:ilvl="5" w:tplc="015EE004">
      <w:numFmt w:val="decimal"/>
      <w:lvlText w:val=""/>
      <w:lvlJc w:val="left"/>
    </w:lvl>
    <w:lvl w:ilvl="6" w:tplc="75C6BDA2">
      <w:numFmt w:val="decimal"/>
      <w:lvlText w:val=""/>
      <w:lvlJc w:val="left"/>
    </w:lvl>
    <w:lvl w:ilvl="7" w:tplc="690419E2">
      <w:numFmt w:val="decimal"/>
      <w:lvlText w:val=""/>
      <w:lvlJc w:val="left"/>
    </w:lvl>
    <w:lvl w:ilvl="8" w:tplc="38E068B6">
      <w:numFmt w:val="decimal"/>
      <w:lvlText w:val=""/>
      <w:lvlJc w:val="left"/>
    </w:lvl>
  </w:abstractNum>
  <w:abstractNum w:abstractNumId="1" w15:restartNumberingAfterBreak="0">
    <w:nsid w:val="0A0767A8"/>
    <w:multiLevelType w:val="hybridMultilevel"/>
    <w:tmpl w:val="BA9A385E"/>
    <w:lvl w:ilvl="0" w:tplc="BF60689A">
      <w:start w:val="1"/>
      <w:numFmt w:val="bullet"/>
      <w:lvlText w:val="●"/>
      <w:lvlJc w:val="left"/>
      <w:pPr>
        <w:ind w:left="720" w:hanging="360"/>
      </w:pPr>
    </w:lvl>
    <w:lvl w:ilvl="1" w:tplc="4308E80C">
      <w:start w:val="1"/>
      <w:numFmt w:val="bullet"/>
      <w:lvlText w:val="○"/>
      <w:lvlJc w:val="left"/>
      <w:pPr>
        <w:ind w:left="1440" w:hanging="360"/>
      </w:pPr>
    </w:lvl>
    <w:lvl w:ilvl="2" w:tplc="C4EE6B64">
      <w:start w:val="1"/>
      <w:numFmt w:val="bullet"/>
      <w:lvlText w:val="■"/>
      <w:lvlJc w:val="left"/>
      <w:pPr>
        <w:ind w:left="2160" w:hanging="360"/>
      </w:pPr>
    </w:lvl>
    <w:lvl w:ilvl="3" w:tplc="3E20A60E">
      <w:start w:val="1"/>
      <w:numFmt w:val="bullet"/>
      <w:lvlText w:val="●"/>
      <w:lvlJc w:val="left"/>
      <w:pPr>
        <w:ind w:left="2880" w:hanging="360"/>
      </w:pPr>
    </w:lvl>
    <w:lvl w:ilvl="4" w:tplc="1AB87292">
      <w:start w:val="1"/>
      <w:numFmt w:val="bullet"/>
      <w:lvlText w:val="○"/>
      <w:lvlJc w:val="left"/>
      <w:pPr>
        <w:ind w:left="3600" w:hanging="360"/>
      </w:pPr>
    </w:lvl>
    <w:lvl w:ilvl="5" w:tplc="C98A2E16">
      <w:start w:val="1"/>
      <w:numFmt w:val="bullet"/>
      <w:lvlText w:val="■"/>
      <w:lvlJc w:val="left"/>
      <w:pPr>
        <w:ind w:left="4320" w:hanging="360"/>
      </w:pPr>
    </w:lvl>
    <w:lvl w:ilvl="6" w:tplc="7C66BB72">
      <w:start w:val="1"/>
      <w:numFmt w:val="bullet"/>
      <w:lvlText w:val="●"/>
      <w:lvlJc w:val="left"/>
      <w:pPr>
        <w:ind w:left="5040" w:hanging="360"/>
      </w:pPr>
    </w:lvl>
    <w:lvl w:ilvl="7" w:tplc="AF76CCBC">
      <w:start w:val="1"/>
      <w:numFmt w:val="bullet"/>
      <w:lvlText w:val="●"/>
      <w:lvlJc w:val="left"/>
      <w:pPr>
        <w:ind w:left="5760" w:hanging="360"/>
      </w:pPr>
    </w:lvl>
    <w:lvl w:ilvl="8" w:tplc="EA5685A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86E"/>
    <w:rsid w:val="00347669"/>
    <w:rsid w:val="004513DC"/>
    <w:rsid w:val="009E53C6"/>
    <w:rsid w:val="00A338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4096D"/>
  <w15:docId w15:val="{1B6D78FC-AB9E-44CD-9DFE-50B677E50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1876</Words>
  <Characters>10694</Characters>
  <Application>Microsoft Office Word</Application>
  <DocSecurity>0</DocSecurity>
  <Lines>89</Lines>
  <Paragraphs>25</Paragraphs>
  <ScaleCrop>false</ScaleCrop>
  <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ibrahim</cp:lastModifiedBy>
  <cp:revision>2</cp:revision>
  <dcterms:created xsi:type="dcterms:W3CDTF">2026-07-18T12:13:00Z</dcterms:created>
  <dcterms:modified xsi:type="dcterms:W3CDTF">2026-07-18T12:13:00Z</dcterms:modified>
</cp:coreProperties>
</file>