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t xml:space="preserve"/>
      </w:r>
    </w:p>
    <w:p>
      <w:pPr>
        <w:spacing w:after="40"/>
      </w:pPr>
      <w:r>
        <w:rPr>
          <w:b/>
          <w:bCs/>
          <w:color w:val="1F7A54"/>
          <w:sz w:val="22"/>
          <w:szCs w:val="22"/>
        </w:rPr>
        <w:t xml:space="preserve">PROJECT REPORT</w:t>
      </w:r>
    </w:p>
    <w:p>
      <w:pPr>
        <w:spacing w:after="200"/>
      </w:pPr>
      <w:r>
        <w:rPr>
          <w:b/>
          <w:bCs/>
          <w:color w:val="1A1A1A"/>
          <w:sz w:val="44"/>
          <w:szCs w:val="44"/>
        </w:rPr>
        <w:t xml:space="preserve">Blinkit Sales &amp; KPI Analysis Using SQL</w:t>
      </w:r>
    </w:p>
    <w:p>
      <w:pPr>
        <w:spacing w:after="360"/>
      </w:pPr>
      <w:r>
        <w:rPr>
          <w:i/>
          <w:iCs/>
          <w:color w:val="5B5B5B"/>
          <w:sz w:val="24"/>
          <w:szCs w:val="24"/>
        </w:rPr>
        <w:t xml:space="preserve">A SQL-based exploratory and KPI analysis of Blinkit's product and outlet sales data</w:t>
      </w:r>
    </w:p>
    <w:p>
      <w:pPr>
        <w:spacing w:after="160" w:line="300"/>
      </w:pPr>
      <w:r>
        <w:rPr>
          <w:color w:val="5B5B5B"/>
          <w:sz w:val="20"/>
          <w:szCs w:val="20"/>
        </w:rPr>
        <w:t xml:space="preserve">Prepared: 14 September 2026</w:t>
      </w:r>
    </w:p>
    <w:p>
      <w:pPr>
        <w:spacing w:after="160" w:line="300"/>
      </w:pPr>
      <w:r>
        <w:rPr>
          <w:color w:val="5B5B5B"/>
          <w:sz w:val="20"/>
          <w:szCs w:val="20"/>
        </w:rPr>
        <w:t xml:space="preserve">Data source: blinkit_data table (SQL Server / T-SQL)</w:t>
      </w:r>
    </w:p>
    <w:p>
      <w:pPr>
        <w:pStyle w:val="Heading1"/>
        <w:pBdr>
          <w:bottom w:val="single" w:color="1F7A54" w:sz="6"/>
        </w:pBdr>
        <w:spacing w:after="160" w:before="360"/>
      </w:pPr>
      <w:r>
        <w:rPr>
          <w:b/>
          <w:bCs/>
          <w:color w:val="1F7A54"/>
          <w:sz w:val="30"/>
          <w:szCs w:val="30"/>
        </w:rPr>
        <w:t xml:space="preserve">1. Executive Summary</w:t>
      </w:r>
    </w:p>
    <w:p>
      <w:pPr>
        <w:spacing w:after="160" w:line="300"/>
      </w:pPr>
      <w:r>
        <w:rPr>
          <w:color w:val="1A1A1A"/>
          <w:sz w:val="22"/>
          <w:szCs w:val="22"/>
        </w:rPr>
        <w:t xml:space="preserve">This project analyzes retail sales performance for Blinkit, a quick-commerce grocery delivery platform, using a single consolidated dataset (blinkit_data) queried entirely through T-SQL. The objective was to clean inconsistent categorical data, compute headline KPIs, and break those KPIs down across the dimensions that matter most to the business — product fat content, item type, outlet establishment year, outlet size, outlet location, and outlet type. The result is a repeatable SQL script that can be pointed at any refresh of the dataset (or plugged directly into a BI tool such as Power BI or Tableau) to produce an up-to-date sales and ratings dashboard.</w:t>
      </w:r>
    </w:p>
    <w:p>
      <w:pPr>
        <w:spacing w:after="160" w:line="300"/>
      </w:pPr>
      <w:r>
        <w:rPr>
          <w:color w:val="1A1A1A"/>
          <w:sz w:val="22"/>
          <w:szCs w:val="22"/>
        </w:rPr>
        <w:t xml:space="preserve">The analysis is organized into two layers: (1) a data-cleaning layer that standardizes the Item_Fat_Content field, and (2) a KPI/reporting layer made up of ten independent queries, each answering a specific business question about where sales are concentrated and how outlet characteristics relate to performance.</w:t>
      </w:r>
    </w:p>
    <w:p>
      <w:pPr>
        <w:pStyle w:val="Heading1"/>
        <w:pBdr>
          <w:bottom w:val="single" w:color="1F7A54" w:sz="6"/>
        </w:pBdr>
        <w:spacing w:after="160" w:before="360"/>
      </w:pPr>
      <w:r>
        <w:rPr>
          <w:b/>
          <w:bCs/>
          <w:color w:val="1F7A54"/>
          <w:sz w:val="30"/>
          <w:szCs w:val="30"/>
        </w:rPr>
        <w:t xml:space="preserve">2. Project Objective</w:t>
      </w:r>
    </w:p>
    <w:p>
      <w:pPr>
        <w:pStyle w:val="ListParagraph"/>
        <w:numPr>
          <w:ilvl w:val="0"/>
          <w:numId w:val="2"/>
        </w:numPr>
        <w:spacing w:after="90" w:line="280"/>
      </w:pPr>
      <w:r>
        <w:rPr>
          <w:color w:val="1A1A1A"/>
          <w:sz w:val="22"/>
          <w:szCs w:val="22"/>
        </w:rPr>
        <w:t xml:space="preserve">Consolidate raw, inconsistently labeled product data into a clean, analysis-ready form.</w:t>
      </w:r>
    </w:p>
    <w:p>
      <w:pPr>
        <w:pStyle w:val="ListParagraph"/>
        <w:numPr>
          <w:ilvl w:val="0"/>
          <w:numId w:val="2"/>
        </w:numPr>
        <w:spacing w:after="90" w:line="280"/>
      </w:pPr>
      <w:r>
        <w:rPr>
          <w:color w:val="1A1A1A"/>
          <w:sz w:val="22"/>
          <w:szCs w:val="22"/>
        </w:rPr>
        <w:t xml:space="preserve">Establish top-line KPIs — total sales, average sales, item count, and average customer rating.</w:t>
      </w:r>
    </w:p>
    <w:p>
      <w:pPr>
        <w:pStyle w:val="ListParagraph"/>
        <w:numPr>
          <w:ilvl w:val="0"/>
          <w:numId w:val="2"/>
        </w:numPr>
        <w:spacing w:after="90" w:line="280"/>
      </w:pPr>
      <w:r>
        <w:rPr>
          <w:color w:val="1A1A1A"/>
          <w:sz w:val="22"/>
          <w:szCs w:val="22"/>
        </w:rPr>
        <w:t xml:space="preserve">Break down sales performance by product attributes (fat content, item type) and outlet attributes (establishment year, size, location type, outlet type).</w:t>
      </w:r>
    </w:p>
    <w:p>
      <w:pPr>
        <w:pStyle w:val="ListParagraph"/>
        <w:numPr>
          <w:ilvl w:val="0"/>
          <w:numId w:val="2"/>
        </w:numPr>
        <w:spacing w:after="90" w:line="280"/>
      </w:pPr>
      <w:r>
        <w:rPr>
          <w:color w:val="1A1A1A"/>
          <w:sz w:val="22"/>
          <w:szCs w:val="22"/>
        </w:rPr>
        <w:t xml:space="preserve">Identify which outlet formats and locations contribute the most revenue and where fat-content mix differs by geography.</w:t>
      </w:r>
    </w:p>
    <w:p>
      <w:pPr>
        <w:pStyle w:val="ListParagraph"/>
        <w:numPr>
          <w:ilvl w:val="0"/>
          <w:numId w:val="2"/>
        </w:numPr>
        <w:spacing w:after="90" w:line="280"/>
      </w:pPr>
      <w:r>
        <w:rPr>
          <w:color w:val="1A1A1A"/>
          <w:sz w:val="22"/>
          <w:szCs w:val="22"/>
        </w:rPr>
        <w:t xml:space="preserve">Produce a query set that is directly reusable as the backend for a dashboard or executive report.</w:t>
      </w:r>
    </w:p>
    <w:p>
      <w:pPr>
        <w:pStyle w:val="Heading1"/>
        <w:pBdr>
          <w:bottom w:val="single" w:color="1F7A54" w:sz="6"/>
        </w:pBdr>
        <w:spacing w:after="160" w:before="360"/>
      </w:pPr>
      <w:r>
        <w:rPr>
          <w:b/>
          <w:bCs/>
          <w:color w:val="1F7A54"/>
          <w:sz w:val="30"/>
          <w:szCs w:val="30"/>
        </w:rPr>
        <w:t xml:space="preserve">3. Dataset Overview</w:t>
      </w:r>
    </w:p>
    <w:p>
      <w:pPr>
        <w:spacing w:after="160" w:line="300"/>
      </w:pPr>
      <w:r>
        <w:rPr>
          <w:color w:val="1A1A1A"/>
          <w:sz w:val="22"/>
          <w:szCs w:val="22"/>
        </w:rPr>
        <w:t xml:space="preserve">The analysis runs against a single table, blinkit_data, which combines item-level and outlet-level attributes. Based on the fields referenced throughout the SQL script, the table includes: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640"/>
      </w:tblGrid>
      <w:tr>
        <w:tc>
          <w:tcPr>
            <w:tcW w:type="dxa" w:w="3200"/>
            <w:shd w:fill="1F7A54" w:val="clear"/>
            <w:tcMar>
              <w:top w:type="dxa" w:w="100"/>
              <w:left w:type="dxa" w:w="120"/>
              <w:bottom w:type="dxa" w:w="100"/>
              <w:right w:type="dxa" w:w="120"/>
            </w:tcMar>
            <w:vAlign w:val="center"/>
          </w:tcPr>
          <w:p>
            <w:r>
              <w:rPr>
                <w:b/>
                <w:bCs/>
                <w:color w:val="FFFFFF"/>
                <w:sz w:val="20"/>
                <w:szCs w:val="20"/>
              </w:rPr>
              <w:t xml:space="preserve">Field</w:t>
            </w:r>
          </w:p>
        </w:tc>
        <w:tc>
          <w:tcPr>
            <w:tcW w:type="dxa" w:w="6640"/>
            <w:shd w:fill="1F7A54" w:val="clear"/>
            <w:tcMar>
              <w:top w:type="dxa" w:w="100"/>
              <w:left w:type="dxa" w:w="120"/>
              <w:bottom w:type="dxa" w:w="100"/>
              <w:right w:type="dxa" w:w="120"/>
            </w:tcMar>
            <w:vAlign w:val="center"/>
          </w:tcPr>
          <w:p>
            <w:r>
              <w:rPr>
                <w:b/>
                <w:bCs/>
                <w:color w:val="FFFFFF"/>
                <w:sz w:val="20"/>
                <w:szCs w:val="20"/>
              </w:rPr>
              <w:t xml:space="preserve">Description</w:t>
            </w:r>
          </w:p>
        </w:tc>
      </w:tr>
      <w:tr>
        <w:tc>
          <w:tcPr>
            <w:tcW w:type="dxa" w:w="3200"/>
            <w:tcMar>
              <w:top w:type="dxa" w:w="100"/>
              <w:left w:type="dxa" w:w="120"/>
              <w:bottom w:type="dxa" w:w="100"/>
              <w:right w:type="dxa" w:w="120"/>
            </w:tcMar>
            <w:vAlign w:val="center"/>
          </w:tcPr>
          <w:p>
            <w:r>
              <w:rPr>
                <w:b w:val="false"/>
                <w:bCs w:val="false"/>
                <w:color w:val="1A1A1A"/>
                <w:sz w:val="20"/>
                <w:szCs w:val="20"/>
              </w:rPr>
              <w:t xml:space="preserve">Item_Fat_Content</w:t>
            </w:r>
          </w:p>
        </w:tc>
        <w:tc>
          <w:tcPr>
            <w:tcW w:type="dxa" w:w="6640"/>
            <w:tcMar>
              <w:top w:type="dxa" w:w="100"/>
              <w:left w:type="dxa" w:w="120"/>
              <w:bottom w:type="dxa" w:w="100"/>
              <w:right w:type="dxa" w:w="120"/>
            </w:tcMar>
            <w:vAlign w:val="center"/>
          </w:tcPr>
          <w:p>
            <w:r>
              <w:rPr>
                <w:b w:val="false"/>
                <w:bCs w:val="false"/>
                <w:color w:val="1A1A1A"/>
                <w:sz w:val="20"/>
                <w:szCs w:val="20"/>
              </w:rPr>
              <w:t xml:space="preserve">Fat classification of the product (raw values included inconsistent labels such as 'LF', 'low fat', 'reg')</w:t>
            </w:r>
          </w:p>
        </w:tc>
      </w:tr>
      <w:tr>
        <w:tc>
          <w:tcPr>
            <w:tcW w:type="dxa" w:w="3200"/>
            <w:shd w:fill="EAF5EF" w:val="clear"/>
            <w:tcMar>
              <w:top w:type="dxa" w:w="100"/>
              <w:left w:type="dxa" w:w="120"/>
              <w:bottom w:type="dxa" w:w="100"/>
              <w:right w:type="dxa" w:w="120"/>
            </w:tcMar>
            <w:vAlign w:val="center"/>
          </w:tcPr>
          <w:p>
            <w:r>
              <w:rPr>
                <w:b w:val="false"/>
                <w:bCs w:val="false"/>
                <w:color w:val="1A1A1A"/>
                <w:sz w:val="20"/>
                <w:szCs w:val="20"/>
              </w:rPr>
              <w:t xml:space="preserve">Item_Type</w:t>
            </w:r>
          </w:p>
        </w:tc>
        <w:tc>
          <w:tcPr>
            <w:tcW w:type="dxa" w:w="6640"/>
            <w:shd w:fill="EAF5EF" w:val="clear"/>
            <w:tcMar>
              <w:top w:type="dxa" w:w="100"/>
              <w:left w:type="dxa" w:w="120"/>
              <w:bottom w:type="dxa" w:w="100"/>
              <w:right w:type="dxa" w:w="120"/>
            </w:tcMar>
            <w:vAlign w:val="center"/>
          </w:tcPr>
          <w:p>
            <w:r>
              <w:rPr>
                <w:b w:val="false"/>
                <w:bCs w:val="false"/>
                <w:color w:val="1A1A1A"/>
                <w:sz w:val="20"/>
                <w:szCs w:val="20"/>
              </w:rPr>
              <w:t xml:space="preserve">Product category (e.g., Snacks, Dairy, Household, etc.)</w:t>
            </w:r>
          </w:p>
        </w:tc>
      </w:tr>
      <w:tr>
        <w:tc>
          <w:tcPr>
            <w:tcW w:type="dxa" w:w="3200"/>
            <w:tcMar>
              <w:top w:type="dxa" w:w="100"/>
              <w:left w:type="dxa" w:w="120"/>
              <w:bottom w:type="dxa" w:w="100"/>
              <w:right w:type="dxa" w:w="120"/>
            </w:tcMar>
            <w:vAlign w:val="center"/>
          </w:tcPr>
          <w:p>
            <w:r>
              <w:rPr>
                <w:b w:val="false"/>
                <w:bCs w:val="false"/>
                <w:color w:val="1A1A1A"/>
                <w:sz w:val="20"/>
                <w:szCs w:val="20"/>
              </w:rPr>
              <w:t xml:space="preserve">Sales</w:t>
            </w:r>
          </w:p>
        </w:tc>
        <w:tc>
          <w:tcPr>
            <w:tcW w:type="dxa" w:w="6640"/>
            <w:tcMar>
              <w:top w:type="dxa" w:w="100"/>
              <w:left w:type="dxa" w:w="120"/>
              <w:bottom w:type="dxa" w:w="100"/>
              <w:right w:type="dxa" w:w="120"/>
            </w:tcMar>
            <w:vAlign w:val="center"/>
          </w:tcPr>
          <w:p>
            <w:r>
              <w:rPr>
                <w:b w:val="false"/>
                <w:bCs w:val="false"/>
                <w:color w:val="1A1A1A"/>
                <w:sz w:val="20"/>
                <w:szCs w:val="20"/>
              </w:rPr>
              <w:t xml:space="preserve">Revenue generated by the item</w:t>
            </w:r>
          </w:p>
        </w:tc>
      </w:tr>
      <w:tr>
        <w:tc>
          <w:tcPr>
            <w:tcW w:type="dxa" w:w="3200"/>
            <w:shd w:fill="EAF5EF" w:val="clear"/>
            <w:tcMar>
              <w:top w:type="dxa" w:w="100"/>
              <w:left w:type="dxa" w:w="120"/>
              <w:bottom w:type="dxa" w:w="100"/>
              <w:right w:type="dxa" w:w="120"/>
            </w:tcMar>
            <w:vAlign w:val="center"/>
          </w:tcPr>
          <w:p>
            <w:r>
              <w:rPr>
                <w:b w:val="false"/>
                <w:bCs w:val="false"/>
                <w:color w:val="1A1A1A"/>
                <w:sz w:val="20"/>
                <w:szCs w:val="20"/>
              </w:rPr>
              <w:t xml:space="preserve">Rating</w:t>
            </w:r>
          </w:p>
        </w:tc>
        <w:tc>
          <w:tcPr>
            <w:tcW w:type="dxa" w:w="6640"/>
            <w:shd w:fill="EAF5EF" w:val="clear"/>
            <w:tcMar>
              <w:top w:type="dxa" w:w="100"/>
              <w:left w:type="dxa" w:w="120"/>
              <w:bottom w:type="dxa" w:w="100"/>
              <w:right w:type="dxa" w:w="120"/>
            </w:tcMar>
            <w:vAlign w:val="center"/>
          </w:tcPr>
          <w:p>
            <w:r>
              <w:rPr>
                <w:b w:val="false"/>
                <w:bCs w:val="false"/>
                <w:color w:val="1A1A1A"/>
                <w:sz w:val="20"/>
                <w:szCs w:val="20"/>
              </w:rPr>
              <w:t xml:space="preserve">Customer rating associated with the item/outlet</w:t>
            </w:r>
          </w:p>
        </w:tc>
      </w:tr>
      <w:tr>
        <w:tc>
          <w:tcPr>
            <w:tcW w:type="dxa" w:w="3200"/>
            <w:tcMar>
              <w:top w:type="dxa" w:w="100"/>
              <w:left w:type="dxa" w:w="120"/>
              <w:bottom w:type="dxa" w:w="100"/>
              <w:right w:type="dxa" w:w="120"/>
            </w:tcMar>
            <w:vAlign w:val="center"/>
          </w:tcPr>
          <w:p>
            <w:r>
              <w:rPr>
                <w:b w:val="false"/>
                <w:bCs w:val="false"/>
                <w:color w:val="1A1A1A"/>
                <w:sz w:val="20"/>
                <w:szCs w:val="20"/>
              </w:rPr>
              <w:t xml:space="preserve">Outlet_Establishment_Year</w:t>
            </w:r>
          </w:p>
        </w:tc>
        <w:tc>
          <w:tcPr>
            <w:tcW w:type="dxa" w:w="6640"/>
            <w:tcMar>
              <w:top w:type="dxa" w:w="100"/>
              <w:left w:type="dxa" w:w="120"/>
              <w:bottom w:type="dxa" w:w="100"/>
              <w:right w:type="dxa" w:w="120"/>
            </w:tcMar>
            <w:vAlign w:val="center"/>
          </w:tcPr>
          <w:p>
            <w:r>
              <w:rPr>
                <w:b w:val="false"/>
                <w:bCs w:val="false"/>
                <w:color w:val="1A1A1A"/>
                <w:sz w:val="20"/>
                <w:szCs w:val="20"/>
              </w:rPr>
              <w:t xml:space="preserve">Year the outlet was established</w:t>
            </w:r>
          </w:p>
        </w:tc>
      </w:tr>
      <w:tr>
        <w:tc>
          <w:tcPr>
            <w:tcW w:type="dxa" w:w="3200"/>
            <w:shd w:fill="EAF5EF" w:val="clear"/>
            <w:tcMar>
              <w:top w:type="dxa" w:w="100"/>
              <w:left w:type="dxa" w:w="120"/>
              <w:bottom w:type="dxa" w:w="100"/>
              <w:right w:type="dxa" w:w="120"/>
            </w:tcMar>
            <w:vAlign w:val="center"/>
          </w:tcPr>
          <w:p>
            <w:r>
              <w:rPr>
                <w:b w:val="false"/>
                <w:bCs w:val="false"/>
                <w:color w:val="1A1A1A"/>
                <w:sz w:val="20"/>
                <w:szCs w:val="20"/>
              </w:rPr>
              <w:t xml:space="preserve">Outlet_Size</w:t>
            </w:r>
          </w:p>
        </w:tc>
        <w:tc>
          <w:tcPr>
            <w:tcW w:type="dxa" w:w="6640"/>
            <w:shd w:fill="EAF5EF" w:val="clear"/>
            <w:tcMar>
              <w:top w:type="dxa" w:w="100"/>
              <w:left w:type="dxa" w:w="120"/>
              <w:bottom w:type="dxa" w:w="100"/>
              <w:right w:type="dxa" w:w="120"/>
            </w:tcMar>
            <w:vAlign w:val="center"/>
          </w:tcPr>
          <w:p>
            <w:r>
              <w:rPr>
                <w:b w:val="false"/>
                <w:bCs w:val="false"/>
                <w:color w:val="1A1A1A"/>
                <w:sz w:val="20"/>
                <w:szCs w:val="20"/>
              </w:rPr>
              <w:t xml:space="preserve">Size classification of the outlet (Small / Medium / High)</w:t>
            </w:r>
          </w:p>
        </w:tc>
      </w:tr>
      <w:tr>
        <w:tc>
          <w:tcPr>
            <w:tcW w:type="dxa" w:w="3200"/>
            <w:tcMar>
              <w:top w:type="dxa" w:w="100"/>
              <w:left w:type="dxa" w:w="120"/>
              <w:bottom w:type="dxa" w:w="100"/>
              <w:right w:type="dxa" w:w="120"/>
            </w:tcMar>
            <w:vAlign w:val="center"/>
          </w:tcPr>
          <w:p>
            <w:r>
              <w:rPr>
                <w:b w:val="false"/>
                <w:bCs w:val="false"/>
                <w:color w:val="1A1A1A"/>
                <w:sz w:val="20"/>
                <w:szCs w:val="20"/>
              </w:rPr>
              <w:t xml:space="preserve">Outlet_Location_Type</w:t>
            </w:r>
          </w:p>
        </w:tc>
        <w:tc>
          <w:tcPr>
            <w:tcW w:type="dxa" w:w="6640"/>
            <w:tcMar>
              <w:top w:type="dxa" w:w="100"/>
              <w:left w:type="dxa" w:w="120"/>
              <w:bottom w:type="dxa" w:w="100"/>
              <w:right w:type="dxa" w:w="120"/>
            </w:tcMar>
            <w:vAlign w:val="center"/>
          </w:tcPr>
          <w:p>
            <w:r>
              <w:rPr>
                <w:b w:val="false"/>
                <w:bCs w:val="false"/>
                <w:color w:val="1A1A1A"/>
                <w:sz w:val="20"/>
                <w:szCs w:val="20"/>
              </w:rPr>
              <w:t xml:space="preserve">Tier classification of the outlet's location (e.g., Tier 1/2/3)</w:t>
            </w:r>
          </w:p>
        </w:tc>
      </w:tr>
      <w:tr>
        <w:tc>
          <w:tcPr>
            <w:tcW w:type="dxa" w:w="3200"/>
            <w:shd w:fill="EAF5EF" w:val="clear"/>
            <w:tcMar>
              <w:top w:type="dxa" w:w="100"/>
              <w:left w:type="dxa" w:w="120"/>
              <w:bottom w:type="dxa" w:w="100"/>
              <w:right w:type="dxa" w:w="120"/>
            </w:tcMar>
            <w:vAlign w:val="center"/>
          </w:tcPr>
          <w:p>
            <w:r>
              <w:rPr>
                <w:b w:val="false"/>
                <w:bCs w:val="false"/>
                <w:color w:val="1A1A1A"/>
                <w:sz w:val="20"/>
                <w:szCs w:val="20"/>
              </w:rPr>
              <w:t xml:space="preserve">Outlet_Type</w:t>
            </w:r>
          </w:p>
        </w:tc>
        <w:tc>
          <w:tcPr>
            <w:tcW w:type="dxa" w:w="6640"/>
            <w:shd w:fill="EAF5EF" w:val="clear"/>
            <w:tcMar>
              <w:top w:type="dxa" w:w="100"/>
              <w:left w:type="dxa" w:w="120"/>
              <w:bottom w:type="dxa" w:w="100"/>
              <w:right w:type="dxa" w:w="120"/>
            </w:tcMar>
            <w:vAlign w:val="center"/>
          </w:tcPr>
          <w:p>
            <w:r>
              <w:rPr>
                <w:b w:val="false"/>
                <w:bCs w:val="false"/>
                <w:color w:val="1A1A1A"/>
                <w:sz w:val="20"/>
                <w:szCs w:val="20"/>
              </w:rPr>
              <w:t xml:space="preserve">Format of the outlet (e.g., Grocery Store, Supermarket Type1/2/3)</w:t>
            </w:r>
          </w:p>
        </w:tc>
      </w:tr>
    </w:tbl>
    <w:p>
      <w:pPr>
        <w:pStyle w:val="Heading1"/>
        <w:pBdr>
          <w:bottom w:val="single" w:color="1F7A54" w:sz="6"/>
        </w:pBdr>
        <w:spacing w:after="160" w:before="360"/>
      </w:pPr>
      <w:r>
        <w:rPr>
          <w:b/>
          <w:bCs/>
          <w:color w:val="1F7A54"/>
          <w:sz w:val="30"/>
          <w:szCs w:val="30"/>
        </w:rPr>
        <w:t xml:space="preserve">4. Tools &amp; Technologies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6240"/>
      </w:tblGrid>
      <w:tr>
        <w:tc>
          <w:tcPr>
            <w:tcW w:type="dxa" w:w="3600"/>
            <w:shd w:fill="1F7A54" w:val="clear"/>
            <w:tcMar>
              <w:top w:type="dxa" w:w="100"/>
              <w:left w:type="dxa" w:w="120"/>
              <w:bottom w:type="dxa" w:w="100"/>
              <w:right w:type="dxa" w:w="120"/>
            </w:tcMar>
            <w:vAlign w:val="center"/>
          </w:tcPr>
          <w:p>
            <w:r>
              <w:rPr>
                <w:b/>
                <w:bCs/>
                <w:color w:val="FFFFFF"/>
                <w:sz w:val="20"/>
                <w:szCs w:val="20"/>
              </w:rPr>
              <w:t xml:space="preserve">Tool</w:t>
            </w:r>
          </w:p>
        </w:tc>
        <w:tc>
          <w:tcPr>
            <w:tcW w:type="dxa" w:w="6240"/>
            <w:shd w:fill="1F7A54" w:val="clear"/>
            <w:tcMar>
              <w:top w:type="dxa" w:w="100"/>
              <w:left w:type="dxa" w:w="120"/>
              <w:bottom w:type="dxa" w:w="100"/>
              <w:right w:type="dxa" w:w="120"/>
            </w:tcMar>
            <w:vAlign w:val="center"/>
          </w:tcPr>
          <w:p>
            <w:r>
              <w:rPr>
                <w:b/>
                <w:bCs/>
                <w:color w:val="FFFFFF"/>
                <w:sz w:val="20"/>
                <w:szCs w:val="20"/>
              </w:rPr>
              <w:t xml:space="preserve">Purpose</w:t>
            </w:r>
          </w:p>
        </w:tc>
      </w:tr>
      <w:tr>
        <w:tc>
          <w:tcPr>
            <w:tcW w:type="dxa" w:w="3600"/>
            <w:tcMar>
              <w:top w:type="dxa" w:w="100"/>
              <w:left w:type="dxa" w:w="120"/>
              <w:bottom w:type="dxa" w:w="100"/>
              <w:right w:type="dxa" w:w="120"/>
            </w:tcMar>
            <w:vAlign w:val="center"/>
          </w:tcPr>
          <w:p>
            <w:r>
              <w:rPr>
                <w:b w:val="false"/>
                <w:bCs w:val="false"/>
                <w:color w:val="1A1A1A"/>
                <w:sz w:val="20"/>
                <w:szCs w:val="20"/>
              </w:rPr>
              <w:t xml:space="preserve">SQL Server (T-SQL)</w:t>
            </w:r>
          </w:p>
        </w:tc>
        <w:tc>
          <w:tcPr>
            <w:tcW w:type="dxa" w:w="6240"/>
            <w:tcMar>
              <w:top w:type="dxa" w:w="100"/>
              <w:left w:type="dxa" w:w="120"/>
              <w:bottom w:type="dxa" w:w="100"/>
              <w:right w:type="dxa" w:w="120"/>
            </w:tcMar>
            <w:vAlign w:val="center"/>
          </w:tcPr>
          <w:p>
            <w:r>
              <w:rPr>
                <w:b w:val="false"/>
                <w:bCs w:val="false"/>
                <w:color w:val="1A1A1A"/>
                <w:sz w:val="20"/>
                <w:szCs w:val="20"/>
              </w:rPr>
              <w:t xml:space="preserve">Data cleaning, aggregation, and KPI calculation</w:t>
            </w:r>
          </w:p>
        </w:tc>
      </w:tr>
      <w:tr>
        <w:tc>
          <w:tcPr>
            <w:tcW w:type="dxa" w:w="3600"/>
            <w:shd w:fill="EAF5EF" w:val="clear"/>
            <w:tcMar>
              <w:top w:type="dxa" w:w="100"/>
              <w:left w:type="dxa" w:w="120"/>
              <w:bottom w:type="dxa" w:w="100"/>
              <w:right w:type="dxa" w:w="120"/>
            </w:tcMar>
            <w:vAlign w:val="center"/>
          </w:tcPr>
          <w:p>
            <w:r>
              <w:rPr>
                <w:b w:val="false"/>
                <w:bCs w:val="false"/>
                <w:color w:val="1A1A1A"/>
                <w:sz w:val="20"/>
                <w:szCs w:val="20"/>
              </w:rPr>
              <w:t xml:space="preserve">CASE expressions</w:t>
            </w:r>
          </w:p>
        </w:tc>
        <w:tc>
          <w:tcPr>
            <w:tcW w:type="dxa" w:w="6240"/>
            <w:shd w:fill="EAF5EF" w:val="clear"/>
            <w:tcMar>
              <w:top w:type="dxa" w:w="100"/>
              <w:left w:type="dxa" w:w="120"/>
              <w:bottom w:type="dxa" w:w="100"/>
              <w:right w:type="dxa" w:w="120"/>
            </w:tcMar>
            <w:vAlign w:val="center"/>
          </w:tcPr>
          <w:p>
            <w:r>
              <w:rPr>
                <w:b w:val="false"/>
                <w:bCs w:val="false"/>
                <w:color w:val="1A1A1A"/>
                <w:sz w:val="20"/>
                <w:szCs w:val="20"/>
              </w:rPr>
              <w:t xml:space="preserve">Standardizing inconsistent categorical values</w:t>
            </w:r>
          </w:p>
        </w:tc>
      </w:tr>
      <w:tr>
        <w:tc>
          <w:tcPr>
            <w:tcW w:type="dxa" w:w="3600"/>
            <w:tcMar>
              <w:top w:type="dxa" w:w="100"/>
              <w:left w:type="dxa" w:w="120"/>
              <w:bottom w:type="dxa" w:w="100"/>
              <w:right w:type="dxa" w:w="120"/>
            </w:tcMar>
            <w:vAlign w:val="center"/>
          </w:tcPr>
          <w:p>
            <w:r>
              <w:rPr>
                <w:b w:val="false"/>
                <w:bCs w:val="false"/>
                <w:color w:val="1A1A1A"/>
                <w:sz w:val="20"/>
                <w:szCs w:val="20"/>
              </w:rPr>
              <w:t xml:space="preserve">Window functions (SUM ... OVER())</w:t>
            </w:r>
          </w:p>
        </w:tc>
        <w:tc>
          <w:tcPr>
            <w:tcW w:type="dxa" w:w="6240"/>
            <w:tcMar>
              <w:top w:type="dxa" w:w="100"/>
              <w:left w:type="dxa" w:w="120"/>
              <w:bottom w:type="dxa" w:w="100"/>
              <w:right w:type="dxa" w:w="120"/>
            </w:tcMar>
            <w:vAlign w:val="center"/>
          </w:tcPr>
          <w:p>
            <w:r>
              <w:rPr>
                <w:b w:val="false"/>
                <w:bCs w:val="false"/>
                <w:color w:val="1A1A1A"/>
                <w:sz w:val="20"/>
                <w:szCs w:val="20"/>
              </w:rPr>
              <w:t xml:space="preserve">Computing percentage-of-total contributions</w:t>
            </w:r>
          </w:p>
        </w:tc>
      </w:tr>
      <w:tr>
        <w:tc>
          <w:tcPr>
            <w:tcW w:type="dxa" w:w="3600"/>
            <w:shd w:fill="EAF5EF" w:val="clear"/>
            <w:tcMar>
              <w:top w:type="dxa" w:w="100"/>
              <w:left w:type="dxa" w:w="120"/>
              <w:bottom w:type="dxa" w:w="100"/>
              <w:right w:type="dxa" w:w="120"/>
            </w:tcMar>
            <w:vAlign w:val="center"/>
          </w:tcPr>
          <w:p>
            <w:r>
              <w:rPr>
                <w:b w:val="false"/>
                <w:bCs w:val="false"/>
                <w:color w:val="1A1A1A"/>
                <w:sz w:val="20"/>
                <w:szCs w:val="20"/>
              </w:rPr>
              <w:t xml:space="preserve">PIVOT</w:t>
            </w:r>
          </w:p>
        </w:tc>
        <w:tc>
          <w:tcPr>
            <w:tcW w:type="dxa" w:w="6240"/>
            <w:shd w:fill="EAF5EF" w:val="clear"/>
            <w:tcMar>
              <w:top w:type="dxa" w:w="100"/>
              <w:left w:type="dxa" w:w="120"/>
              <w:bottom w:type="dxa" w:w="100"/>
              <w:right w:type="dxa" w:w="120"/>
            </w:tcMar>
            <w:vAlign w:val="center"/>
          </w:tcPr>
          <w:p>
            <w:r>
              <w:rPr>
                <w:b w:val="false"/>
                <w:bCs w:val="false"/>
                <w:color w:val="1A1A1A"/>
                <w:sz w:val="20"/>
                <w:szCs w:val="20"/>
              </w:rPr>
              <w:t xml:space="preserve">Reshaping fat-content sales into a cross-tab by outlet location</w:t>
            </w:r>
          </w:p>
        </w:tc>
      </w:tr>
      <w:tr>
        <w:tc>
          <w:tcPr>
            <w:tcW w:type="dxa" w:w="3600"/>
            <w:tcMar>
              <w:top w:type="dxa" w:w="100"/>
              <w:left w:type="dxa" w:w="120"/>
              <w:bottom w:type="dxa" w:w="100"/>
              <w:right w:type="dxa" w:w="120"/>
            </w:tcMar>
            <w:vAlign w:val="center"/>
          </w:tcPr>
          <w:p>
            <w:r>
              <w:rPr>
                <w:b w:val="false"/>
                <w:bCs w:val="false"/>
                <w:color w:val="1A1A1A"/>
                <w:sz w:val="20"/>
                <w:szCs w:val="20"/>
              </w:rPr>
              <w:t xml:space="preserve">GROUP BY / aggregate functions</w:t>
            </w:r>
          </w:p>
        </w:tc>
        <w:tc>
          <w:tcPr>
            <w:tcW w:type="dxa" w:w="6240"/>
            <w:tcMar>
              <w:top w:type="dxa" w:w="100"/>
              <w:left w:type="dxa" w:w="120"/>
              <w:bottom w:type="dxa" w:w="100"/>
              <w:right w:type="dxa" w:w="120"/>
            </w:tcMar>
            <w:vAlign w:val="center"/>
          </w:tcPr>
          <w:p>
            <w:r>
              <w:rPr>
                <w:b w:val="false"/>
                <w:bCs w:val="false"/>
                <w:color w:val="1A1A1A"/>
                <w:sz w:val="20"/>
                <w:szCs w:val="20"/>
              </w:rPr>
              <w:t xml:space="preserve">Rolling up sales, ratings, and item counts by dimension</w:t>
            </w:r>
          </w:p>
        </w:tc>
      </w:tr>
    </w:tbl>
    <w:p>
      <w:pPr>
        <w:pStyle w:val="Heading1"/>
        <w:pBdr>
          <w:bottom w:val="single" w:color="1F7A54" w:sz="6"/>
        </w:pBdr>
        <w:spacing w:after="160" w:before="360"/>
      </w:pPr>
      <w:r>
        <w:rPr>
          <w:b/>
          <w:bCs/>
          <w:color w:val="1F7A54"/>
          <w:sz w:val="30"/>
          <w:szCs w:val="30"/>
        </w:rPr>
        <w:t xml:space="preserve">5. Data Cleaning &amp; Preparation</w:t>
      </w:r>
    </w:p>
    <w:p>
      <w:pPr>
        <w:spacing w:after="160" w:line="300"/>
      </w:pPr>
      <w:r>
        <w:rPr>
          <w:color w:val="1A1A1A"/>
          <w:sz w:val="22"/>
          <w:szCs w:val="22"/>
        </w:rPr>
        <w:t xml:space="preserve">An initial inspection (SELECT DISTINCT Item_Fat_Content) revealed that the fat-content field contained duplicate categories caused by inconsistent data entry — for example 'LF' and 'low fat' both meaning 'Low Fat', and 'reg' meaning 'Regular'. Before any KPI could be trusted, this field was standardized using a CASE expression inside an UPDATE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4F4F4" w:val="clear"/>
            <w:tcMar>
              <w:top w:type="dxa" w:w="140"/>
              <w:left w:type="dxa" w:w="180"/>
              <w:bottom w:type="dxa" w:w="140"/>
              <w:right w:type="dxa" w:w="180"/>
            </w:tcMar>
          </w:tcPr>
          <w:p>
            <w:pPr>
              <w:spacing w:after="20"/>
            </w:pPr>
            <w:r>
              <w:rPr>
                <w:rFonts w:ascii="Consolas" w:cs="Consolas" w:eastAsia="Consolas" w:hAnsi="Consolas"/>
                <w:color w:val="222222"/>
                <w:sz w:val="19"/>
                <w:szCs w:val="19"/>
              </w:rPr>
              <w:t xml:space="preserve">UPDATE blinkit_data</w:t>
            </w:r>
          </w:p>
          <w:p>
            <w:pPr>
              <w:spacing w:after="20"/>
            </w:pPr>
            <w:r>
              <w:rPr>
                <w:rFonts w:ascii="Consolas" w:cs="Consolas" w:eastAsia="Consolas" w:hAnsi="Consolas"/>
                <w:color w:val="222222"/>
                <w:sz w:val="19"/>
                <w:szCs w:val="19"/>
              </w:rPr>
              <w:t xml:space="preserve">SET Item_Fat_Content =</w:t>
            </w:r>
          </w:p>
          <w:p>
            <w:pPr>
              <w:spacing w:after="20"/>
            </w:pPr>
            <w:r>
              <w:rPr>
                <w:rFonts w:ascii="Consolas" w:cs="Consolas" w:eastAsia="Consolas" w:hAnsi="Consolas"/>
                <w:color w:val="222222"/>
                <w:sz w:val="19"/>
                <w:szCs w:val="19"/>
              </w:rPr>
              <w:t xml:space="preserve">  CASE</w:t>
            </w:r>
          </w:p>
          <w:p>
            <w:pPr>
              <w:spacing w:after="20"/>
            </w:pPr>
            <w:r>
              <w:rPr>
                <w:rFonts w:ascii="Consolas" w:cs="Consolas" w:eastAsia="Consolas" w:hAnsi="Consolas"/>
                <w:color w:val="222222"/>
                <w:sz w:val="19"/>
                <w:szCs w:val="19"/>
              </w:rPr>
              <w:t xml:space="preserve">    WHEN Item_Fat_Content IN ('LF','low fat') THEN 'Low Fat'</w:t>
            </w:r>
          </w:p>
          <w:p>
            <w:pPr>
              <w:spacing w:after="20"/>
            </w:pPr>
            <w:r>
              <w:rPr>
                <w:rFonts w:ascii="Consolas" w:cs="Consolas" w:eastAsia="Consolas" w:hAnsi="Consolas"/>
                <w:color w:val="222222"/>
                <w:sz w:val="19"/>
                <w:szCs w:val="19"/>
              </w:rPr>
              <w:t xml:space="preserve">    WHEN Item_Fat_Content = 'reg' THEN 'Regular'</w:t>
            </w:r>
          </w:p>
          <w:p>
            <w:pPr>
              <w:spacing w:after="20"/>
            </w:pPr>
            <w:r>
              <w:rPr>
                <w:rFonts w:ascii="Consolas" w:cs="Consolas" w:eastAsia="Consolas" w:hAnsi="Consolas"/>
                <w:color w:val="222222"/>
                <w:sz w:val="19"/>
                <w:szCs w:val="19"/>
              </w:rPr>
              <w:t xml:space="preserve">    ELSE Item_Fat_Content</w:t>
            </w:r>
          </w:p>
          <w:p>
            <w:pPr>
              <w:spacing w:after="20"/>
            </w:pPr>
            <w:r>
              <w:rPr>
                <w:rFonts w:ascii="Consolas" w:cs="Consolas" w:eastAsia="Consolas" w:hAnsi="Consolas"/>
                <w:color w:val="222222"/>
                <w:sz w:val="19"/>
                <w:szCs w:val="19"/>
              </w:rPr>
              <w:t xml:space="preserve">  END;</w:t>
            </w:r>
          </w:p>
        </w:tc>
      </w:tr>
    </w:tbl>
    <w:p>
      <w:pPr>
        <w:spacing w:after="160" w:line="300"/>
      </w:pPr>
      <w:r>
        <w:rPr>
          <w:color w:val="1A1A1A"/>
          <w:sz w:val="22"/>
          <w:szCs w:val="22"/>
        </w:rPr>
        <w:t xml:space="preserve">This step is critical: without it, every downstream aggregation grouped by fat content (including the outlet-location pivot in Section 7.4) would fragment 'Low Fat' sales across three separate labels and understate the true category totals.</w:t>
      </w:r>
    </w:p>
    <w:p>
      <w:pPr>
        <w:pStyle w:val="Heading1"/>
        <w:pBdr>
          <w:bottom w:val="single" w:color="1F7A54" w:sz="6"/>
        </w:pBdr>
        <w:spacing w:after="160" w:before="360"/>
      </w:pPr>
      <w:r>
        <w:rPr>
          <w:b/>
          <w:bCs/>
          <w:color w:val="1F7A54"/>
          <w:sz w:val="30"/>
          <w:szCs w:val="30"/>
        </w:rPr>
        <w:t xml:space="preserve">6. Headline KPIs Computed</w:t>
      </w:r>
    </w:p>
    <w:p>
      <w:pPr>
        <w:spacing w:after="160" w:line="300"/>
      </w:pPr>
      <w:r>
        <w:rPr>
          <w:color w:val="1A1A1A"/>
          <w:sz w:val="22"/>
          <w:szCs w:val="22"/>
        </w:rPr>
        <w:t xml:space="preserve">Four top-line metrics summarize overall business performance and anchor every deeper breakdown that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00"/>
        <w:gridCol w:w="3940"/>
      </w:tblGrid>
      <w:tr>
        <w:tc>
          <w:tcPr>
            <w:tcW w:type="dxa" w:w="2600"/>
            <w:shd w:fill="1F7A54" w:val="clear"/>
            <w:tcMar>
              <w:top w:type="dxa" w:w="100"/>
              <w:left w:type="dxa" w:w="120"/>
              <w:bottom w:type="dxa" w:w="100"/>
              <w:right w:type="dxa" w:w="120"/>
            </w:tcMar>
            <w:vAlign w:val="center"/>
          </w:tcPr>
          <w:p>
            <w:r>
              <w:rPr>
                <w:b/>
                <w:bCs/>
                <w:color w:val="FFFFFF"/>
                <w:sz w:val="20"/>
                <w:szCs w:val="20"/>
              </w:rPr>
              <w:t xml:space="preserve">KPI</w:t>
            </w:r>
          </w:p>
        </w:tc>
        <w:tc>
          <w:tcPr>
            <w:tcW w:type="dxa" w:w="3300"/>
            <w:shd w:fill="1F7A54" w:val="clear"/>
            <w:tcMar>
              <w:top w:type="dxa" w:w="100"/>
              <w:left w:type="dxa" w:w="120"/>
              <w:bottom w:type="dxa" w:w="100"/>
              <w:right w:type="dxa" w:w="120"/>
            </w:tcMar>
            <w:vAlign w:val="center"/>
          </w:tcPr>
          <w:p>
            <w:r>
              <w:rPr>
                <w:b/>
                <w:bCs/>
                <w:color w:val="FFFFFF"/>
                <w:sz w:val="20"/>
                <w:szCs w:val="20"/>
              </w:rPr>
              <w:t xml:space="preserve">SQL Approach</w:t>
            </w:r>
          </w:p>
        </w:tc>
        <w:tc>
          <w:tcPr>
            <w:tcW w:type="dxa" w:w="3940"/>
            <w:shd w:fill="1F7A54" w:val="clear"/>
            <w:tcMar>
              <w:top w:type="dxa" w:w="100"/>
              <w:left w:type="dxa" w:w="120"/>
              <w:bottom w:type="dxa" w:w="100"/>
              <w:right w:type="dxa" w:w="120"/>
            </w:tcMar>
            <w:vAlign w:val="center"/>
          </w:tcPr>
          <w:p>
            <w:r>
              <w:rPr>
                <w:b/>
                <w:bCs/>
                <w:color w:val="FFFFFF"/>
                <w:sz w:val="20"/>
                <w:szCs w:val="20"/>
              </w:rPr>
              <w:t xml:space="preserve">Business Meaning</w:t>
            </w:r>
          </w:p>
        </w:tc>
      </w:tr>
      <w:tr>
        <w:tc>
          <w:tcPr>
            <w:tcW w:type="dxa" w:w="2600"/>
            <w:tcMar>
              <w:top w:type="dxa" w:w="100"/>
              <w:left w:type="dxa" w:w="120"/>
              <w:bottom w:type="dxa" w:w="100"/>
              <w:right w:type="dxa" w:w="120"/>
            </w:tcMar>
            <w:vAlign w:val="center"/>
          </w:tcPr>
          <w:p>
            <w:r>
              <w:rPr>
                <w:b w:val="false"/>
                <w:bCs w:val="false"/>
                <w:color w:val="1A1A1A"/>
                <w:sz w:val="20"/>
                <w:szCs w:val="20"/>
              </w:rPr>
              <w:t xml:space="preserve">Total Sales (₹ Millions)</w:t>
            </w:r>
          </w:p>
        </w:tc>
        <w:tc>
          <w:tcPr>
            <w:tcW w:type="dxa" w:w="3300"/>
            <w:tcMar>
              <w:top w:type="dxa" w:w="100"/>
              <w:left w:type="dxa" w:w="120"/>
              <w:bottom w:type="dxa" w:w="100"/>
              <w:right w:type="dxa" w:w="120"/>
            </w:tcMar>
            <w:vAlign w:val="center"/>
          </w:tcPr>
          <w:p>
            <w:r>
              <w:rPr>
                <w:b w:val="false"/>
                <w:bCs w:val="false"/>
                <w:color w:val="1A1A1A"/>
                <w:sz w:val="20"/>
                <w:szCs w:val="20"/>
              </w:rPr>
              <w:t xml:space="preserve">SUM(Sales) / 1,000,000, formatted with CONCAT</w:t>
            </w:r>
          </w:p>
        </w:tc>
        <w:tc>
          <w:tcPr>
            <w:tcW w:type="dxa" w:w="3940"/>
            <w:tcMar>
              <w:top w:type="dxa" w:w="100"/>
              <w:left w:type="dxa" w:w="120"/>
              <w:bottom w:type="dxa" w:w="100"/>
              <w:right w:type="dxa" w:w="120"/>
            </w:tcMar>
            <w:vAlign w:val="center"/>
          </w:tcPr>
          <w:p>
            <w:r>
              <w:rPr>
                <w:b w:val="false"/>
                <w:bCs w:val="false"/>
                <w:color w:val="1A1A1A"/>
                <w:sz w:val="20"/>
                <w:szCs w:val="20"/>
              </w:rPr>
              <w:t xml:space="preserve">Overall revenue scale of the business</w:t>
            </w:r>
          </w:p>
        </w:tc>
      </w:tr>
      <w:tr>
        <w:tc>
          <w:tcPr>
            <w:tcW w:type="dxa" w:w="2600"/>
            <w:shd w:fill="EAF5EF" w:val="clear"/>
            <w:tcMar>
              <w:top w:type="dxa" w:w="100"/>
              <w:left w:type="dxa" w:w="120"/>
              <w:bottom w:type="dxa" w:w="100"/>
              <w:right w:type="dxa" w:w="120"/>
            </w:tcMar>
            <w:vAlign w:val="center"/>
          </w:tcPr>
          <w:p>
            <w:r>
              <w:rPr>
                <w:b w:val="false"/>
                <w:bCs w:val="false"/>
                <w:color w:val="1A1A1A"/>
                <w:sz w:val="20"/>
                <w:szCs w:val="20"/>
              </w:rPr>
              <w:t xml:space="preserve">Average Sales per Item</w:t>
            </w:r>
          </w:p>
        </w:tc>
        <w:tc>
          <w:tcPr>
            <w:tcW w:type="dxa" w:w="3300"/>
            <w:shd w:fill="EAF5EF" w:val="clear"/>
            <w:tcMar>
              <w:top w:type="dxa" w:w="100"/>
              <w:left w:type="dxa" w:w="120"/>
              <w:bottom w:type="dxa" w:w="100"/>
              <w:right w:type="dxa" w:w="120"/>
            </w:tcMar>
            <w:vAlign w:val="center"/>
          </w:tcPr>
          <w:p>
            <w:r>
              <w:rPr>
                <w:b w:val="false"/>
                <w:bCs w:val="false"/>
                <w:color w:val="1A1A1A"/>
                <w:sz w:val="20"/>
                <w:szCs w:val="20"/>
              </w:rPr>
              <w:t xml:space="preserve">CAST(AVG(Sales) AS DECIMAL(10,1))</w:t>
            </w:r>
          </w:p>
        </w:tc>
        <w:tc>
          <w:tcPr>
            <w:tcW w:type="dxa" w:w="3940"/>
            <w:shd w:fill="EAF5EF" w:val="clear"/>
            <w:tcMar>
              <w:top w:type="dxa" w:w="100"/>
              <w:left w:type="dxa" w:w="120"/>
              <w:bottom w:type="dxa" w:w="100"/>
              <w:right w:type="dxa" w:w="120"/>
            </w:tcMar>
            <w:vAlign w:val="center"/>
          </w:tcPr>
          <w:p>
            <w:r>
              <w:rPr>
                <w:b w:val="false"/>
                <w:bCs w:val="false"/>
                <w:color w:val="1A1A1A"/>
                <w:sz w:val="20"/>
                <w:szCs w:val="20"/>
              </w:rPr>
              <w:t xml:space="preserve">Typical revenue contribution per line item</w:t>
            </w:r>
          </w:p>
        </w:tc>
      </w:tr>
      <w:tr>
        <w:tc>
          <w:tcPr>
            <w:tcW w:type="dxa" w:w="2600"/>
            <w:tcMar>
              <w:top w:type="dxa" w:w="100"/>
              <w:left w:type="dxa" w:w="120"/>
              <w:bottom w:type="dxa" w:w="100"/>
              <w:right w:type="dxa" w:w="120"/>
            </w:tcMar>
            <w:vAlign w:val="center"/>
          </w:tcPr>
          <w:p>
            <w:r>
              <w:rPr>
                <w:b w:val="false"/>
                <w:bCs w:val="false"/>
                <w:color w:val="1A1A1A"/>
                <w:sz w:val="20"/>
                <w:szCs w:val="20"/>
              </w:rPr>
              <w:t xml:space="preserve">Number of Items</w:t>
            </w:r>
          </w:p>
        </w:tc>
        <w:tc>
          <w:tcPr>
            <w:tcW w:type="dxa" w:w="3300"/>
            <w:tcMar>
              <w:top w:type="dxa" w:w="100"/>
              <w:left w:type="dxa" w:w="120"/>
              <w:bottom w:type="dxa" w:w="100"/>
              <w:right w:type="dxa" w:w="120"/>
            </w:tcMar>
            <w:vAlign w:val="center"/>
          </w:tcPr>
          <w:p>
            <w:r>
              <w:rPr>
                <w:b w:val="false"/>
                <w:bCs w:val="false"/>
                <w:color w:val="1A1A1A"/>
                <w:sz w:val="20"/>
                <w:szCs w:val="20"/>
              </w:rPr>
              <w:t xml:space="preserve">COUNT(*)</w:t>
            </w:r>
          </w:p>
        </w:tc>
        <w:tc>
          <w:tcPr>
            <w:tcW w:type="dxa" w:w="3940"/>
            <w:tcMar>
              <w:top w:type="dxa" w:w="100"/>
              <w:left w:type="dxa" w:w="120"/>
              <w:bottom w:type="dxa" w:w="100"/>
              <w:right w:type="dxa" w:w="120"/>
            </w:tcMar>
            <w:vAlign w:val="center"/>
          </w:tcPr>
          <w:p>
            <w:r>
              <w:rPr>
                <w:b w:val="false"/>
                <w:bCs w:val="false"/>
                <w:color w:val="1A1A1A"/>
                <w:sz w:val="20"/>
                <w:szCs w:val="20"/>
              </w:rPr>
              <w:t xml:space="preserve">Volume / size of the product catalog captured in the data</w:t>
            </w:r>
          </w:p>
        </w:tc>
      </w:tr>
      <w:tr>
        <w:tc>
          <w:tcPr>
            <w:tcW w:type="dxa" w:w="2600"/>
            <w:shd w:fill="EAF5EF" w:val="clear"/>
            <w:tcMar>
              <w:top w:type="dxa" w:w="100"/>
              <w:left w:type="dxa" w:w="120"/>
              <w:bottom w:type="dxa" w:w="100"/>
              <w:right w:type="dxa" w:w="120"/>
            </w:tcMar>
            <w:vAlign w:val="center"/>
          </w:tcPr>
          <w:p>
            <w:r>
              <w:rPr>
                <w:b w:val="false"/>
                <w:bCs w:val="false"/>
                <w:color w:val="1A1A1A"/>
                <w:sz w:val="20"/>
                <w:szCs w:val="20"/>
              </w:rPr>
              <w:t xml:space="preserve">Average Rating</w:t>
            </w:r>
          </w:p>
        </w:tc>
        <w:tc>
          <w:tcPr>
            <w:tcW w:type="dxa" w:w="3300"/>
            <w:shd w:fill="EAF5EF" w:val="clear"/>
            <w:tcMar>
              <w:top w:type="dxa" w:w="100"/>
              <w:left w:type="dxa" w:w="120"/>
              <w:bottom w:type="dxa" w:w="100"/>
              <w:right w:type="dxa" w:w="120"/>
            </w:tcMar>
            <w:vAlign w:val="center"/>
          </w:tcPr>
          <w:p>
            <w:r>
              <w:rPr>
                <w:b w:val="false"/>
                <w:bCs w:val="false"/>
                <w:color w:val="1A1A1A"/>
                <w:sz w:val="20"/>
                <w:szCs w:val="20"/>
              </w:rPr>
              <w:t xml:space="preserve">ROUND(AVG(Rating), 2)</w:t>
            </w:r>
          </w:p>
        </w:tc>
        <w:tc>
          <w:tcPr>
            <w:tcW w:type="dxa" w:w="3940"/>
            <w:shd w:fill="EAF5EF" w:val="clear"/>
            <w:tcMar>
              <w:top w:type="dxa" w:w="100"/>
              <w:left w:type="dxa" w:w="120"/>
              <w:bottom w:type="dxa" w:w="100"/>
              <w:right w:type="dxa" w:w="120"/>
            </w:tcMar>
            <w:vAlign w:val="center"/>
          </w:tcPr>
          <w:p>
            <w:r>
              <w:rPr>
                <w:b w:val="false"/>
                <w:bCs w:val="false"/>
                <w:color w:val="1A1A1A"/>
                <w:sz w:val="20"/>
                <w:szCs w:val="20"/>
              </w:rPr>
              <w:t xml:space="preserve">Overall customer satisfaction signal</w:t>
            </w:r>
          </w:p>
        </w:tc>
      </w:tr>
    </w:tbl>
    <w:p>
      <w:pPr>
        <w:pStyle w:val="Heading1"/>
        <w:pBdr>
          <w:bottom w:val="single" w:color="1F7A54" w:sz="6"/>
        </w:pBdr>
        <w:spacing w:after="160" w:before="360"/>
      </w:pPr>
      <w:r>
        <w:rPr>
          <w:b/>
          <w:bCs/>
          <w:color w:val="1F7A54"/>
          <w:sz w:val="30"/>
          <w:szCs w:val="30"/>
        </w:rPr>
        <w:t xml:space="preserve">7. Detailed KPI Breakdown</w:t>
      </w:r>
    </w:p>
    <w:p>
      <w:pPr>
        <w:pStyle w:val="Heading2"/>
        <w:spacing w:after="120" w:before="260"/>
      </w:pPr>
      <w:r>
        <w:rPr>
          <w:b/>
          <w:bCs/>
          <w:color w:val="1A1A1A"/>
          <w:sz w:val="24"/>
          <w:szCs w:val="24"/>
        </w:rPr>
        <w:t xml:space="preserve">7.1 Sales by Fat Content (Outlets Established in 2022)</w:t>
      </w:r>
    </w:p>
    <w:p>
      <w:pPr>
        <w:spacing w:after="160" w:line="300"/>
      </w:pPr>
      <w:r>
        <w:rPr>
          <w:color w:val="1A1A1A"/>
          <w:sz w:val="22"/>
          <w:szCs w:val="22"/>
        </w:rPr>
        <w:t xml:space="preserve">Filtered to outlets established in 2022, this query groups the cleaned Item_Fat_Content field and reports total sales (in thousands), average sales, item count, and average rating per category. It answers whether health-oriented ('Low Fat') products are outperforming or underperforming 'Regular' products specifically among the newest outlet cohort.</w:t>
      </w:r>
    </w:p>
    <w:p>
      <w:pPr>
        <w:pStyle w:val="Heading2"/>
        <w:spacing w:after="120" w:before="260"/>
      </w:pPr>
      <w:r>
        <w:rPr>
          <w:b/>
          <w:bCs/>
          <w:color w:val="1A1A1A"/>
          <w:sz w:val="24"/>
          <w:szCs w:val="24"/>
        </w:rPr>
        <w:t xml:space="preserve">7.2 Top 5 Item Types by Total Sales</w:t>
      </w:r>
    </w:p>
    <w:p>
      <w:pPr>
        <w:spacing w:after="160" w:line="300"/>
      </w:pPr>
      <w:r>
        <w:rPr>
          <w:color w:val="1A1A1A"/>
          <w:sz w:val="22"/>
          <w:szCs w:val="22"/>
        </w:rPr>
        <w:t xml:space="preserve">Using SELECT TOP 5 ... ORDER BY total_sales DESC, this query ranks all product categories (Item_Type) by revenue contribution, alongside average sales, item count, and average rating. It identifies the categories that should be prioritized for inventory, promotions, and shelf space.</w:t>
      </w:r>
    </w:p>
    <w:p>
      <w:pPr>
        <w:pStyle w:val="Heading2"/>
        <w:spacing w:after="120" w:before="260"/>
      </w:pPr>
      <w:r>
        <w:rPr>
          <w:b/>
          <w:bCs/>
          <w:color w:val="1A1A1A"/>
          <w:sz w:val="24"/>
          <w:szCs w:val="24"/>
        </w:rPr>
        <w:t xml:space="preserve">7.3 Fat Content Contribution by Outlet Location</w:t>
      </w:r>
    </w:p>
    <w:p>
      <w:pPr>
        <w:spacing w:after="160" w:line="300"/>
      </w:pPr>
      <w:r>
        <w:rPr>
          <w:color w:val="1A1A1A"/>
          <w:sz w:val="22"/>
          <w:szCs w:val="22"/>
        </w:rPr>
        <w:t xml:space="preserve">Two complementary queries address this dimension. The first computes Low Fat, Regular, and Total sales per Outlet_Location_Type using conditional SUM(CASE WHEN ...) aggregation. The second achieves the same result using SQL Server's native PIVOT operator, transforming Item_Fat_Content values into columns. Together they show whether fat-content preference varies by location tier (e.g., Tier 1 vs. Tier 3 cities).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4F4F4" w:val="clear"/>
            <w:tcMar>
              <w:top w:type="dxa" w:w="140"/>
              <w:left w:type="dxa" w:w="180"/>
              <w:bottom w:type="dxa" w:w="140"/>
              <w:right w:type="dxa" w:w="180"/>
            </w:tcMar>
          </w:tcPr>
          <w:p>
            <w:pPr>
              <w:spacing w:after="20"/>
            </w:pPr>
            <w:r>
              <w:rPr>
                <w:rFonts w:ascii="Consolas" w:cs="Consolas" w:eastAsia="Consolas" w:hAnsi="Consolas"/>
                <w:color w:val="222222"/>
                <w:sz w:val="19"/>
                <w:szCs w:val="19"/>
              </w:rPr>
              <w:t xml:space="preserve">SELECT Outlet_Location_Type, Item_Fat_Content,</w:t>
            </w:r>
          </w:p>
          <w:p>
            <w:pPr>
              <w:spacing w:after="20"/>
            </w:pPr>
            <w:r>
              <w:rPr>
                <w:rFonts w:ascii="Consolas" w:cs="Consolas" w:eastAsia="Consolas" w:hAnsi="Consolas"/>
                <w:color w:val="222222"/>
                <w:sz w:val="19"/>
                <w:szCs w:val="19"/>
              </w:rPr>
              <w:t xml:space="preserve">       CAST(SUM(Sales) AS DECIMAL(10,2)) AS Total_Sales</w:t>
            </w:r>
          </w:p>
          <w:p>
            <w:pPr>
              <w:spacing w:after="20"/>
            </w:pPr>
            <w:r>
              <w:rPr>
                <w:rFonts w:ascii="Consolas" w:cs="Consolas" w:eastAsia="Consolas" w:hAnsi="Consolas"/>
                <w:color w:val="222222"/>
                <w:sz w:val="19"/>
                <w:szCs w:val="19"/>
              </w:rPr>
              <w:t xml:space="preserve">FROM blinkit_data</w:t>
            </w:r>
          </w:p>
          <w:p>
            <w:pPr>
              <w:spacing w:after="20"/>
            </w:pPr>
            <w:r>
              <w:rPr>
                <w:rFonts w:ascii="Consolas" w:cs="Consolas" w:eastAsia="Consolas" w:hAnsi="Consolas"/>
                <w:color w:val="222222"/>
                <w:sz w:val="19"/>
                <w:szCs w:val="19"/>
              </w:rPr>
              <w:t xml:space="preserve">GROUP BY Outlet_Location_Type, Item_Fat_Content</w:t>
            </w:r>
          </w:p>
          <w:p>
            <w:pPr>
              <w:spacing w:after="20"/>
            </w:pPr>
            <w:r>
              <w:rPr>
                <w:rFonts w:ascii="Consolas" w:cs="Consolas" w:eastAsia="Consolas" w:hAnsi="Consolas"/>
                <w:color w:val="222222"/>
                <w:sz w:val="19"/>
                <w:szCs w:val="19"/>
              </w:rPr>
              <w:t xml:space="preserve">PIVOT ( SUM(Total_Sales) FOR Item_Fat_Content</w:t>
            </w:r>
          </w:p>
          <w:p>
            <w:pPr>
              <w:spacing w:after="20"/>
            </w:pPr>
            <w:r>
              <w:rPr>
                <w:rFonts w:ascii="Consolas" w:cs="Consolas" w:eastAsia="Consolas" w:hAnsi="Consolas"/>
                <w:color w:val="222222"/>
                <w:sz w:val="19"/>
                <w:szCs w:val="19"/>
              </w:rPr>
              <w:t xml:space="preserve">        IN ([Low Fat], [Regular]) ) AS PivotTable</w:t>
            </w:r>
          </w:p>
        </w:tc>
      </w:tr>
    </w:tbl>
    <w:p>
      <w:pPr>
        <w:pStyle w:val="Heading2"/>
        <w:spacing w:after="120" w:before="260"/>
      </w:pPr>
      <w:r>
        <w:rPr>
          <w:b/>
          <w:bCs/>
          <w:color w:val="1A1A1A"/>
          <w:sz w:val="24"/>
          <w:szCs w:val="24"/>
        </w:rPr>
        <w:t xml:space="preserve">7.4 Sales by Outlet Establishment Year</w:t>
      </w:r>
    </w:p>
    <w:p>
      <w:pPr>
        <w:spacing w:after="160" w:line="300"/>
      </w:pPr>
      <w:r>
        <w:rPr>
          <w:color w:val="1A1A1A"/>
          <w:sz w:val="22"/>
          <w:szCs w:val="22"/>
        </w:rPr>
        <w:t xml:space="preserve">Grouping by Outlet_Establishment_Year surfaces total sales, average sales, item count, and average rating per founding year, allowing the business to see whether older or newer outlets are the stronger revenue contributors — a useful signal for expansion planning.</w:t>
      </w:r>
    </w:p>
    <w:p>
      <w:pPr>
        <w:pStyle w:val="Heading2"/>
        <w:spacing w:after="120" w:before="260"/>
      </w:pPr>
      <w:r>
        <w:rPr>
          <w:b/>
          <w:bCs/>
          <w:color w:val="1A1A1A"/>
          <w:sz w:val="24"/>
          <w:szCs w:val="24"/>
        </w:rPr>
        <w:t xml:space="preserve">7.5 Sales Share by Outlet Size</w:t>
      </w:r>
    </w:p>
    <w:p>
      <w:pPr>
        <w:spacing w:after="160" w:line="300"/>
      </w:pPr>
      <w:r>
        <w:rPr>
          <w:color w:val="1A1A1A"/>
          <w:sz w:val="22"/>
          <w:szCs w:val="22"/>
        </w:rPr>
        <w:t xml:space="preserve">This query uses a window function, SUM(SUM(Sales)) OVER(), to calculate each Outlet_Size category's percentage share of total company-wide sales in a single pass, avoiding a self-join or subquery for the grand total.</w:t>
      </w:r>
    </w:p>
    <w:p>
      <w:pPr>
        <w:pStyle w:val="Heading2"/>
        <w:spacing w:after="120" w:before="260"/>
      </w:pPr>
      <w:r>
        <w:rPr>
          <w:b/>
          <w:bCs/>
          <w:color w:val="1A1A1A"/>
          <w:sz w:val="24"/>
          <w:szCs w:val="24"/>
        </w:rPr>
        <w:t xml:space="preserve">7.6 Sales by Outlet Location Type</w:t>
      </w:r>
    </w:p>
    <w:p>
      <w:pPr>
        <w:spacing w:after="160" w:line="300"/>
      </w:pPr>
      <w:r>
        <w:rPr>
          <w:color w:val="1A1A1A"/>
          <w:sz w:val="22"/>
          <w:szCs w:val="22"/>
        </w:rPr>
        <w:t xml:space="preserve">A fuller version of the location breakdown adds sales-percent share, average sales, item count, and average rating on top of the raw total, giving a complete performance profile per location tier.</w:t>
      </w:r>
    </w:p>
    <w:p>
      <w:pPr>
        <w:pStyle w:val="Heading2"/>
        <w:spacing w:after="120" w:before="260"/>
      </w:pPr>
      <w:r>
        <w:rPr>
          <w:b/>
          <w:bCs/>
          <w:color w:val="1A1A1A"/>
          <w:sz w:val="24"/>
          <w:szCs w:val="24"/>
        </w:rPr>
        <w:t xml:space="preserve">7.7 All Metrics by Outlet Type</w:t>
      </w:r>
    </w:p>
    <w:p>
      <w:pPr>
        <w:spacing w:after="160" w:line="300"/>
      </w:pPr>
      <w:r>
        <w:rPr>
          <w:color w:val="1A1A1A"/>
          <w:sz w:val="22"/>
          <w:szCs w:val="22"/>
        </w:rPr>
        <w:t xml:space="preserve">The final and most comprehensive query rolls every KPI (total sales, sales share, average sales, item count, average rating) up by Outlet_Type — e.g., Grocery Store vs. Supermarket Type 1/2/3 — making it the single best query for comparing outlet formats head-to-head.</w:t>
      </w:r>
    </w:p>
    <w:p>
      <w:pPr>
        <w:pStyle w:val="Heading1"/>
        <w:pBdr>
          <w:bottom w:val="single" w:color="1F7A54" w:sz="6"/>
        </w:pBdr>
        <w:spacing w:after="160" w:before="360"/>
      </w:pPr>
      <w:r>
        <w:rPr>
          <w:b/>
          <w:bCs/>
          <w:color w:val="1F7A54"/>
          <w:sz w:val="30"/>
          <w:szCs w:val="30"/>
        </w:rPr>
        <w:t xml:space="preserve">8. Key SQL Techniques Demonstrated</w:t>
      </w:r>
    </w:p>
    <w:p>
      <w:pPr>
        <w:pStyle w:val="ListParagraph"/>
        <w:numPr>
          <w:ilvl w:val="0"/>
          <w:numId w:val="2"/>
        </w:numPr>
        <w:spacing w:after="90" w:line="280"/>
      </w:pPr>
      <w:r>
        <w:rPr>
          <w:color w:val="1A1A1A"/>
          <w:sz w:val="22"/>
          <w:szCs w:val="22"/>
        </w:rPr>
        <w:t xml:space="preserve">Data standardization with CASE inside UPDATE statements.</w:t>
      </w:r>
    </w:p>
    <w:p>
      <w:pPr>
        <w:pStyle w:val="ListParagraph"/>
        <w:numPr>
          <w:ilvl w:val="0"/>
          <w:numId w:val="2"/>
        </w:numPr>
        <w:spacing w:after="90" w:line="280"/>
      </w:pPr>
      <w:r>
        <w:rPr>
          <w:color w:val="1A1A1A"/>
          <w:sz w:val="22"/>
          <w:szCs w:val="22"/>
        </w:rPr>
        <w:t xml:space="preserve">Aggregate functions: SUM, AVG, COUNT combined with ROUND and CAST for presentation-ready output.</w:t>
      </w:r>
    </w:p>
    <w:p>
      <w:pPr>
        <w:pStyle w:val="ListParagraph"/>
        <w:numPr>
          <w:ilvl w:val="0"/>
          <w:numId w:val="2"/>
        </w:numPr>
        <w:spacing w:after="90" w:line="280"/>
      </w:pPr>
      <w:r>
        <w:rPr>
          <w:color w:val="1A1A1A"/>
          <w:sz w:val="22"/>
          <w:szCs w:val="22"/>
        </w:rPr>
        <w:t xml:space="preserve">String formatting with CONCAT to produce human-readable labels (e.g., 'Million', 'K').</w:t>
      </w:r>
    </w:p>
    <w:p>
      <w:pPr>
        <w:pStyle w:val="ListParagraph"/>
        <w:numPr>
          <w:ilvl w:val="0"/>
          <w:numId w:val="2"/>
        </w:numPr>
        <w:spacing w:after="90" w:line="280"/>
      </w:pPr>
      <w:r>
        <w:rPr>
          <w:color w:val="1A1A1A"/>
          <w:sz w:val="22"/>
          <w:szCs w:val="22"/>
        </w:rPr>
        <w:t xml:space="preserve">Window functions (SUM(...) OVER()) to compute percentage-of-total without a separate subquery.</w:t>
      </w:r>
    </w:p>
    <w:p>
      <w:pPr>
        <w:pStyle w:val="ListParagraph"/>
        <w:numPr>
          <w:ilvl w:val="0"/>
          <w:numId w:val="2"/>
        </w:numPr>
        <w:spacing w:after="90" w:line="280"/>
      </w:pPr>
      <w:r>
        <w:rPr>
          <w:color w:val="1A1A1A"/>
          <w:sz w:val="22"/>
          <w:szCs w:val="22"/>
        </w:rPr>
        <w:t xml:space="preserve">Conditional aggregation with SUM(CASE WHEN ...) to unpivot logic manually.</w:t>
      </w:r>
    </w:p>
    <w:p>
      <w:pPr>
        <w:pStyle w:val="ListParagraph"/>
        <w:numPr>
          <w:ilvl w:val="0"/>
          <w:numId w:val="2"/>
        </w:numPr>
        <w:spacing w:after="90" w:line="280"/>
      </w:pPr>
      <w:r>
        <w:rPr>
          <w:color w:val="1A1A1A"/>
          <w:sz w:val="22"/>
          <w:szCs w:val="22"/>
        </w:rPr>
        <w:t xml:space="preserve">The native PIVOT operator to reshape rows into columns.</w:t>
      </w:r>
    </w:p>
    <w:p>
      <w:pPr>
        <w:pStyle w:val="ListParagraph"/>
        <w:numPr>
          <w:ilvl w:val="0"/>
          <w:numId w:val="2"/>
        </w:numPr>
        <w:spacing w:after="90" w:line="280"/>
      </w:pPr>
      <w:r>
        <w:rPr>
          <w:color w:val="1A1A1A"/>
          <w:sz w:val="22"/>
          <w:szCs w:val="22"/>
        </w:rPr>
        <w:t xml:space="preserve">TOP N with ORDER BY for ranked category analysis.</w:t>
      </w:r>
    </w:p>
    <w:p>
      <w:pPr>
        <w:pStyle w:val="Heading1"/>
        <w:pBdr>
          <w:bottom w:val="single" w:color="1F7A54" w:sz="6"/>
        </w:pBdr>
        <w:spacing w:after="160" w:before="360"/>
      </w:pPr>
      <w:r>
        <w:rPr>
          <w:b/>
          <w:bCs/>
          <w:color w:val="1F7A54"/>
          <w:sz w:val="30"/>
          <w:szCs w:val="30"/>
        </w:rPr>
        <w:t xml:space="preserve">9. Business Insights &amp; Recommendations</w:t>
      </w:r>
    </w:p>
    <w:p>
      <w:pPr>
        <w:spacing w:after="160" w:line="300"/>
      </w:pPr>
      <w:r>
        <w:rPr>
          <w:color w:val="1A1A1A"/>
          <w:sz w:val="22"/>
          <w:szCs w:val="22"/>
        </w:rPr>
        <w:t xml:space="preserve">Because these are reporting queries rather than a static result set, the specific figures will change with each data refresh. The structure of the analysis, however, points to the following recommended actions once the queries are run against current data:</w:t>
      </w:r>
    </w:p>
    <w:p>
      <w:pPr>
        <w:pStyle w:val="ListParagraph"/>
        <w:numPr>
          <w:ilvl w:val="0"/>
          <w:numId w:val="2"/>
        </w:numPr>
        <w:spacing w:after="90" w:line="280"/>
      </w:pPr>
      <w:r>
        <w:rPr>
          <w:color w:val="1A1A1A"/>
          <w:sz w:val="22"/>
          <w:szCs w:val="22"/>
        </w:rPr>
        <w:t xml:space="preserve">Use the Item_Type ranking (7.2) to guide procurement and promotional focus toward the top revenue-generating categories.</w:t>
      </w:r>
    </w:p>
    <w:p>
      <w:pPr>
        <w:pStyle w:val="ListParagraph"/>
        <w:numPr>
          <w:ilvl w:val="0"/>
          <w:numId w:val="2"/>
        </w:numPr>
        <w:spacing w:after="90" w:line="280"/>
      </w:pPr>
      <w:r>
        <w:rPr>
          <w:color w:val="1A1A1A"/>
          <w:sz w:val="22"/>
          <w:szCs w:val="22"/>
        </w:rPr>
        <w:t xml:space="preserve">Compare Low Fat vs. Regular sales by location tier (7.3) to decide whether health-focused assortments should be expanded in specific city tiers.</w:t>
      </w:r>
    </w:p>
    <w:p>
      <w:pPr>
        <w:pStyle w:val="ListParagraph"/>
        <w:numPr>
          <w:ilvl w:val="0"/>
          <w:numId w:val="2"/>
        </w:numPr>
        <w:spacing w:after="90" w:line="280"/>
      </w:pPr>
      <w:r>
        <w:rPr>
          <w:color w:val="1A1A1A"/>
          <w:sz w:val="22"/>
          <w:szCs w:val="22"/>
        </w:rPr>
        <w:t xml:space="preserve">Cross-reference Outlet_Establishment_Year performance (7.4) against outlet age to inform whether new-store openings are ramping to expected sales levels.</w:t>
      </w:r>
    </w:p>
    <w:p>
      <w:pPr>
        <w:pStyle w:val="ListParagraph"/>
        <w:numPr>
          <w:ilvl w:val="0"/>
          <w:numId w:val="2"/>
        </w:numPr>
        <w:spacing w:after="90" w:line="280"/>
      </w:pPr>
      <w:r>
        <w:rPr>
          <w:color w:val="1A1A1A"/>
          <w:sz w:val="22"/>
          <w:szCs w:val="22"/>
        </w:rPr>
        <w:t xml:space="preserve">Use Outlet_Size and Outlet_Type sales share (7.5, 7.7) to prioritize which formats deserve continued investment versus format changes.</w:t>
      </w:r>
    </w:p>
    <w:p>
      <w:pPr>
        <w:pStyle w:val="ListParagraph"/>
        <w:numPr>
          <w:ilvl w:val="0"/>
          <w:numId w:val="2"/>
        </w:numPr>
        <w:spacing w:after="90" w:line="280"/>
      </w:pPr>
      <w:r>
        <w:rPr>
          <w:color w:val="1A1A1A"/>
          <w:sz w:val="22"/>
          <w:szCs w:val="22"/>
        </w:rPr>
        <w:t xml:space="preserve">Track average rating alongside sales in every breakdown — a segment with high sales but low rating is a retention risk worth investigating.</w:t>
      </w:r>
    </w:p>
    <w:p>
      <w:pPr>
        <w:pStyle w:val="Heading1"/>
        <w:pBdr>
          <w:bottom w:val="single" w:color="1F7A54" w:sz="6"/>
        </w:pBdr>
        <w:spacing w:after="160" w:before="360"/>
      </w:pPr>
      <w:r>
        <w:rPr>
          <w:b/>
          <w:bCs/>
          <w:color w:val="1F7A54"/>
          <w:sz w:val="30"/>
          <w:szCs w:val="30"/>
        </w:rPr>
        <w:t xml:space="preserve">10. Conclusion</w:t>
      </w:r>
    </w:p>
    <w:p>
      <w:pPr>
        <w:spacing w:after="160" w:line="300"/>
      </w:pPr>
      <w:r>
        <w:rPr>
          <w:color w:val="1A1A1A"/>
          <w:sz w:val="22"/>
          <w:szCs w:val="22"/>
        </w:rPr>
        <w:t xml:space="preserve">This SQL project delivers a clean, well-structured KPI framework for Blinkit's sales data — starting from raw data standardization through to outlet-level performance analysis. Because every metric is derived from a small set of parameterizable, well-commented queries, the same script can be re-run on updated data or connected directly to a BI tool to power a live sales dashboard, giving stakeholders a consistent, single source of truth for sales, ratings, and outlet performance.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5B5B"/>
        <w:sz w:val="16"/>
        <w:szCs w:val="16"/>
      </w:rPr>
      <w:t xml:space="preserve">Page </w:t>
    </w:r>
    <w:r>
      <w:rPr>
        <w:color w:val="5B5B5B"/>
        <w:sz w:val="16"/>
        <w:szCs w:val="16"/>
      </w:rPr>
      <w:fldChar w:fldCharType="begin"/>
      <w:instrText xml:space="preserve">PAGE</w:instrText>
      <w:fldChar w:fldCharType="separate"/>
      <w:fldChar w:fldCharType="end"/>
    </w:r>
    <w:r>
      <w:rPr>
        <w:color w:val="5B5B5B"/>
        <w:sz w:val="16"/>
        <w:szCs w:val="16"/>
      </w:rPr>
      <w:t xml:space="preserve"> of </w:t>
    </w:r>
    <w:r>
      <w:rPr>
        <w:color w:val="5B5B5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pBdr>
      <w:jc w:val="right"/>
    </w:pPr>
    <w:r>
      <w:rPr>
        <w:color w:val="5B5B5B"/>
        <w:sz w:val="16"/>
        <w:szCs w:val="16"/>
      </w:rPr>
      <w:t xml:space="preserve">Blinkit SQL KPI Analysis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2026-09-14T12:58:16.787Z</dcterms:created>
  <dcterms:modified xsi:type="dcterms:W3CDTF">2026-09-14T12:58:16.788Z</dcterms:modified>
</cp:coreProperties>
</file>

<file path=docProps/custom.xml><?xml version="1.0" encoding="utf-8"?>
<Properties xmlns="http://schemas.openxmlformats.org/officeDocument/2006/custom-properties" xmlns:vt="http://schemas.openxmlformats.org/officeDocument/2006/docPropsVTypes"/>
</file>