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6"/>
          <w:szCs w:val="36"/>
        </w:rPr>
        <w:t xml:space="preserve">E-Commerce Customer Churn Prediction</w:t>
      </w:r>
    </w:p>
    <w:p>
      <w:pPr>
        <w:spacing w:after="180"/>
      </w:pPr>
      <w:r>
        <w:rPr>
          <w:i/>
          <w:iCs/>
          <w:color w:val="E4572E"/>
          <w:sz w:val="20"/>
          <w:szCs w:val="20"/>
        </w:rPr>
        <w:t xml:space="preserve">Data Analysis &amp; Machine Learning Case Study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Analyzed 5,630 e-commerce customer records to identify churn drivers and built a Random Forest model that flags at-risk customers with 97% accuracy and 0.997 ROC-AUC — correctly catching 82% of customers who actually churned while keeping false alarms minimal (97% precision).</w:t>
      </w:r>
    </w:p>
    <w:p>
      <w:pPr>
        <w:pStyle w:val="Heading1"/>
        <w:spacing w:after="100" w:before="220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Cleaned data: imputed missing values (median, ~4.5% affected columns), verified no duplicates, and caught/fixed inconsistent category labels (e.g., “Mobile” vs “Mobile Phone”) that were silently splitting the churn signal.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Explored the data to find behavioral drivers of churn, using distribution plots and churn-rate breakdowns across both numeric and categorical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Engineered features (one-hot encoding, scaling) and built a stratified 80/20 train/test split to ensure honest evaluation on unseen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Trained and compared three models — Logistic Regression, Gradient Boosting, and Random Forest — using precision, recall, F1, and ROC-AUC rather than accuracy alone, since only 16.8% of customers in the dataset churned.</w:t>
      </w:r>
    </w:p>
    <w:p>
      <w:pPr>
        <w:pStyle w:val="Heading1"/>
        <w:spacing w:after="100" w:before="220"/>
      </w:pPr>
      <w:r>
        <w:t xml:space="preserve">Key Insight</w:t>
      </w:r>
    </w:p>
    <w:p>
      <w:pPr>
        <w:spacing w:after="120"/>
      </w:pPr>
      <w:r>
        <w:rPr>
          <w:sz w:val="20"/>
          <w:szCs w:val="20"/>
        </w:rPr>
        <w:t xml:space="preserve">Churn is overwhelmingly concentrated among new customers: churn risk peaks sharply near zero tenure and drops off within the first few months. Cashback amount, complaint history, and delivery distance are secondary but meaningful drivers — all confirmed independently by the model's own feature importances.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Churned customers cluster heavily at low tenure.</w:t>
      </w:r>
    </w:p>
    <w:p>
      <w:pPr>
        <w:pStyle w:val="Heading1"/>
        <w:spacing w:after="100" w:before="220"/>
      </w:pPr>
      <w:r>
        <w:t xml:space="preserve">Model Results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300"/>
        <w:gridCol w:w="1200"/>
        <w:gridCol w:w="14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</w:tr>
      <w:tr>
        <w:tc>
          <w:tcPr>
            <w:tcW w:type="dxa" w:w="26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15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3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2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400"/>
            <w:shd w:fill="EEF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0.944</w:t>
            </w:r>
          </w:p>
        </w:tc>
      </w:tr>
      <w:tr>
        <w:tc>
          <w:tcPr>
            <w:tcW w:type="dxa" w:w="2600"/>
            <w:shd w:fill="FBE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Random Forest (best)</w:t>
            </w:r>
          </w:p>
        </w:tc>
        <w:tc>
          <w:tcPr>
            <w:tcW w:type="dxa" w:w="1500"/>
            <w:shd w:fill="FBE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0.97</w:t>
            </w:r>
          </w:p>
        </w:tc>
        <w:tc>
          <w:tcPr>
            <w:tcW w:type="dxa" w:w="1300"/>
            <w:shd w:fill="FBE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0.82</w:t>
            </w:r>
          </w:p>
        </w:tc>
        <w:tc>
          <w:tcPr>
            <w:tcW w:type="dxa" w:w="1200"/>
            <w:shd w:fill="FBE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0.89</w:t>
            </w:r>
          </w:p>
        </w:tc>
        <w:tc>
          <w:tcPr>
            <w:tcW w:type="dxa" w:w="1400"/>
            <w:shd w:fill="FBE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0.997</w:t>
            </w:r>
          </w:p>
        </w:tc>
      </w:tr>
    </w:tbl>
    <w:p>
      <w:pPr>
        <w:pStyle w:val="Heading1"/>
        <w:spacing w:after="100" w:before="220"/>
      </w:pPr>
      <w:r>
        <w:t xml:space="preserve">Business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Concentrate retention efforts on the early customer lifecycle (onboarding, first-order follow-up), where churn risk is highest.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 targeted cashback/incentive offers for new or disengaging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Route customers with complaint history to proactive retention outreach.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Deploy the Random Forest model to score active customers periodically and prioritize the highest-risk segment for intervention.</w:t>
      </w: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Tools: Python · pandas · scikit-learn · seaborn/matplotlib · Jupyter Notebook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4" w:space="3"/>
      </w:pBdr>
      <w:spacing w:after="100" w:before="220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e61d57ea4fc995ccef726300a1938f6b4438a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2026-09-13T13:38:07.195Z</dcterms:created>
  <dcterms:modified xsi:type="dcterms:W3CDTF">2026-09-13T13:38:07.196Z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