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keepNext/>
        <w:spacing w:after="200"/>
        <w:jc w:val="center"/>
      </w:pPr>
      <w:r>
        <w:rPr>
          <w:rFonts w:ascii="Arial" w:hAnsi="Arial"/>
          <w:b/>
          <w:color w:val="181B1F"/>
          <w:sz w:val="36"/>
        </w:rPr>
        <w:t>Plato-Bio: verification-first biological novelty screening with temporal rediscovery and structural benchmarks</w:t>
      </w:r>
    </w:p>
    <w:p>
      <w:pPr>
        <w:spacing w:after="60"/>
        <w:jc w:val="center"/>
      </w:pPr>
      <w:r>
        <w:rPr>
          <w:rFonts w:ascii="Times New Roman" w:hAnsi="Times New Roman"/>
          <w:b/>
          <w:color w:val="181B1F"/>
          <w:sz w:val="22"/>
        </w:rPr>
        <w:t>Stefan Creadore¹</w:t>
      </w:r>
    </w:p>
    <w:p>
      <w:pPr>
        <w:spacing w:after="200"/>
        <w:jc w:val="center"/>
      </w:pPr>
      <w:r>
        <w:rPr>
          <w:rFonts w:ascii="Times New Roman" w:hAnsi="Times New Roman"/>
          <w:color w:val="181B1F"/>
          <w:sz w:val="22"/>
        </w:rPr>
        <w:t>¹ Eldergenix, United States</w:t>
      </w:r>
    </w:p>
    <w:p>
      <w:r>
        <w:rPr>
          <w:rFonts w:ascii="Times New Roman" w:hAnsi="Times New Roman"/>
          <w:b/>
          <w:color w:val="181B1F"/>
          <w:sz w:val="22"/>
        </w:rPr>
        <w:t>Correspondence:</w:t>
      </w:r>
      <w:r>
        <w:rPr>
          <w:rFonts w:ascii="Times New Roman" w:hAnsi="Times New Roman"/>
          <w:color w:val="181B1F"/>
          <w:sz w:val="22"/>
        </w:rPr>
        <w:t xml:space="preserve"> via the repository issue tracker at </w:t>
      </w:r>
      <w:r>
        <w:rPr>
          <w:rFonts w:ascii="Times New Roman" w:hAnsi="Times New Roman"/>
          <w:color w:val="1F4D78"/>
          <w:sz w:val="22"/>
          <w:u w:val="single"/>
        </w:rPr>
        <w:t>https://github.com/Eldergenix/Plato-Scientific-Research-Autonomous-Agent</w:t>
      </w:r>
    </w:p>
    <w:p>
      <w:pPr>
        <w:spacing w:after="40"/>
        <w:jc w:val="left"/>
      </w:pPr>
      <w:r>
        <w:rPr>
          <w:rFonts w:ascii="Times New Roman" w:hAnsi="Times New Roman"/>
          <w:b/>
          <w:color w:val="181B1F"/>
          <w:sz w:val="22"/>
        </w:rPr>
        <w:t>Article category:</w:t>
      </w:r>
      <w:r>
        <w:rPr>
          <w:rFonts w:ascii="Times New Roman" w:hAnsi="Times New Roman"/>
          <w:color w:val="181B1F"/>
          <w:sz w:val="22"/>
        </w:rPr>
        <w:t xml:space="preserve"> New Results</w:t>
      </w:r>
    </w:p>
    <w:p>
      <w:pPr>
        <w:spacing w:after="40"/>
        <w:jc w:val="left"/>
      </w:pPr>
      <w:r>
        <w:rPr>
          <w:rFonts w:ascii="Times New Roman" w:hAnsi="Times New Roman"/>
          <w:b/>
          <w:color w:val="181B1F"/>
          <w:sz w:val="22"/>
        </w:rPr>
        <w:t>bioRxiv subject area:</w:t>
      </w:r>
      <w:r>
        <w:rPr>
          <w:rFonts w:ascii="Times New Roman" w:hAnsi="Times New Roman"/>
          <w:color w:val="181B1F"/>
          <w:sz w:val="22"/>
        </w:rPr>
        <w:t xml:space="preserve"> Bioinformatics</w:t>
      </w:r>
    </w:p>
    <w:p>
      <w:pPr>
        <w:spacing w:after="40"/>
        <w:jc w:val="left"/>
      </w:pPr>
      <w:r>
        <w:rPr>
          <w:rFonts w:ascii="Times New Roman" w:hAnsi="Times New Roman"/>
          <w:b/>
          <w:color w:val="181B1F"/>
          <w:sz w:val="22"/>
        </w:rPr>
        <w:t>Keywords:</w:t>
      </w:r>
      <w:r>
        <w:rPr>
          <w:rFonts w:ascii="Times New Roman" w:hAnsi="Times New Roman"/>
          <w:color w:val="181B1F"/>
          <w:sz w:val="22"/>
        </w:rPr>
        <w:t xml:space="preserve"> scientific agents; bioinformatics; biological novelty; literature-based discovery; temporal rediscovery; reproducibility; AlphaFold</w:t>
      </w:r>
    </w:p>
    <w:p>
      <w:pPr>
        <w:pStyle w:val="Heading1"/>
      </w:pPr>
      <w:r>
        <w:t>Abstract</w:t>
      </w:r>
    </w:p>
    <w:p>
      <w:r>
        <w:rPr>
          <w:rFonts w:ascii="Times New Roman" w:hAnsi="Times New Roman"/>
          <w:color w:val="181B1F"/>
          <w:sz w:val="22"/>
        </w:rPr>
        <w:t>Large-language-model agents can connect literature retrieval, analysis code, and manuscript drafting, but a fluent output is not evidence that the underlying workflow is scientifically valid. We present Plato-Bio, a biology-routed, verification-first extension of the open Plato/Denario research-agent architecture. The system uses explicit state-machine orchestration for idea development, literature retrieval, method generation, computation, paper drafting, citation checking, claim-to-evidence linking, consistency checks, and bounded self-critique. Fork-specific controls include biology-aware retrieval, a typed genomics adapter registry, mixed claim/evidence sidecars, run manifests, scoped file writes, prompt-injection screening, and publication gates. We audited the implementation and repaired three measurement defects: biology tasks losing their domain at the default evaluation factory, declared method signals not being scored, and evidence sidecars omitting the drafted-claim denominator. After repair, the deterministic Python suite completed without failures; targeted biology, genomics, evidence/citation, and adversarial-safety suites also completed without failures. These counts verify software contracts, not scientific efficacy.</w:t>
      </w:r>
    </w:p>
    <w:p>
      <w:r>
        <w:rPr>
          <w:rFonts w:ascii="Times New Roman" w:hAnsi="Times New Roman"/>
          <w:color w:val="181B1F"/>
          <w:sz w:val="22"/>
        </w:rPr>
        <w:t>We then added a leakage-controlled temporal rediscovery component that requires two independent pre-cutoff A–B and B–C literature records, rejects direct pre-cutoff A–C prior art, preserves provenance, quarantines prompt-injection signals, and can abstain when evidence is insufficient. In a five-task synthetic engineering smoke, the evidence-aware condition ranked every planted target first, whereas frequency ranking placed no target first; these synthetic results validate plumbing only. In a separately frozen historical pilot, six PubMed records published before 1986 supported a blood-viscosity bridge between Raynaud phenomenon and fish oil. The evidence-aware and bridge-only conditions ranked the relation later evaluated in a 1989 controlled study first; TF–IDF ranked it second and frequency third. Because this is one manually curated historical task, it is evidence of retrospective ranking behavior, not prospective discovery.</w:t>
      </w:r>
    </w:p>
    <w:p>
      <w:r>
        <w:rPr>
          <w:rFonts w:ascii="Times New Roman" w:hAnsi="Times New Roman"/>
          <w:color w:val="181B1F"/>
          <w:sz w:val="22"/>
        </w:rPr>
        <w:t>We also expanded the structural panel from three globins to 15 human proteins spanning compact, multi-domain, conformationally variable, and solution-NMR examples. Eleven of 15 targets had high-confidence-core Cα RMSD below 1 Å (median 0.501 Å), while KRAS, TP53, estrogen receptor α, and SUMO1 exceeded 2 Å. Confidence-masked alignment reduced the SUMO1 discrepancy from 16.61 Å over the whole chain to 2.58 Å over 74 high-confidence residues, demonstrating why flexible regions and experimental modality must be separated from candidate novelty. The resulting 27 discrepancy regions are explicitly labeled unvalidated hypotheses. These results establish transparent benchmark and screening baselines, but not autonomous discovery, independent peer review, or biological truth.</w:t>
      </w:r>
    </w:p>
    <w:p>
      <w:pPr>
        <w:pStyle w:val="Heading1"/>
      </w:pPr>
      <w:r>
        <w:t>Introduction</w:t>
      </w:r>
    </w:p>
    <w:p>
      <w:r>
        <w:rPr>
          <w:rFonts w:ascii="Times New Roman" w:hAnsi="Times New Roman"/>
          <w:color w:val="181B1F"/>
          <w:sz w:val="22"/>
        </w:rPr>
        <w:t>Automation has long been used to make parts of scientific inference more explicit and repeatable. The Robot Scientist “Adam,” for example, coupled hypothesis generation, experimental planning, laboratory automation, and interpretation in functional genomics [1]. Recent language-model systems extend automation to literature review, code generation, experiment execution, and scientific writing. The AI Scientist [2], Agent Laboratory [3], and the Denario project [4] demonstrate broad agentic workflows that can generate or assemble research artifacts. These systems are valuable prototypes, but their ability to produce polished prose creates a risk: output quality can be mistaken for evidentiary quality.</w:t>
      </w:r>
    </w:p>
    <w:p>
      <w:r>
        <w:rPr>
          <w:rFonts w:ascii="Times New Roman" w:hAnsi="Times New Roman"/>
          <w:color w:val="181B1F"/>
          <w:sz w:val="22"/>
        </w:rPr>
        <w:t>This distinction is particularly important in computational biology. Biological analyses frequently depend on versioned reference assemblies, database accessions, coordinate conventions, chain or isoform mapping, statistical assumptions, and data-use conditions. A research agent must therefore preserve not only text but also the relationship between claims, sources, calculations, and executable artifacts. FAIR data principles similarly emphasize findability, accessibility, interoperability, and reuse as properties of scientific objects rather than rhetorical descriptions [5].</w:t>
      </w:r>
    </w:p>
    <w:p>
      <w:r>
        <w:rPr>
          <w:rFonts w:ascii="Times New Roman" w:hAnsi="Times New Roman"/>
          <w:color w:val="181B1F"/>
          <w:sz w:val="22"/>
        </w:rPr>
        <w:t>Plato is a maintained fork and extension of the open Denario/Plato codebase. The prior Denario preprint describes a broad multi-agent assistant and reports expert assessment of generated papers across several disciplines [4]. The present work is not a duplicate or renamed version of that manuscript. It focuses on fork-specific validation infrastructure, measurement defects discovered during a source-level audit, and a new, compact structural-biology case study whose inputs and outputs are shipped in the repository.</w:t>
      </w:r>
    </w:p>
    <w:p>
      <w:r>
        <w:rPr>
          <w:rFonts w:ascii="Times New Roman" w:hAnsi="Times New Roman"/>
          <w:color w:val="181B1F"/>
          <w:sz w:val="22"/>
        </w:rPr>
        <w:t>We make five contributions. First, we describe a biology-routed workflow in which literature sources, keyword extraction, execution defaults, and journal choices are represented by an explicit domain profile. Second, we document evidence and safety controls that create inspectable artifacts: citation-validation reports, claim/evidence matrices, scientific-consistency checks, and run manifests. Third, we repair and regression-test measurement defects that would otherwise distort evaluation. Fourth, we implement a frozen temporal rediscovery benchmark with explicit cutoffs, evidence bridges, abstention, baselines, and task-level uncertainty, aligning the evaluation design with ScienceAgentBench, BioDSA-1K, and BixBench [11–13]. Fifth, we expand the deterministic AlphaFold-to-experiment screen to 15 targets with source hashes, confidence-masked and whole-chain statistics, residue-level data, and hypothesis-only discrepancy regions. Our central claim remains narrow: the repository implements and tests these contracts and reproduces these benchmark cases. We do not infer autonomous scientific validity from them.</w:t>
      </w:r>
    </w:p>
    <w:p>
      <w:pPr>
        <w:pStyle w:val="Heading1"/>
      </w:pPr>
      <w:r>
        <w:t>Methods</w:t>
      </w:r>
    </w:p>
    <w:p>
      <w:pPr>
        <w:pStyle w:val="Heading2"/>
      </w:pPr>
      <w:r>
        <w:t>Study design and claim boundary</w:t>
      </w:r>
    </w:p>
    <w:p>
      <w:r>
        <w:rPr>
          <w:rFonts w:ascii="Times New Roman" w:hAnsi="Times New Roman"/>
          <w:color w:val="181B1F"/>
          <w:sz w:val="22"/>
        </w:rPr>
        <w:t xml:space="preserve">We conducted a source-level architecture audit, repaired measurement defects whose behavior contradicted documented contracts, ran deterministic validation suites, and executed two distinct evaluation lanes. The first is a frozen temporal rediscovery benchmark for literature-derived candidate ranking. The second is an AlphaFold-to-experiment structure screen. The original three-globin panel was retained, and a 15-target expansion was declared in </w:t>
      </w:r>
      <w:r>
        <w:rPr>
          <w:rFonts w:ascii="Courier New" w:hAnsi="Courier New"/>
          <w:color w:val="181B1F"/>
          <w:sz w:val="19"/>
        </w:rPr>
        <w:t>preprint/experiments/diverse_structure_panel.json</w:t>
      </w:r>
      <w:r>
        <w:rPr>
          <w:rFonts w:ascii="Times New Roman" w:hAnsi="Times New Roman"/>
          <w:color w:val="181B1F"/>
          <w:sz w:val="22"/>
        </w:rPr>
        <w:t xml:space="preserve"> before that run. Neither benchmark used an LLM or selected successful outputs after observing results.</w:t>
      </w:r>
    </w:p>
    <w:p>
      <w:r>
        <w:rPr>
          <w:rFonts w:ascii="Times New Roman" w:hAnsi="Times New Roman"/>
          <w:color w:val="181B1F"/>
          <w:sz w:val="22"/>
        </w:rPr>
        <w:t>Software tests were interpreted as contract verification only. A passing test indicates that an asserted behavior was observed in the test environment; it does not estimate biological accuracy, citation precision in open-ended use, or paper quality. Live provider tests requiring credentials or optional cloud services were reported as skipped rather than converted into successful or zero-valued scientific outcomes.</w:t>
      </w:r>
    </w:p>
    <w:p>
      <w:pPr>
        <w:pStyle w:val="Heading2"/>
      </w:pPr>
      <w:r>
        <w:t>System architecture</w:t>
      </w:r>
    </w:p>
    <w:p>
      <w:r>
        <w:rPr>
          <w:rFonts w:ascii="Times New Roman" w:hAnsi="Times New Roman"/>
          <w:color w:val="181B1F"/>
          <w:sz w:val="22"/>
        </w:rPr>
        <w:t>Plato represents the research process as explicit LangGraph state machines rather than a single monolithic prompt. The public workflow accepts a data description, develops an idea, produces a method, executes an analysis, and drafts a manuscript. The paper graph orders section drafting before citation validation, scientific consistency checks, claim extraction, evidence linking, reviewer-role critiques, aggregation, and a bounded redraft decision. The reviewer roles use the configured drafting model in the current implementation and are therefore self-critique roles, not independent reviewers.</w:t>
      </w:r>
    </w:p>
    <w:p>
      <w:r>
        <w:rPr>
          <w:rFonts w:ascii="Times New Roman" w:hAnsi="Times New Roman"/>
          <w:color w:val="181B1F"/>
          <w:sz w:val="22"/>
        </w:rPr>
        <w:t>The biology domain profile selects PubMed, Europe PMC, OpenAlex, Crossref, DOAJ, DataCite, OpenCitations, and Semantic Scholar as retrieval sources; MeSH-based keyword extraction; PubMed as the novelty corpus; and a local Jupyter executor by default. Optional genomics adapters prepare typed, permission-gated operations for GenomeKit, ZIPPY, Paragraph, ExpansionHunter Denovo, Gauchian, and Illumina Connected Analytics. Most adapters validate requirements and prepare external commands or requests; their presence does not imply that the external software or licensed data are locally installed.</w:t>
      </w:r>
    </w:p>
    <w:p>
      <w:pPr>
        <w:keepNext/>
        <w:jc w:val="center"/>
      </w:pPr>
      <w:r>
        <w:drawing>
          <wp:inline xmlns:a="http://schemas.openxmlformats.org/drawingml/2006/main" xmlns:pic="http://schemas.openxmlformats.org/drawingml/2006/picture">
            <wp:extent cx="5715000" cy="2881044"/>
            <wp:docPr id="1" name="Picture 1" descr="Figure 1. Plato-Bio architecture and verification boundaries." title="Figure 1"/>
            <wp:cNvGraphicFramePr>
              <a:graphicFrameLocks noChangeAspect="1"/>
            </wp:cNvGraphicFramePr>
            <a:graphic>
              <a:graphicData uri="http://schemas.openxmlformats.org/drawingml/2006/picture">
                <pic:pic>
                  <pic:nvPicPr>
                    <pic:cNvPr id="0" name="figure_1_architecture.png"/>
                    <pic:cNvPicPr/>
                  </pic:nvPicPr>
                  <pic:blipFill>
                    <a:blip r:embed="rId11"/>
                    <a:stretch>
                      <a:fillRect/>
                    </a:stretch>
                  </pic:blipFill>
                  <pic:spPr>
                    <a:xfrm>
                      <a:off x="0" y="0"/>
                      <a:ext cx="5715000" cy="2881044"/>
                    </a:xfrm>
                    <a:prstGeom prst="rect"/>
                  </pic:spPr>
                </pic:pic>
              </a:graphicData>
            </a:graphic>
          </wp:inline>
        </w:drawing>
      </w:r>
    </w:p>
    <w:p>
      <w:pPr>
        <w:pStyle w:val="Caption"/>
      </w:pPr>
      <w:r>
        <w:rPr>
          <w:rFonts w:ascii="Times New Roman" w:hAnsi="Times New Roman"/>
          <w:color w:val="181B1F"/>
          <w:sz w:val="22"/>
        </w:rPr>
        <w:t>Figure 1. Plato-Bio architecture and verification boundaries.</w:t>
      </w:r>
    </w:p>
    <w:p>
      <w:pPr>
        <w:pStyle w:val="Heading2"/>
      </w:pPr>
      <w:r>
        <w:t>Evidence, provenance, and publication controls</w:t>
      </w:r>
    </w:p>
    <w:p>
      <w:r>
        <w:rPr>
          <w:rFonts w:ascii="Times New Roman" w:hAnsi="Times New Roman"/>
          <w:color w:val="181B1F"/>
          <w:sz w:val="22"/>
        </w:rPr>
        <w:t>Retrieved material is screened and wrapped as external content before entering prompts. The citation node resolves structured references and writes a validation report. A configured publication gate requires references to be present and applies a validation threshold; the threshold is a policy setting, not an observed accuracy estimate. The scientific verifier checks for artifact presence, unsupported quantitative language, provenance language, and validation status. These checks are heuristic consistency controls, not independent re-execution of every analysis.</w:t>
      </w:r>
    </w:p>
    <w:p>
      <w:r>
        <w:rPr>
          <w:rFonts w:ascii="Times New Roman" w:hAnsi="Times New Roman"/>
          <w:color w:val="181B1F"/>
          <w:sz w:val="22"/>
        </w:rPr>
        <w:t>The claim/evidence stage distinguishes drafted claims from source-derived claims and classifies source relationships as supporting, refuting, neutral, or unclear. The corrected JSONL sidecar stores the drafted Claim rows and EvidenceLink rows in the same documented stream, preserving both the denominator and support links needed to calculate unsupported-claim rate. Run-manifest primitives record workflow, timestamps, domain, repository and project hashes, models, prompts, seeds, sources, token counts, and cost when those values are supplied by the calling path.</w:t>
      </w:r>
    </w:p>
    <w:p>
      <w:pPr>
        <w:pStyle w:val="Heading2"/>
      </w:pPr>
      <w:r>
        <w:t>Measurement-validity repairs</w:t>
      </w:r>
    </w:p>
    <w:p>
      <w:r>
        <w:rPr>
          <w:rFonts w:ascii="Times New Roman" w:hAnsi="Times New Roman"/>
          <w:color w:val="181B1F"/>
          <w:sz w:val="22"/>
        </w:rPr>
        <w:t>Three defects were treated as study-blocking because each could change an evaluation result without changing system behavior.</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The default evaluation factory constructed every task with Plato’s default astronomy profile. We changed the factory to pass </w:t>
      </w:r>
      <w:r>
        <w:rPr>
          <w:rFonts w:ascii="Courier New" w:hAnsi="Courier New"/>
          <w:color w:val="181B1F"/>
          <w:sz w:val="19"/>
        </w:rPr>
        <w:t>task.domain</w:t>
      </w:r>
      <w:r>
        <w:rPr>
          <w:rFonts w:ascii="Times New Roman" w:hAnsi="Times New Roman"/>
          <w:color w:val="181B1F"/>
          <w:sz w:val="22"/>
        </w:rPr>
        <w:t>, so the shipped protein task uses the biology profile.</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 xml:space="preserve">Golden tasks declared </w:t>
      </w:r>
      <w:r>
        <w:rPr>
          <w:rFonts w:ascii="Courier New" w:hAnsi="Courier New"/>
          <w:color w:val="181B1F"/>
          <w:sz w:val="19"/>
        </w:rPr>
        <w:t>expected_method_signals</w:t>
      </w:r>
      <w:r>
        <w:rPr>
          <w:rFonts w:ascii="Times New Roman" w:hAnsi="Times New Roman"/>
          <w:color w:val="181B1F"/>
          <w:sz w:val="22"/>
        </w:rPr>
        <w:t xml:space="preserve">, but the evaluator did not score them. We added </w:t>
      </w:r>
      <w:r>
        <w:rPr>
          <w:rFonts w:ascii="Courier New" w:hAnsi="Courier New"/>
          <w:color w:val="181B1F"/>
          <w:sz w:val="19"/>
        </w:rPr>
        <w:t>method_signal_recall</w:t>
      </w:r>
      <w:r>
        <w:rPr>
          <w:rFonts w:ascii="Times New Roman" w:hAnsi="Times New Roman"/>
          <w:color w:val="181B1F"/>
          <w:sz w:val="22"/>
        </w:rPr>
        <w:t>, calculated only from the method artifact, and included it in aggregate summaries.</w:t>
      </w:r>
    </w:p>
    <w:p>
      <w:pPr>
        <w:pStyle w:val="ListNumber"/>
        <w:numPr>
          <w:ilvl w:val="0"/>
          <w:numId w:val="10"/>
        </w:numPr>
      </w:pPr>
      <w:r>
        <w:rPr>
          <w:rFonts w:ascii="Times New Roman" w:hAnsi="Times New Roman"/>
          <w:color w:val="181B1F"/>
          <w:sz w:val="22"/>
        </w:rPr>
        <w:t xml:space="preserve"> </w:t>
      </w:r>
      <w:r>
        <w:rPr>
          <w:rFonts w:ascii="Times New Roman" w:hAnsi="Times New Roman"/>
          <w:color w:val="181B1F"/>
          <w:sz w:val="22"/>
        </w:rPr>
        <w:t>The evidence producer wrote only links while the evaluator and dashboard expected mixed claim/link rows. When no Claim rows were present, unsupported-claim rate defaulted to 0.0. We changed the producer to persist drafted claims before links, including when no source claims are available.</w:t>
      </w:r>
    </w:p>
    <w:p>
      <w:r>
        <w:rPr>
          <w:rFonts w:ascii="Times New Roman" w:hAnsi="Times New Roman"/>
          <w:color w:val="181B1F"/>
          <w:sz w:val="22"/>
        </w:rPr>
        <w:t>Each repair was covered by a failing regression test before the implementation change and then verified with the relevant targeted suites.</w:t>
      </w:r>
    </w:p>
    <w:p>
      <w:pPr>
        <w:pStyle w:val="Heading2"/>
      </w:pPr>
      <w:r>
        <w:t>Deterministic software validation</w:t>
      </w:r>
    </w:p>
    <w:p>
      <w:r>
        <w:rPr>
          <w:rFonts w:ascii="Times New Roman" w:hAnsi="Times New Roman"/>
          <w:color w:val="181B1F"/>
          <w:sz w:val="22"/>
        </w:rPr>
        <w:t xml:space="preserve">The repository-local script </w:t>
      </w:r>
      <w:r>
        <w:rPr>
          <w:rFonts w:ascii="Courier New" w:hAnsi="Courier New"/>
          <w:color w:val="181B1F"/>
          <w:sz w:val="19"/>
        </w:rPr>
        <w:t>preprint/experiments/run_software_validation.py</w:t>
      </w:r>
      <w:r>
        <w:rPr>
          <w:rFonts w:ascii="Times New Roman" w:hAnsi="Times New Roman"/>
          <w:color w:val="181B1F"/>
          <w:sz w:val="22"/>
        </w:rPr>
        <w:t xml:space="preserve"> ran five suites with the checked-in Python environment: biology-domain behavior, genomics adapters, evidence/citation controls, adversarial safety, and the complete Python test tree. It invoked pytest with JUnit XML output, parsed tests/failures/errors/skips, and wrote a JSON report containing the command, commit, platform, Python version, and timing. The targeted suites overlap with the full suite; their counts are presented to show control-specific coverage and must not be summed.</w:t>
      </w:r>
    </w:p>
    <w:p>
      <w:r>
        <w:rPr>
          <w:rFonts w:ascii="Times New Roman" w:hAnsi="Times New Roman"/>
          <w:color w:val="181B1F"/>
          <w:sz w:val="22"/>
        </w:rPr>
        <w:t>The complete suite includes unit, trajectory, safety, and opt-in integration tests. Skips correspond to missing optional SDKs or credentials for E2B, Modal, PostgreSQL, Hugging Face, and one platform-specific path case. No skipped integration was reported as validated.</w:t>
      </w:r>
    </w:p>
    <w:p>
      <w:pPr>
        <w:pStyle w:val="Heading2"/>
      </w:pPr>
      <w:r>
        <w:t>Benchmark alignment and external task catalog</w:t>
      </w:r>
    </w:p>
    <w:p>
      <w:r>
        <w:rPr>
          <w:rFonts w:ascii="Times New Roman" w:hAnsi="Times New Roman"/>
          <w:color w:val="181B1F"/>
          <w:sz w:val="22"/>
        </w:rPr>
        <w:t>We used current scientific-agent benchmarks as design constraints rather than treating generic text similarity as an efficacy measure. ScienceAgentBench uses 102 executable tasks from 44 peer-reviewed publications and expert validation; BioDSA-1K separates hypothesis decisions, evidence alignment, reasoning, executability, and non-verifiable cases; and BixBench emphasizes long, multi-step biological analysis with open-answer interpretation [11–13]. Plato-Bio therefore reports executable or machine-readable artifacts, explicit baselines and ablations, abstention, provenance, task-level metrics, and failure boundaries. We also pinned and hash-verified the public CompBioBench v1 task catalog. Its 100 tasks span epigenomics, genomics, machine learning, population genetics, single-cell, spatial, structure, and transcriptomics. This release imports task metadata only; it does not claim CompBioBench performance because the corresponding datasets and agent runs were not executed.</w:t>
      </w:r>
    </w:p>
    <w:p>
      <w:pPr>
        <w:pStyle w:val="Heading2"/>
      </w:pPr>
      <w:r>
        <w:t>Temporal rediscovery and evidence-bridge ranking</w:t>
      </w:r>
    </w:p>
    <w:p>
      <w:r>
        <w:rPr>
          <w:rFonts w:ascii="Times New Roman" w:hAnsi="Times New Roman"/>
          <w:color w:val="181B1F"/>
          <w:sz w:val="22"/>
        </w:rPr>
        <w:t>Each temporal task freezes an exact cutoff date, anchor concept A, candidate concepts C, a later validation publication, and pre-cutoff records with publication dates, identifiers, URLs, and manually declared concepts. Records dated on or after the cutoff cause a hard failure; missing dates also fail. Duplicate DOI/PMID records are collapsed, and records with prompt-injection signals are quarantined. A candidate can be labeled a temporally novel candidate only when no pre-cutoff record directly joins A and C and at least two different records form an A–B and B–C path. Direct A–C records are labeled known pre-cutoff; candidates without a bridge abstain as unsupported. These labels describe corpus state and do not assert biological truth.</w:t>
      </w:r>
    </w:p>
    <w:p>
      <w:r>
        <w:rPr>
          <w:rFonts w:ascii="Times New Roman" w:hAnsi="Times New Roman"/>
          <w:color w:val="181B1F"/>
          <w:sz w:val="22"/>
        </w:rPr>
        <w:t>Candidates were ranked under four declared conditions: corpus frequency, TF–IDF relevance, unweighted A–B/B–C bridge support, and an evidence-aware score. The evidence-aware condition combines normalized independent bridge pairs (0.45), TF–IDF relevance (0.25), source diversity (0.20), and provenance completeness (0.10), with a penalty of 1.0 for direct prior art. Primary endpoints were mean reciprocal rank, Recall@1, Recall@10, and false-novelty rate on known controls. Ninety-five percent intervals were computed with 10,000 task-level bootstrap resamples. Intervals from the one-task historical pilot are degenerate and are not population uncertainty estimates.</w:t>
      </w:r>
    </w:p>
    <w:p>
      <w:r>
        <w:rPr>
          <w:rFonts w:ascii="Times New Roman" w:hAnsi="Times New Roman"/>
          <w:color w:val="181B1F"/>
          <w:sz w:val="22"/>
        </w:rPr>
        <w:t>The engineering smoke contains five explicitly synthetic tasks and tests only measurement behavior. The historical pilot freezes six pre-1986 PubMed records plus a declared negative-control record. The bridge joins Raynaud phenomenon to blood viscosity through a 1976 report and fish oil to lower blood viscosity through a 1985 report [14,15]. The held-out validation is a 1989 double-blind controlled study of fish-oil supplementation in Raynaud phenomenon [16]. Nifedipine and prostaglandin E1 were included as known pre-cutoff controls because direct Raynaud-treatment records were already present. Record text in the fixture is concise curator-written paraphrase; PubMed identifiers and source URLs preserve traceability.</w:t>
      </w:r>
    </w:p>
    <w:p>
      <w:pPr>
        <w:pStyle w:val="Heading2"/>
      </w:pPr>
      <w:r>
        <w:t>Structural-biology case study</w:t>
      </w:r>
    </w:p>
    <w:p>
      <w:r>
        <w:rPr>
          <w:rFonts w:ascii="Times New Roman" w:hAnsi="Times New Roman"/>
          <w:color w:val="181B1F"/>
          <w:sz w:val="22"/>
        </w:rPr>
        <w:t>Experimental coordinates were downloaded from the RCSB Protein Data Bank [6]. PDB 1A3N is a 1.8 Å X-ray structure of deoxy human hemoglobin; chains A and B were used for the α and β subunits. PDB 3RGK is a 1.65 Å X-ray structure of the human myoglobin K45R variant; its single sequence mismatch relative to the UniProt target was excluded from coordinate matching. AlphaFold Database models were retrieved through the public prediction API for UniProt P69905, P68871, and P02144 [7]. The retrieval manifest records model URLs, database version, model creation date, global confidence, and SHA-256 hashes for every downloaded file.</w:t>
      </w:r>
    </w:p>
    <w:p>
      <w:r>
        <w:rPr>
          <w:rFonts w:ascii="Times New Roman" w:hAnsi="Times New Roman"/>
          <w:color w:val="181B1F"/>
          <w:sz w:val="22"/>
        </w:rPr>
        <w:t xml:space="preserve">PDB files were parsed from </w:t>
      </w:r>
      <w:r>
        <w:rPr>
          <w:rFonts w:ascii="Courier New" w:hAnsi="Courier New"/>
          <w:color w:val="181B1F"/>
          <w:sz w:val="19"/>
        </w:rPr>
        <w:t>ATOM</w:t>
      </w:r>
      <w:r>
        <w:rPr>
          <w:rFonts w:ascii="Times New Roman" w:hAnsi="Times New Roman"/>
          <w:color w:val="181B1F"/>
          <w:sz w:val="22"/>
        </w:rPr>
        <w:t xml:space="preserve"> records. We retained the first blank/A alternate-location Cα atom for each residue in the declared chain. Three-letter residue names were mapped to one-letter codes. Predicted and experimental sequences were globally aligned with Needleman–Wunsch dynamic programming (match 2, mismatch −1, gap −2); coordinate pairs were retained only when both aligned residues were present and identical.</w:t>
      </w:r>
    </w:p>
    <w:p>
      <w:r>
        <w:rPr>
          <w:rFonts w:ascii="Times New Roman" w:hAnsi="Times New Roman"/>
          <w:color w:val="181B1F"/>
          <w:sz w:val="22"/>
        </w:rPr>
        <w:t>Predicted Cα coordinates were superposed on experimental coordinates using the Kabsch least-squares rotation [8]. We calculated whole-chain Cα RMSD and a predeclared confidence-masked RMSD using matched AlphaFold residues with pLDDT≥70. The rigid transform fitted to that high-confidence core was then applied to all matched residues before residue-level discrepancy screening. Moving-block residue bootstrap intervals used 2,000 resamples, blocks of 10 contiguous residues, and a fixed seed; because residues are not independent biological replicates, these intervals are descriptive. We also calculated median residue error, fractions within 2 and 5 Å, mean pLDDT, and Spearman rank correlation between pLDDT and negative core-aligned residue error.</w:t>
      </w:r>
    </w:p>
    <w:p>
      <w:r>
        <w:rPr>
          <w:rFonts w:ascii="Times New Roman" w:hAnsi="Times New Roman"/>
          <w:color w:val="181B1F"/>
          <w:sz w:val="22"/>
        </w:rPr>
        <w:t xml:space="preserve">The expanded panel contains 15 human proteins and 2,688 matched residues. Experimental-method and resolution fields were parsed from PDB headers. A discrepancy region required pLDDT≥90 and core-aligned Cα error≥2 Å; adjacent qualifying residues were grouped. Every output is labeled </w:t>
      </w:r>
      <w:r>
        <w:rPr>
          <w:rFonts w:ascii="Courier New" w:hAnsi="Courier New"/>
          <w:color w:val="181B1F"/>
          <w:sz w:val="19"/>
        </w:rPr>
        <w:t>novelty_status=not_established</w:t>
      </w:r>
      <w:r>
        <w:rPr>
          <w:rFonts w:ascii="Times New Roman" w:hAnsi="Times New Roman"/>
          <w:color w:val="181B1F"/>
          <w:sz w:val="22"/>
        </w:rPr>
        <w:t xml:space="preserve"> and requires review of constructs, mutations, ligands, oligomeric state, alternative structures, and experimental conditions before independent validation. The Kabsch and core-transform implementations were regression-tested against synthetic rigid transformations. The analysis script, panel declaration, raw coordinate files, residue-level CSV, target summaries, source hashes, candidate table, and figures are included with this preprint.</w:t>
      </w:r>
    </w:p>
    <w:p>
      <w:r>
        <w:rPr>
          <w:rFonts w:ascii="Times New Roman" w:hAnsi="Times New Roman"/>
          <w:color w:val="181B1F"/>
          <w:sz w:val="22"/>
        </w:rPr>
        <w:t>No correction for multiple comparisons was applied to the three correlation tests because the correlations are descriptive secondary endpoints in a small validation case study. Exact nominal P values are reported and no biological discovery claim is based on them. Local distance difference test (lDDT) is a widely used superposition-free structural score [9], but this compact study reports the simpler residue-level aligned Cα error so every calculation remains inspectable in the supplied script.</w:t>
      </w:r>
    </w:p>
    <w:p>
      <w:pPr>
        <w:pStyle w:val="Heading1"/>
      </w:pPr>
      <w:r>
        <w:t>Results</w:t>
      </w:r>
    </w:p>
    <w:p>
      <w:pPr>
        <w:pStyle w:val="Heading2"/>
      </w:pPr>
      <w:r>
        <w:t>Audit and repaired measurement paths</w:t>
      </w:r>
    </w:p>
    <w:p>
      <w:r>
        <w:rPr>
          <w:rFonts w:ascii="Times New Roman" w:hAnsi="Times New Roman"/>
          <w:color w:val="181B1F"/>
          <w:sz w:val="22"/>
        </w:rPr>
        <w:t>The audit confirmed that the repository contains explicit idea/method and paper graphs, biology-specific routing, citation and evidence components, execution backends, manifests, and submission-package primitives. It also found that the default evaluation harness stops after idea and method generation; paper scoring therefore falls back to those texts when no paper exists. The autonomous loop adapters score existing artifacts but do not run a declared research pipeline. Paper reviewer roles currently use the drafting client. These findings constrain the interpretation of the present work: architecture and deterministic controls are evaluated; live end-to-end scientific performance and autonomous improvement are not.</w:t>
      </w:r>
    </w:p>
    <w:p>
      <w:r>
        <w:rPr>
          <w:rFonts w:ascii="Times New Roman" w:hAnsi="Times New Roman"/>
          <w:color w:val="181B1F"/>
          <w:sz w:val="22"/>
        </w:rPr>
        <w:t>After the three measurement repairs, targeted tests confirmed that biology task construction preserved the biology domain, method-signal recall was emitted, and real evidence-node JSONL artifacts contained Claim denominators and support links. The corrected artifact can now yield a nonzero unsupported-claim rate when drafted claims lack support, rather than a false 0.0 caused by an absent denominator.</w:t>
      </w:r>
    </w:p>
    <w:p>
      <w:pPr>
        <w:pStyle w:val="Heading2"/>
      </w:pPr>
      <w:r>
        <w:t>Software validation results</w:t>
      </w:r>
    </w:p>
    <w:p>
      <w:r>
        <w:rPr>
          <w:rFonts w:ascii="Times New Roman" w:hAnsi="Times New Roman"/>
          <w:color w:val="181B1F"/>
          <w:sz w:val="22"/>
        </w:rPr>
        <w:t>The complete Python suite produced no failures or errors. The targeted biology-domain, genomics-adapter, evidence/citation, and adversarial-safety suites also produced no failures or errors. Some full-suite tests were skipped because optional live dependencies, provider credentials, or a platform-specific path condition were unavailable. Figure 2 and Table 1 report exact counts from the machine-readable validation report generated for this revision.</w:t>
      </w:r>
    </w:p>
    <w:p>
      <w:pPr>
        <w:keepNext/>
        <w:jc w:val="center"/>
      </w:pPr>
      <w:r>
        <w:drawing>
          <wp:inline xmlns:a="http://schemas.openxmlformats.org/drawingml/2006/main" xmlns:pic="http://schemas.openxmlformats.org/drawingml/2006/picture">
            <wp:extent cx="5715000" cy="3150577"/>
            <wp:docPr id="2" name="Picture 2" descr="Figure 2. Passed and skipped tests in targeted validation suites." title="Figure 2"/>
            <wp:cNvGraphicFramePr>
              <a:graphicFrameLocks noChangeAspect="1"/>
            </wp:cNvGraphicFramePr>
            <a:graphic>
              <a:graphicData uri="http://schemas.openxmlformats.org/drawingml/2006/picture">
                <pic:pic>
                  <pic:nvPicPr>
                    <pic:cNvPr id="0" name="figure_4_validation_suites.png"/>
                    <pic:cNvPicPr/>
                  </pic:nvPicPr>
                  <pic:blipFill>
                    <a:blip r:embed="rId12"/>
                    <a:stretch>
                      <a:fillRect/>
                    </a:stretch>
                  </pic:blipFill>
                  <pic:spPr>
                    <a:xfrm>
                      <a:off x="0" y="0"/>
                      <a:ext cx="5715000" cy="3150577"/>
                    </a:xfrm>
                    <a:prstGeom prst="rect"/>
                  </pic:spPr>
                </pic:pic>
              </a:graphicData>
            </a:graphic>
          </wp:inline>
        </w:drawing>
      </w:r>
    </w:p>
    <w:p>
      <w:pPr>
        <w:pStyle w:val="Caption"/>
      </w:pPr>
      <w:r>
        <w:rPr>
          <w:rFonts w:ascii="Times New Roman" w:hAnsi="Times New Roman"/>
          <w:color w:val="181B1F"/>
          <w:sz w:val="22"/>
        </w:rPr>
        <w:t>Figure 2. Passed and skipped tests in targeted validation suites.</w:t>
      </w:r>
    </w:p>
    <w:tbl>
      <w:tblPr>
        <w:tblStyle w:val="TableGrid"/>
        <w:tblW w:type="dxa" w:w="9792"/>
        <w:jc w:val="left"/>
        <w:tblLayout w:type="fixed"/>
        <w:tblLook w:firstColumn="1" w:firstRow="1" w:lastColumn="0" w:lastRow="0" w:noHBand="0" w:noVBand="1" w:val="04A0"/>
        <w:tblInd w:type="dxa" w:w="110"/>
      </w:tblPr>
      <w:tblGrid>
        <w:gridCol w:w="3847"/>
        <w:gridCol w:w="1049"/>
        <w:gridCol w:w="1049"/>
        <w:gridCol w:w="1224"/>
        <w:gridCol w:w="2623"/>
      </w:tblGrid>
      <w:tr>
        <w:trPr>
          <w:trHeight w:hRule="atLeast"/>
          <w:tblHeader w:val="true"/>
        </w:trPr>
        <w:tc>
          <w:tcPr>
            <w:tcW w:type="dxa" w:w="38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Suite</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Tests</w:t>
            </w:r>
          </w:p>
        </w:tc>
        <w:tc>
          <w:tcPr>
            <w:tcW w:type="dxa" w:w="104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Passed</w:t>
            </w:r>
          </w:p>
        </w:tc>
        <w:tc>
          <w:tcPr>
            <w:tcW w:type="dxa" w:w="122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Skipped</w:t>
            </w:r>
          </w:p>
        </w:tc>
        <w:tc>
          <w:tcPr>
            <w:tcW w:type="dxa" w:w="26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Failures/errors</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Biology domain</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12</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Genomics adapters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 and citations</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46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Adversarial safety</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56</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r>
        <w:trPr>
          <w:trHeight w:hRule="atLeast"/>
        </w:trPr>
        <w:tc>
          <w:tcPr>
            <w:tcW w:type="dxa" w:w="38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Full Python suite</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937</w:t>
            </w:r>
          </w:p>
        </w:tc>
        <w:tc>
          <w:tcPr>
            <w:tcW w:type="dxa" w:w="104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931</w:t>
            </w:r>
          </w:p>
        </w:tc>
        <w:tc>
          <w:tcPr>
            <w:tcW w:type="dxa" w:w="122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6</w:t>
            </w:r>
          </w:p>
        </w:tc>
        <w:tc>
          <w:tcPr>
            <w:tcW w:type="dxa" w:w="26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w:t>
            </w:r>
          </w:p>
        </w:tc>
      </w:tr>
    </w:tbl>
    <w:p>
      <w:pPr>
        <w:spacing w:before="80" w:after="80"/>
      </w:pPr>
    </w:p>
    <w:p>
      <w:r>
        <w:rPr>
          <w:rFonts w:ascii="Times New Roman" w:hAnsi="Times New Roman"/>
          <w:color w:val="181B1F"/>
          <w:sz w:val="22"/>
        </w:rPr>
        <w:t>The targeted suites are subsets of the full suite. These results support the narrower statement that the asserted software behaviors passed in the recorded environment. They do not measure paper correctness, novelty, human usefulness, or the probability that an open-ended agent run will succeed.</w:t>
      </w:r>
    </w:p>
    <w:p>
      <w:pPr>
        <w:pStyle w:val="Heading2"/>
      </w:pPr>
      <w:r>
        <w:t>Temporal rediscovery benchmark</w:t>
      </w:r>
    </w:p>
    <w:p>
      <w:r>
        <w:rPr>
          <w:rFonts w:ascii="Times New Roman" w:hAnsi="Times New Roman"/>
          <w:color w:val="181B1F"/>
          <w:sz w:val="22"/>
        </w:rPr>
        <w:t>The synthetic engineering smoke behaved as intended. Across five tasks, frequency ranking yielded MRR 0.500 and Recall@1 0.000, while TF–IDF, bridge-only, and evidence-aware conditions each yielded MRR 1.000 and Recall@1 1.000. Recall@10 was 1.000 and the false-novelty rate on declared known controls was 0.000 under every condition. Because target evidence and decoys were constructed to test the implementation, these values are regression evidence, not biological efficacy.</w:t>
      </w:r>
    </w:p>
    <w:p>
      <w:r>
        <w:rPr>
          <w:rFonts w:ascii="Times New Roman" w:hAnsi="Times New Roman"/>
          <w:color w:val="181B1F"/>
          <w:sz w:val="22"/>
        </w:rPr>
        <w:t>The historical pilot produced a harder ranking (Table 2). Frequency ranked the held-out fish-oil/Raynaud relation third (reciprocal rank 0.333), TF–IDF ranked it second (0.500), and both bridge-only and evidence-aware conditions ranked it first (1.000). The candidate had one independent evidence path through blood viscosity, no direct pre-1986 prior record in the frozen corpus, complete URL/date provenance, and validation PMID 2536517 published in 1989. The three direct Raynaud–nifedipine records and one Raynaud–prostaglandin E1 record were correctly labeled known pre-cutoff, so none contributed a false-novelty error. The result supports the value of an explicit evidence bridge on this historical case; it does not estimate performance across biomedical discovery.</w:t>
      </w:r>
    </w:p>
    <w:tbl>
      <w:tblPr>
        <w:tblStyle w:val="TableGrid"/>
        <w:tblW w:type="dxa" w:w="9792"/>
        <w:jc w:val="left"/>
        <w:tblLayout w:type="fixed"/>
        <w:tblLook w:firstColumn="1" w:firstRow="1" w:lastColumn="0" w:lastRow="0" w:noHBand="0" w:noVBand="1" w:val="04A0"/>
        <w:tblInd w:type="dxa" w:w="110"/>
      </w:tblPr>
      <w:tblGrid>
        <w:gridCol w:w="2247"/>
        <w:gridCol w:w="963"/>
        <w:gridCol w:w="963"/>
        <w:gridCol w:w="1284"/>
        <w:gridCol w:w="1445"/>
        <w:gridCol w:w="2890"/>
      </w:tblGrid>
      <w:tr>
        <w:trPr>
          <w:trHeight w:hRule="atLeast"/>
          <w:tblHeader w:val="true"/>
        </w:trPr>
        <w:tc>
          <w:tcPr>
            <w:tcW w:type="dxa" w:w="2247"/>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Condition</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Tasks</w:t>
            </w:r>
          </w:p>
        </w:tc>
        <w:tc>
          <w:tcPr>
            <w:tcW w:type="dxa" w:w="96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MRR</w:t>
            </w:r>
          </w:p>
        </w:tc>
        <w:tc>
          <w:tcPr>
            <w:tcW w:type="dxa" w:w="1284"/>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w:t>
            </w:r>
          </w:p>
        </w:tc>
        <w:tc>
          <w:tcPr>
            <w:tcW w:type="dxa" w:w="144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Recall@10</w:t>
            </w:r>
          </w:p>
        </w:tc>
        <w:tc>
          <w:tcPr>
            <w:tcW w:type="dxa" w:w="2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False-novelty rate</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Frequency</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0.333</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TF–IDF</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0.500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A–B/B–C bridge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r>
        <w:trPr>
          <w:trHeight w:hRule="atLeast"/>
        </w:trPr>
        <w:tc>
          <w:tcPr>
            <w:tcW w:type="dxa" w:w="2247"/>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Evidence-aware</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w:t>
            </w:r>
          </w:p>
        </w:tc>
        <w:tc>
          <w:tcPr>
            <w:tcW w:type="dxa" w:w="96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1.000</w:t>
            </w:r>
          </w:p>
        </w:tc>
        <w:tc>
          <w:tcPr>
            <w:tcW w:type="dxa" w:w="1284"/>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144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2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0.000</w:t>
            </w:r>
          </w:p>
        </w:tc>
      </w:tr>
    </w:tbl>
    <w:p>
      <w:pPr>
        <w:spacing w:before="80" w:after="80"/>
      </w:pPr>
    </w:p>
    <w:p>
      <w:pPr>
        <w:keepNext/>
        <w:jc w:val="center"/>
      </w:pPr>
      <w:r>
        <w:drawing>
          <wp:inline xmlns:a="http://schemas.openxmlformats.org/drawingml/2006/main" xmlns:pic="http://schemas.openxmlformats.org/drawingml/2006/picture">
            <wp:extent cx="5715000" cy="3333750"/>
            <wp:docPr id="3" name="Picture 3" descr="Figure 3. Historical temporal rediscovery pilot across four ranking conditions." title="Figure 3"/>
            <wp:cNvGraphicFramePr>
              <a:graphicFrameLocks noChangeAspect="1"/>
            </wp:cNvGraphicFramePr>
            <a:graphic>
              <a:graphicData uri="http://schemas.openxmlformats.org/drawingml/2006/picture">
                <pic:pic>
                  <pic:nvPicPr>
                    <pic:cNvPr id="0" name="temporal_rediscovery.png"/>
                    <pic:cNvPicPr/>
                  </pic:nvPicPr>
                  <pic:blipFill>
                    <a:blip r:embed="rId13"/>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3. Historical temporal rediscovery pilot across four ranking conditions.</w:t>
      </w:r>
    </w:p>
    <w:p>
      <w:pPr>
        <w:pStyle w:val="Heading2"/>
      </w:pPr>
      <w:r>
        <w:t>Original globin structural agreement</w:t>
      </w:r>
    </w:p>
    <w:p>
      <w:r>
        <w:rPr>
          <w:rFonts w:ascii="Times New Roman" w:hAnsi="Times New Roman"/>
          <w:color w:val="181B1F"/>
          <w:sz w:val="22"/>
        </w:rPr>
        <w:t>All three targets produced high sequence coverage and sub-ångström Cα RMSD after sequence-aware superposition (Table 3). Hemoglobin α had the lowest RMSD (0.270 Å), followed by myoglobin (0.501 Å) and hemoglobin β (0.520 Å). All matched α and β hemoglobin residues were within 2 Å of their experimental coordinates. For myoglobin, 146 of 147 matched residues (99.3%) were within 2 Å and all were within 5 Å.</w:t>
      </w:r>
    </w:p>
    <w:p>
      <w:r>
        <w:br w:type="page"/>
      </w:r>
    </w:p>
    <w:tbl>
      <w:tblPr>
        <w:tblStyle w:val="TableGrid"/>
        <w:tblW w:type="dxa" w:w="9792"/>
        <w:jc w:val="left"/>
        <w:tblLayout w:type="fixed"/>
        <w:tblLook w:firstColumn="1" w:firstRow="1" w:lastColumn="0" w:lastRow="0" w:noHBand="0" w:noVBand="1" w:val="04A0"/>
        <w:tblInd w:type="dxa" w:w="110"/>
      </w:tblPr>
      <w:tblGrid>
        <w:gridCol w:w="2023"/>
        <w:gridCol w:w="566"/>
        <w:gridCol w:w="728"/>
        <w:gridCol w:w="1295"/>
        <w:gridCol w:w="1376"/>
        <w:gridCol w:w="890"/>
        <w:gridCol w:w="1295"/>
        <w:gridCol w:w="809"/>
        <w:gridCol w:w="810"/>
      </w:tblGrid>
      <w:tr>
        <w:trPr>
          <w:trHeight w:hRule="atLeast"/>
          <w:tblHeader w:val="true"/>
        </w:trPr>
        <w:tc>
          <w:tcPr>
            <w:tcW w:type="dxa" w:w="2023"/>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Target</w:t>
            </w:r>
          </w:p>
        </w:tc>
        <w:tc>
          <w:tcPr>
            <w:tcW w:type="dxa" w:w="56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UniProt</w:t>
            </w:r>
          </w:p>
        </w:tc>
        <w:tc>
          <w:tcPr>
            <w:tcW w:type="dxa" w:w="728"/>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color w:val="181B1F"/>
                <w:sz w:val="16"/>
              </w:rPr>
              <w:t>PDB chain</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Matched residues</w:t>
            </w:r>
          </w:p>
        </w:tc>
        <w:tc>
          <w:tcPr>
            <w:tcW w:type="dxa" w:w="1376"/>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Sequence identity</w:t>
            </w:r>
          </w:p>
        </w:tc>
        <w:tc>
          <w:tcPr>
            <w:tcW w:type="dxa" w:w="89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Cα RMSD (Å)</w:t>
            </w:r>
          </w:p>
        </w:tc>
        <w:tc>
          <w:tcPr>
            <w:tcW w:type="dxa" w:w="1295"/>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Median error (Å)</w:t>
            </w:r>
          </w:p>
        </w:tc>
        <w:tc>
          <w:tcPr>
            <w:tcW w:type="dxa" w:w="809"/>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Within 2 Å</w:t>
            </w:r>
          </w:p>
        </w:tc>
        <w:tc>
          <w:tcPr>
            <w:tcW w:type="dxa" w:w="810"/>
            <w:vAlign w:val="center"/>
            <w:shd w:fill="E8EEF5"/>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color w:val="181B1F"/>
                <w:sz w:val="16"/>
              </w:rPr>
              <w:t>Mean pLDDT</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α</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P69905</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141</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0.270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0.220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98.30</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Hemoglobin β</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P68871</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1A3N B</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145</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0.520</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0.453</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1.000</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97.55</w:t>
            </w:r>
          </w:p>
        </w:tc>
      </w:tr>
      <w:tr>
        <w:trPr>
          <w:trHeight w:hRule="atLeast"/>
        </w:trPr>
        <w:tc>
          <w:tcPr>
            <w:tcW w:type="dxa" w:w="2023"/>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Myoglobin K45R comparison</w:t>
            </w:r>
          </w:p>
        </w:tc>
        <w:tc>
          <w:tcPr>
            <w:tcW w:type="dxa" w:w="56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P02144</w:t>
            </w:r>
          </w:p>
        </w:tc>
        <w:tc>
          <w:tcPr>
            <w:tcW w:type="dxa" w:w="728"/>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left"/>
            </w:pPr>
            <w:r>
              <w:rPr>
                <w:rFonts w:ascii="Arial" w:hAnsi="Arial"/>
                <w:b w:val="0"/>
                <w:color w:val="181B1F"/>
                <w:sz w:val="16"/>
              </w:rPr>
              <w:t>3RGK A</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147</w:t>
            </w:r>
          </w:p>
        </w:tc>
        <w:tc>
          <w:tcPr>
            <w:tcW w:type="dxa" w:w="1376"/>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0.987</w:t>
            </w:r>
          </w:p>
        </w:tc>
        <w:tc>
          <w:tcPr>
            <w:tcW w:type="dxa" w:w="89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0.501</w:t>
            </w:r>
          </w:p>
        </w:tc>
        <w:tc>
          <w:tcPr>
            <w:tcW w:type="dxa" w:w="1295"/>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0.310</w:t>
            </w:r>
          </w:p>
        </w:tc>
        <w:tc>
          <w:tcPr>
            <w:tcW w:type="dxa" w:w="809"/>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0.993</w:t>
            </w:r>
          </w:p>
        </w:tc>
        <w:tc>
          <w:tcPr>
            <w:tcW w:type="dxa" w:w="810"/>
            <w:vAlign w:val="center"/>
            <w:tcBorders>
              <w:top w:val="single" w:sz="4" w:color="B9C2CC"/>
              <w:left w:val="single" w:sz="4" w:color="B9C2CC"/>
              <w:bottom w:val="single" w:sz="4" w:color="B9C2CC"/>
              <w:right w:val="single" w:sz="4" w:color="B9C2CC"/>
              <w:insideH w:val="single" w:sz="4" w:color="B9C2CC"/>
              <w:insideV w:val="single" w:sz="4" w:color="B9C2CC"/>
            </w:tcBorders>
            <w:tcMar>
              <w:top w:w="90" w:type="dxa"/>
              <w:bottom w:w="90" w:type="dxa"/>
              <w:start w:w="110" w:type="dxa"/>
              <w:end w:w="110" w:type="dxa"/>
            </w:tcMar>
          </w:tcPr>
          <w:p>
            <w:pPr>
              <w:spacing w:before="0" w:after="0" w:line="252" w:lineRule="auto"/>
              <w:jc w:val="center"/>
            </w:pPr>
            <w:r>
              <w:rPr>
                <w:rFonts w:ascii="Arial" w:hAnsi="Arial"/>
                <w:b w:val="0"/>
                <w:color w:val="181B1F"/>
                <w:sz w:val="16"/>
              </w:rPr>
              <w:t>97.71</w:t>
            </w:r>
          </w:p>
        </w:tc>
      </w:tr>
    </w:tbl>
    <w:p>
      <w:pPr>
        <w:spacing w:before="80" w:after="80"/>
      </w:pPr>
    </w:p>
    <w:p>
      <w:pPr>
        <w:keepNext/>
        <w:jc w:val="center"/>
      </w:pPr>
      <w:r>
        <w:drawing>
          <wp:inline xmlns:a="http://schemas.openxmlformats.org/drawingml/2006/main" xmlns:pic="http://schemas.openxmlformats.org/drawingml/2006/picture">
            <wp:extent cx="5715000" cy="3333750"/>
            <wp:docPr id="4" name="Picture 4" descr="Figure 4. Cα RMSD for the three declared globin targets." title="Figure 4"/>
            <wp:cNvGraphicFramePr>
              <a:graphicFrameLocks noChangeAspect="1"/>
            </wp:cNvGraphicFramePr>
            <a:graphic>
              <a:graphicData uri="http://schemas.openxmlformats.org/drawingml/2006/picture">
                <pic:pic>
                  <pic:nvPicPr>
                    <pic:cNvPr id="0" name="figure_2_globin_rmsd.png"/>
                    <pic:cNvPicPr/>
                  </pic:nvPicPr>
                  <pic:blipFill>
                    <a:blip r:embed="rId14"/>
                    <a:stretch>
                      <a:fillRect/>
                    </a:stretch>
                  </pic:blipFill>
                  <pic:spPr>
                    <a:xfrm>
                      <a:off x="0" y="0"/>
                      <a:ext cx="5715000" cy="3333750"/>
                    </a:xfrm>
                    <a:prstGeom prst="rect"/>
                  </pic:spPr>
                </pic:pic>
              </a:graphicData>
            </a:graphic>
          </wp:inline>
        </w:drawing>
      </w:r>
    </w:p>
    <w:p>
      <w:pPr>
        <w:pStyle w:val="Caption"/>
      </w:pPr>
      <w:r>
        <w:rPr>
          <w:rFonts w:ascii="Times New Roman" w:hAnsi="Times New Roman"/>
          <w:color w:val="181B1F"/>
          <w:sz w:val="22"/>
        </w:rPr>
        <w:t>Figure 4. Cα RMSD for the three declared globin targets.</w:t>
      </w:r>
    </w:p>
    <w:p>
      <w:r>
        <w:rPr>
          <w:rFonts w:ascii="Times New Roman" w:hAnsi="Times New Roman"/>
          <w:color w:val="181B1F"/>
          <w:sz w:val="22"/>
        </w:rPr>
        <w:t>Residue-level pLDDT was positively associated with lower aligned coordinate error in each target: hemoglobin α ρ=0.242 (P=0.00388), hemoglobin β ρ=0.353 (P=1.34×10⁻⁵), and myoglobin ρ=0.283 (P=0.000515). The restricted pLDDT range (mean 97.5–98.3) limits calibration inference, and the correlations should be interpreted as descriptive consistency rather than proof that pLDDT is fully calibrated for this family.</w:t>
      </w:r>
    </w:p>
    <w:p>
      <w:pPr>
        <w:keepNext/>
        <w:jc w:val="center"/>
      </w:pPr>
      <w:r>
        <w:drawing>
          <wp:inline xmlns:a="http://schemas.openxmlformats.org/drawingml/2006/main" xmlns:pic="http://schemas.openxmlformats.org/drawingml/2006/picture">
            <wp:extent cx="5715000" cy="3707027"/>
            <wp:docPr id="5" name="Picture 5" descr="Figure 5. Residue-level pLDDT versus aligned Cα error." title="Figure 5"/>
            <wp:cNvGraphicFramePr>
              <a:graphicFrameLocks noChangeAspect="1"/>
            </wp:cNvGraphicFramePr>
            <a:graphic>
              <a:graphicData uri="http://schemas.openxmlformats.org/drawingml/2006/picture">
                <pic:pic>
                  <pic:nvPicPr>
                    <pic:cNvPr id="0" name="figure_3_plddt_error.png"/>
                    <pic:cNvPicPr/>
                  </pic:nvPicPr>
                  <pic:blipFill>
                    <a:blip r:embed="rId15"/>
                    <a:stretch>
                      <a:fillRect/>
                    </a:stretch>
                  </pic:blipFill>
                  <pic:spPr>
                    <a:xfrm>
                      <a:off x="0" y="0"/>
                      <a:ext cx="5715000" cy="3707027"/>
                    </a:xfrm>
                    <a:prstGeom prst="rect"/>
                  </pic:spPr>
                </pic:pic>
              </a:graphicData>
            </a:graphic>
          </wp:inline>
        </w:drawing>
      </w:r>
    </w:p>
    <w:p>
      <w:pPr>
        <w:pStyle w:val="Caption"/>
      </w:pPr>
      <w:r>
        <w:rPr>
          <w:rFonts w:ascii="Times New Roman" w:hAnsi="Times New Roman"/>
          <w:color w:val="181B1F"/>
          <w:sz w:val="22"/>
        </w:rPr>
        <w:t>Figure 5. Residue-level pLDDT versus aligned Cα error.</w:t>
      </w:r>
    </w:p>
    <w:p>
      <w:pPr>
        <w:pStyle w:val="Heading2"/>
      </w:pPr>
      <w:r>
        <w:t>Diverse structural screen and hypothesis triage</w:t>
      </w:r>
    </w:p>
    <w:p>
      <w:r>
        <w:rPr>
          <w:rFonts w:ascii="Times New Roman" w:hAnsi="Times New Roman"/>
          <w:color w:val="181B1F"/>
          <w:sz w:val="22"/>
        </w:rPr>
        <w:t>All 15 declared targets completed without retrieval or analysis failure. The panel contained 2,688 sequence-matched residues; median whole-chain RMSD was 0.520 Å and 9 of 15 targets were below 1 Å. After fitting only residues with pLDDT≥70, median core RMSD was 0.501 Å and 11 of 15 targets were below 1 Å (Figure 6). Compact proteins such as transthyretin, hemoglobin α, cytochrome c, superoxide dismutase 1, cyclophilin A, carbonic anhydrase 2, and lysozyme ranged from 0.258 to 0.420 Å in the high-confidence-core comparison. CDK2 and MAPK1 improved from whole-chain RMSDs of 1.873 and 1.705 Å to core values of 0.786 and 0.740 Å, respectively, indicating that lower-confidence regions dominated much of their global discrepancy.</w:t>
      </w:r>
    </w:p>
    <w:p>
      <w:r>
        <w:rPr>
          <w:rFonts w:ascii="Times New Roman" w:hAnsi="Times New Roman"/>
          <w:color w:val="181B1F"/>
          <w:sz w:val="22"/>
        </w:rPr>
        <w:t>Four targets retained high-confidence-core RMSD above 2 Å: KRAS (2.085 Å), SUMO1 (2.576 Å), TP53 (3.889 Å), and estrogen receptor α (4.961 Å). These comparisons differ in construct coverage, domain state, ligands, and experimental modality. SUMO1 is a solution-NMR ensemble with a flexible N-terminus; fitting the 74 high-confidence residues reduced its RMSD from 16.610 Å over the whole chain to 2.576 Å. TP53 and estrogen receptor α experimental chains cover only 49.4% and 40.0% of their respective full AlphaFold sequences. These facts make the high values informative triage signals but inadequate evidence of a novel conformation.</w:t>
      </w:r>
    </w:p>
    <w:p>
      <w:r>
        <w:rPr>
          <w:rFonts w:ascii="Times New Roman" w:hAnsi="Times New Roman"/>
          <w:color w:val="181B1F"/>
          <w:sz w:val="22"/>
        </w:rPr>
        <w:t>The predeclared rule emitted 27 high-confidence discrepancy regions, 9 containing at least two adjacent residues. The candidates are machine-readable and traceable to residue coordinates, but none is called a discovery. The most defensible immediate finding is methodological: confidence masking and experimental-context stratification prevent flexible termini and partial-domain constructs from dominating novelty screens, while retaining a short list for targeted structural review.</w:t>
      </w:r>
    </w:p>
    <w:p>
      <w:pPr>
        <w:keepNext/>
        <w:jc w:val="center"/>
      </w:pPr>
      <w:r>
        <w:drawing>
          <wp:inline xmlns:a="http://schemas.openxmlformats.org/drawingml/2006/main" xmlns:pic="http://schemas.openxmlformats.org/drawingml/2006/picture">
            <wp:extent cx="5715000" cy="3857625"/>
            <wp:docPr id="6" name="Picture 6" descr="Figure 6. High-confidence-core Cα RMSD across the declared 15-target structural panel." title="Figure 6"/>
            <wp:cNvGraphicFramePr>
              <a:graphicFrameLocks noChangeAspect="1"/>
            </wp:cNvGraphicFramePr>
            <a:graphic>
              <a:graphicData uri="http://schemas.openxmlformats.org/drawingml/2006/picture">
                <pic:pic>
                  <pic:nvPicPr>
                    <pic:cNvPr id="0" name="diverse_structure_panel_rmsd.png"/>
                    <pic:cNvPicPr/>
                  </pic:nvPicPr>
                  <pic:blipFill>
                    <a:blip r:embed="rId16"/>
                    <a:stretch>
                      <a:fillRect/>
                    </a:stretch>
                  </pic:blipFill>
                  <pic:spPr>
                    <a:xfrm>
                      <a:off x="0" y="0"/>
                      <a:ext cx="5715000" cy="3857625"/>
                    </a:xfrm>
                    <a:prstGeom prst="rect"/>
                  </pic:spPr>
                </pic:pic>
              </a:graphicData>
            </a:graphic>
          </wp:inline>
        </w:drawing>
      </w:r>
    </w:p>
    <w:p>
      <w:pPr>
        <w:pStyle w:val="Caption"/>
      </w:pPr>
      <w:r>
        <w:rPr>
          <w:rFonts w:ascii="Times New Roman" w:hAnsi="Times New Roman"/>
          <w:color w:val="181B1F"/>
          <w:sz w:val="22"/>
        </w:rPr>
        <w:t>Figure 6. High-confidence-core Cα RMSD across the declared 15-target structural panel.</w:t>
      </w:r>
    </w:p>
    <w:p>
      <w:pPr>
        <w:pStyle w:val="Heading2"/>
      </w:pPr>
      <w:r>
        <w:t>Reproducibility artifacts</w:t>
      </w:r>
    </w:p>
    <w:p>
      <w:r>
        <w:rPr>
          <w:rFonts w:ascii="Times New Roman" w:hAnsi="Times New Roman"/>
          <w:color w:val="181B1F"/>
          <w:sz w:val="22"/>
        </w:rPr>
        <w:t>The evidence bundle contains the original globin inputs, 15-target panel declaration, 29 cached coordinate files for the diverse screen (15 AlphaFold models and 14 unique experimental PDB entries), source and output hashes, target- and residue-level CSV files, 27 discrepancy candidates, frozen temporal fixtures, complete candidate rankings, bootstrap summaries, and JSON manifests. The pinned CompBioBench catalog is stored separately from Plato-Bio results so imported task metadata cannot be mistaken for executed performance. Re-running the supplied scripts reconstructs the tables and Figures 3–6. The paper source, editable Word manuscript, LaTeX package, and submission PDFs are generated from the same controlled bundle.</w:t>
      </w:r>
    </w:p>
    <w:p>
      <w:pPr>
        <w:pStyle w:val="Heading1"/>
      </w:pPr>
      <w:r>
        <w:t>Discussion</w:t>
      </w:r>
    </w:p>
    <w:p>
      <w:r>
        <w:rPr>
          <w:rFonts w:ascii="Times New Roman" w:hAnsi="Times New Roman"/>
          <w:color w:val="181B1F"/>
          <w:sz w:val="22"/>
        </w:rPr>
        <w:t>This work addresses a practical gap between agent capability claims and inspectable scientific evidence. A multi-agent graph can make workflow stages visible, but visibility alone does not make outputs correct. Plato-Bio’s most useful design property is the separation of artifacts: source records, citation reports, claims, evidence links, analysis outputs, manifests, and manuscript files can be inspected independently. The repaired mixed JSONL contract illustrates why this matters. Without persisted claims, an unsupported-claim metric could report a reassuring zero despite lacking the denominator required to calculate it.</w:t>
      </w:r>
    </w:p>
    <w:p>
      <w:r>
        <w:rPr>
          <w:rFonts w:ascii="Times New Roman" w:hAnsi="Times New Roman"/>
          <w:color w:val="181B1F"/>
          <w:sz w:val="22"/>
        </w:rPr>
        <w:t>The biology domain profile and genomics registry provide an extensible interface for biological work. Domain routing reduces accidental use of astronomy-specific sources, while typed adapters expose requirements, permissions, coordinate conventions, and expected artifacts before an external genomics command is executed. This is useful safety and reproducibility scaffolding, but it is not a validation of GenomeKit, Paragraph, ExpansionHunter Denovo, Gauchian, ZIPPY, or Illumina Connected Analytics themselves.</w:t>
      </w:r>
    </w:p>
    <w:p>
      <w:r>
        <w:rPr>
          <w:rFonts w:ascii="Times New Roman" w:hAnsi="Times New Roman"/>
          <w:color w:val="181B1F"/>
          <w:sz w:val="22"/>
        </w:rPr>
        <w:t>The globin study demonstrates the intended evidence pattern. Source identities are fixed, coordinates are archived with hashes, alignment rules are explicit, the rigid-body fit is regression-tested, target- and residue-level results are preserved, and conclusions are proportional to the data. The sub-ångström agreement is consistent with the strong performance reported for AlphaFold and with the purpose of AlphaFold DB [7,10]. It should not be interpreted as a new benchmark of the broader AlphaFold proteome: the panel contains three related, high-confidence globins selected for a compact reproducibility case study, and one experimental structure contains a known point mutation.</w:t>
      </w:r>
    </w:p>
    <w:p>
      <w:r>
        <w:rPr>
          <w:rFonts w:ascii="Times New Roman" w:hAnsi="Times New Roman"/>
          <w:color w:val="181B1F"/>
          <w:sz w:val="22"/>
        </w:rPr>
        <w:t>The temporal pilot addresses a different question: whether a candidate relation can be reconstructed from literature that predates its direct evaluation. On the Raynaud task, generic frequency and lexical relevance favored known or more frequently mentioned concepts, whereas the independent evidence bridge recovered the held-out relation. The result is mechanistically interpretable because every score can be traced to PMID 58309 and PMID 4015748 and because direct pre-cutoff treatment records remain visible as known controls. This is a stronger novelty-screening contract than treating linguistic dissimilarity as novelty. It remains a retrospective case constructed with knowledge of the later literature, so prospective candidates must be reviewed against broader corpora and independently tested.</w:t>
      </w:r>
    </w:p>
    <w:p>
      <w:r>
        <w:rPr>
          <w:rFonts w:ascii="Times New Roman" w:hAnsi="Times New Roman"/>
          <w:color w:val="181B1F"/>
          <w:sz w:val="22"/>
        </w:rPr>
        <w:t>The 15-target screen shows why structural novelty triage needs confidence and context. Whole-chain RMSD can be dominated by disordered segments, while partial constructs and ligand-dependent states can produce legitimate high-confidence differences that are already known. Reporting both whole-chain and high-confidence-core values preserved these distinctions. The 27 emitted regions are therefore useful as an auditable review queue, not as 27 findings. A true structural novelty claim would require alternate-structure searches, construct and ligand matching, domain-aware or local scores, ensemble analysis, and ideally new experimental evidence.</w:t>
      </w:r>
    </w:p>
    <w:p>
      <w:r>
        <w:rPr>
          <w:rFonts w:ascii="Times New Roman" w:hAnsi="Times New Roman"/>
          <w:color w:val="181B1F"/>
          <w:sz w:val="22"/>
        </w:rPr>
        <w:t>The source audit also changes how the agent itself should be described. The current default evaluation is an idea/method benchmark, not an end-to-end paper benchmark. The paper’s reviewer roles are same-model self-critique, not independent review. The autonomous loop infrastructure can keep or discard scored states, but its default adapters do not execute a full research cycle. These limitations are not wording details; they determine what can be concluded from future evaluations. A definitive efficacy study will require frozen biological tasks, versioned datasets, real results and paper generation, multiple stochastic repetitions, baseline/ablation conditions, and blinded domain-expert adjudication.</w:t>
      </w:r>
    </w:p>
    <w:p>
      <w:pPr>
        <w:pStyle w:val="Heading2"/>
      </w:pPr>
      <w:r>
        <w:t>Limitations</w:t>
      </w:r>
    </w:p>
    <w:p>
      <w:r>
        <w:rPr>
          <w:rFonts w:ascii="Times New Roman" w:hAnsi="Times New Roman"/>
          <w:color w:val="181B1F"/>
          <w:sz w:val="22"/>
        </w:rPr>
        <w:t>The temporal historical benchmark contains one manually curated task. Its bootstrap interval is necessarily degenerate, candidate concepts are not an exhaustive search space, concept annotations were curated with knowledge of the historical relation, and PubMed records outside the frozen set could change the rank or prior-art label. The five synthetic tasks are implementation fixtures. Generalization requires a preregistered set of many historical tasks curated by multiple experts with adjudicated cutoffs, broader frozen retrieval, harder decoys, and blinded evaluation. No prospective candidate was generated or experimentally validated.</w:t>
      </w:r>
    </w:p>
    <w:p>
      <w:r>
        <w:rPr>
          <w:rFonts w:ascii="Times New Roman" w:hAnsi="Times New Roman"/>
          <w:color w:val="181B1F"/>
          <w:sz w:val="22"/>
        </w:rPr>
        <w:t>The structural screen remains small and does not include cryo-electron microscopy density fitting, lDDT, TM-score, side-chain accuracy, ligand geometry, oligomeric interfaces, domain segmentation, or conformational-ensemble comparison. The high-confidence mask is based on AlphaFold pLDDT rather than an independently selected structural domain. PDB 3RGK is a K45R myoglobin mutant; 1A5R is an NMR ensemble represented by its first parsed model; and several PDB chains are partial constructs. Correlation tests and residue-bootstrap intervals are descriptive. Raw structures were retrieved from public services whose upstream records may be revised; file hashes freeze the exact analyzed bytes.</w:t>
      </w:r>
    </w:p>
    <w:p>
      <w:r>
        <w:rPr>
          <w:rFonts w:ascii="Times New Roman" w:hAnsi="Times New Roman"/>
          <w:color w:val="181B1F"/>
          <w:sz w:val="22"/>
        </w:rPr>
        <w:t>The software evaluation is deterministic and largely unit-level. LLM calls, paid retrieval services, Modal, E2B, hosted PostgreSQL, and authenticated Hugging Face paths were not available in the recorded environment. No claim is made that the configured citation threshold equals observed citation accuracy. Prompt-injection screening and scientific-verifier rules are heuristic and do not sandbox generated code or prove factual correctness. Local execution of LLM-generated code should not be used with sensitive data or production credentials without an external sandbox and human review.</w:t>
      </w:r>
    </w:p>
    <w:p>
      <w:r>
        <w:rPr>
          <w:rFonts w:ascii="Times New Roman" w:hAnsi="Times New Roman"/>
          <w:color w:val="181B1F"/>
          <w:sz w:val="22"/>
        </w:rPr>
        <w:t>Authorship and submission metadata remain human responsibilities. The corresponding author must confirm the author list, affiliations, ORCIDs, contribution statement, funding, conflicts, and consent before deposit. bioRxiv screening does not replace peer review, and this preprint should not be represented as certified scientific evidence.</w:t>
      </w:r>
    </w:p>
    <w:p>
      <w:pPr>
        <w:pStyle w:val="Heading1"/>
      </w:pPr>
      <w:r>
        <w:t>Conclusion</w:t>
      </w:r>
    </w:p>
    <w:p>
      <w:r>
        <w:rPr>
          <w:rFonts w:ascii="Times New Roman" w:hAnsi="Times New Roman"/>
          <w:color w:val="181B1F"/>
          <w:sz w:val="22"/>
        </w:rPr>
        <w:t xml:space="preserve">Plato-Bio provides an inspectable foundation for supervised computational-biology workflows and a more defensible route from retrieved literature or predicted structures to candidate hypotheses. Independent A–B/B–C evidence bridges outperformed frequency and TF–IDF in one historical rediscovery pilot, while confidence-masked structural comparison separated compact sub-ångström agreement from context-sensitive discrepancies across 15 proteins. The system now emits traceable candidates, known controls, abstentions, and explicit </w:t>
      </w:r>
      <w:r>
        <w:rPr>
          <w:rFonts w:ascii="Courier New" w:hAnsi="Courier New"/>
          <w:color w:val="181B1F"/>
          <w:sz w:val="19"/>
        </w:rPr>
        <w:t>not_established</w:t>
      </w:r>
      <w:r>
        <w:rPr>
          <w:rFonts w:ascii="Times New Roman" w:hAnsi="Times New Roman"/>
          <w:color w:val="181B1F"/>
          <w:sz w:val="22"/>
        </w:rPr>
        <w:t xml:space="preserve"> novelty labels instead of treating difference as discovery. The evidence supports software-contract reproducibility, one retrospective literature case, and descriptive structural triage. Establishing general agent efficacy or biological novelty still requires a larger preregistered benchmark, independent expert assessment, prospective analysis, and experimental validation.</w:t>
      </w:r>
    </w:p>
    <w:p>
      <w:pPr>
        <w:pStyle w:val="Heading1"/>
      </w:pPr>
      <w:r>
        <w:t>Data and code availability</w:t>
      </w:r>
    </w:p>
    <w:p>
      <w:r>
        <w:rPr>
          <w:rFonts w:ascii="Times New Roman" w:hAnsi="Times New Roman"/>
          <w:color w:val="181B1F"/>
          <w:sz w:val="22"/>
        </w:rPr>
        <w:t xml:space="preserve">Code, manuscript source, experiment scripts, exact input coordinate files, hashes, derived CSV/JSONL files, figures, and validation manifests are available in the companion repository: </w:t>
      </w:r>
      <w:r>
        <w:rPr>
          <w:rFonts w:ascii="Times New Roman" w:hAnsi="Times New Roman"/>
          <w:color w:val="1F4D78"/>
          <w:sz w:val="22"/>
          <w:u w:val="single"/>
        </w:rPr>
        <w:t>https://github.com/Eldergenix/Plato-Scientific-Research-Autonomous-Agent</w:t>
      </w:r>
      <w:r>
        <w:rPr>
          <w:rFonts w:ascii="Times New Roman" w:hAnsi="Times New Roman"/>
          <w:color w:val="181B1F"/>
          <w:sz w:val="22"/>
        </w:rPr>
        <w:t>.</w:t>
      </w:r>
      <w:r>
        <w:rPr>
          <w:rFonts w:ascii="Times New Roman" w:hAnsi="Times New Roman"/>
          <w:color w:val="181B1F"/>
          <w:sz w:val="22"/>
        </w:rPr>
        <w:t xml:space="preserve"> The original globin bundle is under </w:t>
      </w:r>
      <w:r>
        <w:rPr>
          <w:rFonts w:ascii="Courier New" w:hAnsi="Courier New"/>
          <w:color w:val="181B1F"/>
          <w:sz w:val="19"/>
        </w:rPr>
        <w:t>preprint/results/globin_benchmark/</w:t>
      </w:r>
      <w:r>
        <w:rPr>
          <w:rFonts w:ascii="Times New Roman" w:hAnsi="Times New Roman"/>
          <w:color w:val="181B1F"/>
          <w:sz w:val="22"/>
        </w:rPr>
        <w:t xml:space="preserve">; the expanded structural screen is under </w:t>
      </w:r>
      <w:r>
        <w:rPr>
          <w:rFonts w:ascii="Courier New" w:hAnsi="Courier New"/>
          <w:color w:val="181B1F"/>
          <w:sz w:val="19"/>
        </w:rPr>
        <w:t>preprint/results/diverse_structure_benchmark/</w:t>
      </w:r>
      <w:r>
        <w:rPr>
          <w:rFonts w:ascii="Times New Roman" w:hAnsi="Times New Roman"/>
          <w:color w:val="181B1F"/>
          <w:sz w:val="22"/>
        </w:rPr>
        <w:t xml:space="preserve">; and temporal fixtures and results are under </w:t>
      </w:r>
      <w:r>
        <w:rPr>
          <w:rFonts w:ascii="Courier New" w:hAnsi="Courier New"/>
          <w:color w:val="181B1F"/>
          <w:sz w:val="19"/>
        </w:rPr>
        <w:t>evals/biological_novelty/fixtures/</w:t>
      </w:r>
      <w:r>
        <w:rPr>
          <w:rFonts w:ascii="Times New Roman" w:hAnsi="Times New Roman"/>
          <w:color w:val="181B1F"/>
          <w:sz w:val="22"/>
        </w:rPr>
        <w:t xml:space="preserve"> and </w:t>
      </w:r>
      <w:r>
        <w:rPr>
          <w:rFonts w:ascii="Courier New" w:hAnsi="Courier New"/>
          <w:color w:val="181B1F"/>
          <w:sz w:val="19"/>
        </w:rPr>
        <w:t>preprint/results/temporal_novelty_*</w:t>
      </w:r>
      <w:r>
        <w:rPr>
          <w:rFonts w:ascii="Times New Roman" w:hAnsi="Times New Roman"/>
          <w:color w:val="181B1F"/>
          <w:sz w:val="22"/>
        </w:rPr>
        <w:t xml:space="preserve">. The pinned, hash-verified CompBioBench catalog is metadata only and is stored under </w:t>
      </w:r>
      <w:r>
        <w:rPr>
          <w:rFonts w:ascii="Courier New" w:hAnsi="Courier New"/>
          <w:color w:val="181B1F"/>
          <w:sz w:val="19"/>
        </w:rPr>
        <w:t>preprint/results/compbiobench_catalog/</w:t>
      </w:r>
      <w:r>
        <w:rPr>
          <w:rFonts w:ascii="Times New Roman" w:hAnsi="Times New Roman"/>
          <w:color w:val="181B1F"/>
          <w:sz w:val="22"/>
        </w:rPr>
        <w:t>. The release commit identifier is recorded in validation manifests and should be replaced by a tagged release or archival DOI when available.</w:t>
      </w:r>
    </w:p>
    <w:p>
      <w:pPr>
        <w:pStyle w:val="Heading1"/>
      </w:pPr>
      <w:r>
        <w:t>Ethics statement</w:t>
      </w:r>
    </w:p>
    <w:p>
      <w:r>
        <w:rPr>
          <w:rFonts w:ascii="Times New Roman" w:hAnsi="Times New Roman"/>
          <w:color w:val="181B1F"/>
          <w:sz w:val="22"/>
        </w:rPr>
        <w:t>This study used public protein-structure records and software tests. It involved no human participants, identifiable private information, animals, or prospective clinical intervention; institutional ethics review was not required. The software must not be used to make clinical decisions without independent validation and appropriate regulatory and ethical oversight.</w:t>
      </w:r>
    </w:p>
    <w:p>
      <w:pPr>
        <w:pStyle w:val="Heading1"/>
      </w:pPr>
      <w:r>
        <w:t>Funding</w:t>
      </w:r>
    </w:p>
    <w:p>
      <w:r>
        <w:rPr>
          <w:rFonts w:ascii="Times New Roman" w:hAnsi="Times New Roman"/>
          <w:color w:val="181B1F"/>
          <w:sz w:val="22"/>
        </w:rPr>
        <w:t>No external funding was reported for this study.</w:t>
      </w:r>
    </w:p>
    <w:p>
      <w:pPr>
        <w:pStyle w:val="Heading1"/>
      </w:pPr>
      <w:r>
        <w:t>Competing interests</w:t>
      </w:r>
    </w:p>
    <w:p>
      <w:r>
        <w:rPr>
          <w:rFonts w:ascii="Times New Roman" w:hAnsi="Times New Roman"/>
          <w:color w:val="181B1F"/>
          <w:sz w:val="22"/>
        </w:rPr>
        <w:t>The author maintains the Eldergenix fork of Plato described in this manuscript. No other competing interests were reported.</w:t>
      </w:r>
    </w:p>
    <w:p>
      <w:pPr>
        <w:pStyle w:val="Heading1"/>
      </w:pPr>
      <w:r>
        <w:t>Author contributions</w:t>
      </w:r>
    </w:p>
    <w:p>
      <w:r>
        <w:rPr>
          <w:rFonts w:ascii="Times New Roman" w:hAnsi="Times New Roman"/>
          <w:color w:val="181B1F"/>
          <w:sz w:val="22"/>
        </w:rPr>
        <w:t>S.C.: conceptualization, software, methodology, investigation, validation, data curation, visualization, writing—original draft, writing—review and editing, and project administration. Original Denario/Plato contributors are credited through citation [4] and the software repository history; they are not listed as authors of this fork-specific study without explicit authorship consent.</w:t>
      </w:r>
    </w:p>
    <w:p>
      <w:pPr>
        <w:pStyle w:val="Heading1"/>
      </w:pPr>
      <w:r>
        <w:t>Generative AI disclosure</w:t>
      </w:r>
    </w:p>
    <w:p>
      <w:r>
        <w:rPr>
          <w:rFonts w:ascii="Times New Roman" w:hAnsi="Times New Roman"/>
          <w:color w:val="181B1F"/>
          <w:sz w:val="22"/>
        </w:rPr>
        <w:t>OpenAI Codex (GPT-5) assisted with repository auditing, experimental scripting, test repair, figure preparation, and manuscript drafting. The human author is responsible for the study design, verification of analyses, accuracy, originality, interpretation, and final submitted text. The AI system is not an author.</w:t>
      </w:r>
    </w:p>
    <w:p>
      <w:pPr>
        <w:pStyle w:val="Heading1"/>
      </w:pPr>
      <w:r>
        <w:t>Acknowledgments</w:t>
      </w:r>
    </w:p>
    <w:p>
      <w:r>
        <w:rPr>
          <w:rFonts w:ascii="Times New Roman" w:hAnsi="Times New Roman"/>
          <w:color w:val="181B1F"/>
          <w:sz w:val="22"/>
        </w:rPr>
        <w:t>We thank the original Denario/Plato contributors for releasing the foundational research-agent code, the RCSB Protein Data Bank for experimental structures, and EMBL-EBI and Google DeepMind for AlphaFold DB predictions.</w:t>
      </w:r>
    </w:p>
    <w:p>
      <w:pPr>
        <w:pStyle w:val="Heading1"/>
      </w:pPr>
      <w:r>
        <w:t>References</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King RD, Rowland J, Oliver SG, et al. The automation of science. </w:t>
      </w:r>
      <w:r>
        <w:rPr>
          <w:rFonts w:ascii="Times New Roman" w:hAnsi="Times New Roman"/>
          <w:i/>
          <w:color w:val="181B1F"/>
          <w:sz w:val="22"/>
        </w:rPr>
        <w:t>Science</w:t>
      </w:r>
      <w:r>
        <w:rPr>
          <w:rFonts w:ascii="Times New Roman" w:hAnsi="Times New Roman"/>
          <w:color w:val="181B1F"/>
          <w:sz w:val="22"/>
        </w:rPr>
        <w:t xml:space="preserve">. 2009;324:85–89. </w:t>
      </w:r>
      <w:r>
        <w:rPr>
          <w:rFonts w:ascii="Times New Roman" w:hAnsi="Times New Roman"/>
          <w:color w:val="1F4D78"/>
          <w:sz w:val="22"/>
          <w:u w:val="single"/>
        </w:rPr>
        <w:t>https://doi.org/10.1126/science.1165620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Lu C, Lu C, Lange R, et al. The AI Scientist: towards fully automated open-ended scientific discovery. </w:t>
      </w:r>
      <w:r>
        <w:rPr>
          <w:rFonts w:ascii="Times New Roman" w:hAnsi="Times New Roman"/>
          <w:i/>
          <w:color w:val="181B1F"/>
          <w:sz w:val="22"/>
        </w:rPr>
        <w:t>arXiv</w:t>
      </w:r>
      <w:r>
        <w:rPr>
          <w:rFonts w:ascii="Times New Roman" w:hAnsi="Times New Roman"/>
          <w:color w:val="181B1F"/>
          <w:sz w:val="22"/>
        </w:rPr>
        <w:t xml:space="preserve">. 2024. </w:t>
      </w:r>
      <w:r>
        <w:rPr>
          <w:rFonts w:ascii="Times New Roman" w:hAnsi="Times New Roman"/>
          <w:color w:val="1F4D78"/>
          <w:sz w:val="22"/>
          <w:u w:val="single"/>
        </w:rPr>
        <w:t>https://doi.org/10.48550/arXiv.2408.06292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Schmidgall S, Su Y, Wang Z, Sun X, Wu J. Agent Laboratory: using LLM agents as research assistants.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https://doi.org/10.48550/arXiv.2501.04227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Villaescusa-Navarro F, Bolliet B, Villanueva-Domingo P, et al. The Denario project: deep knowledge AI agents for scientific discovery.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https://doi.org/10.48550/arXiv.2510.26887</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Wilkinson MD, Dumontier M, Aalbersberg IJJ, et al. The FAIR Guiding Principles for scientific data management and stewardship. </w:t>
      </w:r>
      <w:r>
        <w:rPr>
          <w:rFonts w:ascii="Times New Roman" w:hAnsi="Times New Roman"/>
          <w:i/>
          <w:color w:val="181B1F"/>
          <w:sz w:val="22"/>
        </w:rPr>
        <w:t>Scientific Data</w:t>
      </w:r>
      <w:r>
        <w:rPr>
          <w:rFonts w:ascii="Times New Roman" w:hAnsi="Times New Roman"/>
          <w:color w:val="181B1F"/>
          <w:sz w:val="22"/>
        </w:rPr>
        <w:t xml:space="preserve">. 2016;3:160018. </w:t>
      </w:r>
      <w:r>
        <w:rPr>
          <w:rFonts w:ascii="Times New Roman" w:hAnsi="Times New Roman"/>
          <w:color w:val="1F4D78"/>
          <w:sz w:val="22"/>
          <w:u w:val="single"/>
        </w:rPr>
        <w:t>https://doi.org/10.1038/sdata.2016.18</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Berman HM, Westbrook J, Feng Z, et al. The Protein Data Bank. </w:t>
      </w:r>
      <w:r>
        <w:rPr>
          <w:rFonts w:ascii="Times New Roman" w:hAnsi="Times New Roman"/>
          <w:i/>
          <w:color w:val="181B1F"/>
          <w:sz w:val="22"/>
        </w:rPr>
        <w:t>Nucleic Acids Research</w:t>
      </w:r>
      <w:r>
        <w:rPr>
          <w:rFonts w:ascii="Times New Roman" w:hAnsi="Times New Roman"/>
          <w:color w:val="181B1F"/>
          <w:sz w:val="22"/>
        </w:rPr>
        <w:t xml:space="preserve">. 2000;28:235–242. </w:t>
      </w:r>
      <w:r>
        <w:rPr>
          <w:rFonts w:ascii="Times New Roman" w:hAnsi="Times New Roman"/>
          <w:color w:val="1F4D78"/>
          <w:sz w:val="22"/>
          <w:u w:val="single"/>
        </w:rPr>
        <w:t>https://doi.org/10.1093/nar/28.1.235</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Varadi M, Anyango S, Deshpande M, et al. AlphaFold Protein Structure Database: massively expanding the structural coverage of protein-sequence space with high-accuracy models. </w:t>
      </w:r>
      <w:r>
        <w:rPr>
          <w:rFonts w:ascii="Times New Roman" w:hAnsi="Times New Roman"/>
          <w:i/>
          <w:color w:val="181B1F"/>
          <w:sz w:val="22"/>
        </w:rPr>
        <w:t>Nucleic Acids Research</w:t>
      </w:r>
      <w:r>
        <w:rPr>
          <w:rFonts w:ascii="Times New Roman" w:hAnsi="Times New Roman"/>
          <w:color w:val="181B1F"/>
          <w:sz w:val="22"/>
        </w:rPr>
        <w:t xml:space="preserve">. 2022;50:D439–D444. </w:t>
      </w:r>
      <w:r>
        <w:rPr>
          <w:rFonts w:ascii="Times New Roman" w:hAnsi="Times New Roman"/>
          <w:color w:val="1F4D78"/>
          <w:sz w:val="22"/>
          <w:u w:val="single"/>
        </w:rPr>
        <w:t>https://doi.org/10.1093/nar/gkab1061</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Kabsch W. A solution for the best rotation to relate two sets of vectors. </w:t>
      </w:r>
      <w:r>
        <w:rPr>
          <w:rFonts w:ascii="Times New Roman" w:hAnsi="Times New Roman"/>
          <w:i/>
          <w:color w:val="181B1F"/>
          <w:sz w:val="22"/>
        </w:rPr>
        <w:t>Acta Crystallographica Section A</w:t>
      </w:r>
      <w:r>
        <w:rPr>
          <w:rFonts w:ascii="Times New Roman" w:hAnsi="Times New Roman"/>
          <w:color w:val="181B1F"/>
          <w:sz w:val="22"/>
        </w:rPr>
        <w:t xml:space="preserve">. 1976;32:922–923. </w:t>
      </w:r>
      <w:r>
        <w:rPr>
          <w:rFonts w:ascii="Times New Roman" w:hAnsi="Times New Roman"/>
          <w:color w:val="1F4D78"/>
          <w:sz w:val="22"/>
          <w:u w:val="single"/>
        </w:rPr>
        <w:t>https://doi.org/10.1107/S0567739476001873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Mariani V, Biasini M, Barbato A, Schwede T. lDDT: a local superposition-free score for comparing protein structures and models using distance difference tests. </w:t>
      </w:r>
      <w:r>
        <w:rPr>
          <w:rFonts w:ascii="Times New Roman" w:hAnsi="Times New Roman"/>
          <w:i/>
          <w:color w:val="181B1F"/>
          <w:sz w:val="22"/>
        </w:rPr>
        <w:t>Bioinformatics</w:t>
      </w:r>
      <w:r>
        <w:rPr>
          <w:rFonts w:ascii="Times New Roman" w:hAnsi="Times New Roman"/>
          <w:color w:val="181B1F"/>
          <w:sz w:val="22"/>
        </w:rPr>
        <w:t xml:space="preserve">. 2013;29:2722–2728. </w:t>
      </w:r>
      <w:r>
        <w:rPr>
          <w:rFonts w:ascii="Times New Roman" w:hAnsi="Times New Roman"/>
          <w:color w:val="1F4D78"/>
          <w:sz w:val="22"/>
          <w:u w:val="single"/>
        </w:rPr>
        <w:t>https://doi.org/10.1093/bioinformatics/btt473</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Jumper J, Evans R, Pritzel A, et al. Highly accurate protein structure prediction with AlphaFold. </w:t>
      </w:r>
      <w:r>
        <w:rPr>
          <w:rFonts w:ascii="Times New Roman" w:hAnsi="Times New Roman"/>
          <w:i/>
          <w:color w:val="181B1F"/>
          <w:sz w:val="22"/>
        </w:rPr>
        <w:t>Nature</w:t>
      </w:r>
      <w:r>
        <w:rPr>
          <w:rFonts w:ascii="Times New Roman" w:hAnsi="Times New Roman"/>
          <w:color w:val="181B1F"/>
          <w:sz w:val="22"/>
        </w:rPr>
        <w:t xml:space="preserve">. 2021;596:583–589. </w:t>
      </w:r>
      <w:r>
        <w:rPr>
          <w:rFonts w:ascii="Times New Roman" w:hAnsi="Times New Roman"/>
          <w:color w:val="1F4D78"/>
          <w:sz w:val="22"/>
          <w:u w:val="single"/>
        </w:rPr>
        <w:t>https://doi.org/10.1038/s41586-021-03819-2</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Chen Z, Chen S, Ning Y, et al. ScienceAgentBench: toward rigorous assessment of language agents for data-driven scientific discovery. </w:t>
      </w:r>
      <w:r>
        <w:rPr>
          <w:rFonts w:ascii="Times New Roman" w:hAnsi="Times New Roman"/>
          <w:i/>
          <w:color w:val="181B1F"/>
          <w:sz w:val="22"/>
        </w:rPr>
        <w:t>International Conference on Learning Representations</w:t>
      </w:r>
      <w:r>
        <w:rPr>
          <w:rFonts w:ascii="Times New Roman" w:hAnsi="Times New Roman"/>
          <w:color w:val="181B1F"/>
          <w:sz w:val="22"/>
        </w:rPr>
        <w:t xml:space="preserve">. 2025. </w:t>
      </w:r>
      <w:r>
        <w:rPr>
          <w:rFonts w:ascii="Times New Roman" w:hAnsi="Times New Roman"/>
          <w:color w:val="1F4D78"/>
          <w:sz w:val="22"/>
          <w:u w:val="single"/>
        </w:rPr>
        <w:t>https://proceedings.iclr.cc/paper_files/paper/2025/hash/f12b4df26344f3be803c06b555252efe-Abstract-Conference.html</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Wang Z, Danek B, Sun J. BioDSA-1K: benchmarking data science agents for biomedical research.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https://doi.org/10.48550/arXiv.2505.16100</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Mitchener L, Laurent JM, Andonian A, et al. BixBench: a comprehensive benchmark for LLM-based agents in computational biology. </w:t>
      </w:r>
      <w:r>
        <w:rPr>
          <w:rFonts w:ascii="Times New Roman" w:hAnsi="Times New Roman"/>
          <w:i/>
          <w:color w:val="181B1F"/>
          <w:sz w:val="22"/>
        </w:rPr>
        <w:t>arXiv</w:t>
      </w:r>
      <w:r>
        <w:rPr>
          <w:rFonts w:ascii="Times New Roman" w:hAnsi="Times New Roman"/>
          <w:color w:val="181B1F"/>
          <w:sz w:val="22"/>
        </w:rPr>
        <w:t xml:space="preserve">. 2025. </w:t>
      </w:r>
      <w:r>
        <w:rPr>
          <w:rFonts w:ascii="Times New Roman" w:hAnsi="Times New Roman"/>
          <w:color w:val="1F4D78"/>
          <w:sz w:val="22"/>
          <w:u w:val="single"/>
        </w:rPr>
        <w:t>https://doi.org/10.48550/arXiv.2503.00096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Goyle KB, Dormandy JA. Abnormal blood viscosity in Raynaud's phenomenon. </w:t>
      </w:r>
      <w:r>
        <w:rPr>
          <w:rFonts w:ascii="Times New Roman" w:hAnsi="Times New Roman"/>
          <w:i/>
          <w:color w:val="181B1F"/>
          <w:sz w:val="22"/>
        </w:rPr>
        <w:t>Lancet</w:t>
      </w:r>
      <w:r>
        <w:rPr>
          <w:rFonts w:ascii="Times New Roman" w:hAnsi="Times New Roman"/>
          <w:color w:val="181B1F"/>
          <w:sz w:val="22"/>
        </w:rPr>
        <w:t xml:space="preserve">. 1976;1:1317–1318. </w:t>
      </w:r>
      <w:r>
        <w:rPr>
          <w:rFonts w:ascii="Times New Roman" w:hAnsi="Times New Roman"/>
          <w:color w:val="1F4D78"/>
          <w:sz w:val="22"/>
          <w:u w:val="single"/>
        </w:rPr>
        <w:t>https://doi.org/10.1016/S0140-6736(76)92651-9</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Cartwright IJ, Pockley AG, Galloway JH, Greaves M, Preston FE. The effects of dietary omega-3 polyunsaturated fatty acids on erythrocyte membrane phospholipids, erythrocyte deformability and blood viscosity in healthy volunteers. </w:t>
      </w:r>
      <w:r>
        <w:rPr>
          <w:rFonts w:ascii="Times New Roman" w:hAnsi="Times New Roman"/>
          <w:i/>
          <w:color w:val="181B1F"/>
          <w:sz w:val="22"/>
        </w:rPr>
        <w:t>Atherosclerosis</w:t>
      </w:r>
      <w:r>
        <w:rPr>
          <w:rFonts w:ascii="Times New Roman" w:hAnsi="Times New Roman"/>
          <w:color w:val="181B1F"/>
          <w:sz w:val="22"/>
        </w:rPr>
        <w:t xml:space="preserve">. 1985;55:267–281. </w:t>
      </w:r>
      <w:r>
        <w:rPr>
          <w:rFonts w:ascii="Times New Roman" w:hAnsi="Times New Roman"/>
          <w:color w:val="1F4D78"/>
          <w:sz w:val="22"/>
          <w:u w:val="single"/>
        </w:rPr>
        <w:t>https://doi.org/10.1016/0021-9150(85)90106-6</w:t>
      </w:r>
    </w:p>
    <w:p>
      <w:pPr>
        <w:pStyle w:val="ListNumber"/>
        <w:numPr>
          <w:ilvl w:val="0"/>
          <w:numId w:val="11"/>
        </w:numPr>
      </w:pPr>
      <w:r>
        <w:rPr>
          <w:rFonts w:ascii="Times New Roman" w:hAnsi="Times New Roman"/>
          <w:color w:val="181B1F"/>
          <w:sz w:val="22"/>
        </w:rPr>
        <w:t xml:space="preserve"> </w:t>
      </w:r>
      <w:r>
        <w:rPr>
          <w:rFonts w:ascii="Times New Roman" w:hAnsi="Times New Roman"/>
          <w:color w:val="181B1F"/>
          <w:sz w:val="22"/>
        </w:rPr>
        <w:t xml:space="preserve">DiGiacomo RA, Kremer JM, Shah DM. Fish-oil dietary supplementation in patients with Raynaud's phenomenon: a double-blind, controlled, prospective study. </w:t>
      </w:r>
      <w:r>
        <w:rPr>
          <w:rFonts w:ascii="Times New Roman" w:hAnsi="Times New Roman"/>
          <w:i/>
          <w:color w:val="181B1F"/>
          <w:sz w:val="22"/>
        </w:rPr>
        <w:t>American Journal of Medicine</w:t>
      </w:r>
      <w:r>
        <w:rPr>
          <w:rFonts w:ascii="Times New Roman" w:hAnsi="Times New Roman"/>
          <w:color w:val="181B1F"/>
          <w:sz w:val="22"/>
        </w:rPr>
        <w:t xml:space="preserve">. 1989;86:158–164. </w:t>
      </w:r>
      <w:r>
        <w:rPr>
          <w:rFonts w:ascii="Times New Roman" w:hAnsi="Times New Roman"/>
          <w:color w:val="1F4D78"/>
          <w:sz w:val="22"/>
          <w:u w:val="single"/>
        </w:rPr>
        <w:t>https://doi.org/10.1016/0002-9343(89)90261-1</w:t>
      </w:r>
    </w:p>
    <w:p>
      <w:pPr>
        <w:pStyle w:val="Heading1"/>
      </w:pPr>
      <w:r>
        <w:t>Figure legends</w:t>
      </w:r>
    </w:p>
    <w:p>
      <w:r>
        <w:rPr>
          <w:rFonts w:ascii="Times New Roman" w:hAnsi="Times New Roman"/>
          <w:b/>
          <w:color w:val="181B1F"/>
          <w:sz w:val="22"/>
        </w:rPr>
        <w:t>Figure 1. Plato-Bio architecture and verification boundaries.</w:t>
      </w:r>
      <w:r>
        <w:rPr>
          <w:rFonts w:ascii="Times New Roman" w:hAnsi="Times New Roman"/>
          <w:color w:val="181B1F"/>
          <w:sz w:val="22"/>
        </w:rPr>
        <w:t xml:space="preserve"> The main research stages are represented as an explicit graph. Lower controls emit or validate artifacts used by downstream stages. The diagram describes implemented topology and does not imply that each stage has been empirically validated end to end.</w:t>
      </w:r>
    </w:p>
    <w:p>
      <w:r>
        <w:rPr>
          <w:rFonts w:ascii="Times New Roman" w:hAnsi="Times New Roman"/>
          <w:b/>
          <w:color w:val="181B1F"/>
          <w:sz w:val="22"/>
        </w:rPr>
        <w:t>Figure 2. Targeted deterministic validation suites.</w:t>
      </w:r>
      <w:r>
        <w:rPr>
          <w:rFonts w:ascii="Times New Roman" w:hAnsi="Times New Roman"/>
          <w:color w:val="181B1F"/>
          <w:sz w:val="22"/>
        </w:rPr>
        <w:t xml:space="preserve"> Bars show passing tests in control-specific subsets; gray denotes skipped tests. Suites overlap with the full repository suite and should not be summed.</w:t>
      </w:r>
    </w:p>
    <w:p>
      <w:r>
        <w:rPr>
          <w:rFonts w:ascii="Times New Roman" w:hAnsi="Times New Roman"/>
          <w:b/>
          <w:color w:val="181B1F"/>
          <w:sz w:val="22"/>
        </w:rPr>
        <w:t>Figure 3. Historical temporal rediscovery pilot.</w:t>
      </w:r>
      <w:r>
        <w:rPr>
          <w:rFonts w:ascii="Times New Roman" w:hAnsi="Times New Roman"/>
          <w:color w:val="181B1F"/>
          <w:sz w:val="22"/>
        </w:rPr>
        <w:t xml:space="preserve"> Bars compare mean reciprocal rank and Recall@1 for frequency, TF–IDF, A–B/B–C bridge, and evidence-aware ranking. The benchmark contains one manually curated task, so the values are descriptive and do not estimate general discovery performance.</w:t>
      </w:r>
    </w:p>
    <w:p>
      <w:r>
        <w:rPr>
          <w:rFonts w:ascii="Times New Roman" w:hAnsi="Times New Roman"/>
          <w:b/>
          <w:color w:val="181B1F"/>
          <w:sz w:val="22"/>
        </w:rPr>
        <w:t>Figure 4. AlphaFold-to-experiment agreement in the declared globin panel.</w:t>
      </w:r>
      <w:r>
        <w:rPr>
          <w:rFonts w:ascii="Times New Roman" w:hAnsi="Times New Roman"/>
          <w:color w:val="181B1F"/>
          <w:sz w:val="22"/>
        </w:rPr>
        <w:t xml:space="preserve"> Bars show global Cα RMSD after sequence-aware matching and Kabsch superposition. Values are calculated from the supplied target summary.</w:t>
      </w:r>
    </w:p>
    <w:p>
      <w:r>
        <w:rPr>
          <w:rFonts w:ascii="Times New Roman" w:hAnsi="Times New Roman"/>
          <w:b/>
          <w:color w:val="181B1F"/>
          <w:sz w:val="22"/>
        </w:rPr>
        <w:t>Figure 5. Residue confidence versus aligned coordinate error.</w:t>
      </w:r>
      <w:r>
        <w:rPr>
          <w:rFonts w:ascii="Times New Roman" w:hAnsi="Times New Roman"/>
          <w:color w:val="181B1F"/>
          <w:sz w:val="22"/>
        </w:rPr>
        <w:t xml:space="preserve"> Each point is one matched residue. pLDDT is read from the AlphaFold PDB B-factor field; error is the Euclidean Cα distance after target-level superposition.</w:t>
      </w:r>
    </w:p>
    <w:p>
      <w:r>
        <w:rPr>
          <w:rFonts w:ascii="Times New Roman" w:hAnsi="Times New Roman"/>
          <w:b/>
          <w:color w:val="181B1F"/>
          <w:sz w:val="22"/>
        </w:rPr>
        <w:t>Figure 6. Diverse structural screen.</w:t>
      </w:r>
      <w:r>
        <w:rPr>
          <w:rFonts w:ascii="Times New Roman" w:hAnsi="Times New Roman"/>
          <w:color w:val="181B1F"/>
          <w:sz w:val="22"/>
        </w:rPr>
        <w:t xml:space="preserve"> Bars show Cα RMSD after Kabsch fitting on matched AlphaFold residues with pLDDT≥70. Error bars are descriptive 95% moving-block residue-bootstrap intervals and are not population-level confidence intervals.</w:t>
      </w:r>
    </w:p>
    <w:sectPr w:rsidR="00FC693F" w:rsidRPr="0006063C" w:rsidSect="00034616">
      <w:headerReference w:type="default" r:id="rId9"/>
      <w:footerReference w:type="default" r:id="rId10"/>
      <w:pgSz w:w="12240" w:h="15840"/>
      <w:pgMar w:top="1152" w:right="1224" w:bottom="1152" w:left="1224"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555F69"/>
        <w:sz w:val="18"/>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rial" w:hAnsi="Arial"/>
        <w:color w:val="555F69"/>
        <w:sz w:val="17"/>
      </w:rPr>
      <w:t>Plato-Bio | bioRxiv preprint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93" w:lineRule="auto"/>
      <w:jc w:val="both"/>
    </w:pPr>
    <w:rPr>
      <w:rFonts w:ascii="Times New Roman" w:hAnsi="Times New Roman"/>
      <w:color w:val="181B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1F4D7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F4D78"/>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jc w:val="left"/>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jc w:val="left"/>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80" w:after="200"/>
      <w:jc w:val="left"/>
    </w:pPr>
    <w:rPr>
      <w:rFonts w:ascii="Arial" w:hAnsi="Arial"/>
      <w:b/>
      <w:bCs/>
      <w:i/>
      <w:color w:val="555F6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Plato-Bio: verification-first biological novelty screening with temporal rediscovery and structural benchmarks</dc:title>
  <dc:subject>Verification-first computational biology research workflow</dc:subject>
  <dc:creator>Stefan Creadore</dc:creator>
  <cp:keywords>bioinformatics, scientific agents, reproducibility, AlphaFold</cp:keywords>
  <dc:description>generated by python-docx</dc:description>
  <cp:lastModifiedBy/>
  <cp:revision>1</cp:revision>
  <dcterms:created xsi:type="dcterms:W3CDTF">2013-12-23T23:15:00Z</dcterms:created>
  <dcterms:modified xsi:type="dcterms:W3CDTF">2013-12-23T23:15:00Z</dcterms:modified>
  <cp:category/>
</cp:coreProperties>
</file>