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keepNext/>
        <w:spacing w:after="200"/>
        <w:jc w:val="center"/>
      </w:pPr>
      <w:r>
        <w:rPr>
          <w:rFonts w:ascii="Arial" w:hAnsi="Arial"/>
          <w:b/>
          <w:color w:val="181B1F"/>
          <w:sz w:val="36"/>
        </w:rPr>
        <w:t>Supplementary Material: Plato-Bio</w:t>
      </w:r>
    </w:p>
    <w:p>
      <w:pPr>
        <w:jc w:val="center"/>
      </w:pPr>
      <w:r>
        <w:rPr>
          <w:rFonts w:ascii="Times New Roman" w:hAnsi="Times New Roman"/>
          <w:b w:val="0"/>
          <w:i/>
          <w:color w:val="181B1F"/>
          <w:sz w:val="21"/>
        </w:rPr>
        <w:t>A reproducibility inventory for temporal rediscovery, structural screening, and deterministic software validation.</w:t>
      </w:r>
    </w:p>
    <w:p>
      <w:pPr>
        <w:pStyle w:val="Heading1"/>
      </w:pPr>
      <w:r>
        <w:t>S1. Reproduction commands</w:t>
      </w:r>
    </w:p>
    <w:p>
      <w:pPr>
        <w:pStyle w:val="ListBullet"/>
      </w:pPr>
      <w:r>
        <w:rPr>
          <w:rFonts w:ascii="Times New Roman" w:hAnsi="Times New Roman"/>
          <w:color w:val="181B1F"/>
          <w:sz w:val="22"/>
        </w:rPr>
        <w:t xml:space="preserve"> </w:t>
      </w:r>
      <w:r>
        <w:rPr>
          <w:rFonts w:ascii="Courier New" w:hAnsi="Courier New"/>
          <w:color w:val="181B1F"/>
          <w:sz w:val="18"/>
        </w:rPr>
        <w:t>.venv/bin/python preprint/experiments/run_globin_structure_benchmark.py</w:t>
      </w:r>
    </w:p>
    <w:p>
      <w:pPr>
        <w:pStyle w:val="ListBullet"/>
      </w:pPr>
      <w:r>
        <w:rPr>
          <w:rFonts w:ascii="Times New Roman" w:hAnsi="Times New Roman"/>
          <w:color w:val="181B1F"/>
          <w:sz w:val="22"/>
        </w:rPr>
        <w:t xml:space="preserve"> </w:t>
      </w:r>
      <w:r>
        <w:rPr>
          <w:rFonts w:ascii="Courier New" w:hAnsi="Courier New"/>
          <w:color w:val="181B1F"/>
          <w:sz w:val="18"/>
        </w:rPr>
        <w:t>.venv/bin/python preprint/experiments/run_globin_structure_benchmark.py --panel-file preprint/experiments/diverse_structure_panel.json --output-dir preprint/results/diverse_structure_benchmark --figures-dir preprint/figures --benchmark-name diverse_structure_panel</w:t>
      </w:r>
    </w:p>
    <w:p>
      <w:pPr>
        <w:pStyle w:val="ListBullet"/>
      </w:pPr>
      <w:r>
        <w:rPr>
          <w:rFonts w:ascii="Times New Roman" w:hAnsi="Times New Roman"/>
          <w:color w:val="181B1F"/>
          <w:sz w:val="22"/>
        </w:rPr>
        <w:t xml:space="preserve"> </w:t>
      </w:r>
      <w:r>
        <w:rPr>
          <w:rFonts w:ascii="Courier New" w:hAnsi="Courier New"/>
          <w:color w:val="181B1F"/>
          <w:sz w:val="18"/>
        </w:rPr>
        <w:t>.venv/bin/python preprint/experiments/run_temporal_novelty_benchmark.py --fixtures evals/biological_novelty/fixtures/engineering_smoke.json --output-dir preprint/results/temporal_novelty_smoke</w:t>
      </w:r>
    </w:p>
    <w:p>
      <w:pPr>
        <w:pStyle w:val="ListBullet"/>
      </w:pPr>
      <w:r>
        <w:rPr>
          <w:rFonts w:ascii="Times New Roman" w:hAnsi="Times New Roman"/>
          <w:color w:val="181B1F"/>
          <w:sz w:val="22"/>
        </w:rPr>
        <w:t xml:space="preserve"> </w:t>
      </w:r>
      <w:r>
        <w:rPr>
          <w:rFonts w:ascii="Courier New" w:hAnsi="Courier New"/>
          <w:color w:val="181B1F"/>
          <w:sz w:val="18"/>
        </w:rPr>
        <w:t>.venv/bin/python preprint/experiments/run_temporal_novelty_benchmark.py --fixtures evals/biological_novelty/fixtures/historical_pilot.json --output-dir preprint/results/temporal_novelty_historical_pilot</w:t>
      </w:r>
    </w:p>
    <w:p>
      <w:pPr>
        <w:pStyle w:val="ListBullet"/>
      </w:pPr>
      <w:r>
        <w:rPr>
          <w:rFonts w:ascii="Times New Roman" w:hAnsi="Times New Roman"/>
          <w:color w:val="181B1F"/>
          <w:sz w:val="22"/>
        </w:rPr>
        <w:t xml:space="preserve"> </w:t>
      </w:r>
      <w:r>
        <w:rPr>
          <w:rFonts w:ascii="Courier New" w:hAnsi="Courier New"/>
          <w:color w:val="181B1F"/>
          <w:sz w:val="18"/>
        </w:rPr>
        <w:t>.venv/bin/python preprint/experiments/run_software_validation.py</w:t>
      </w:r>
    </w:p>
    <w:p>
      <w:pPr>
        <w:pStyle w:val="ListBullet"/>
      </w:pPr>
      <w:r>
        <w:rPr>
          <w:rFonts w:ascii="Times New Roman" w:hAnsi="Times New Roman"/>
          <w:color w:val="181B1F"/>
          <w:sz w:val="22"/>
        </w:rPr>
        <w:t xml:space="preserve"> </w:t>
      </w:r>
      <w:r>
        <w:rPr>
          <w:rFonts w:ascii="Courier New" w:hAnsi="Courier New"/>
          <w:color w:val="181B1F"/>
          <w:sz w:val="18"/>
        </w:rPr>
        <w:t>.venv/bin/python preprint/experiments/build_summary_figures.py</w:t>
      </w:r>
    </w:p>
    <w:p>
      <w:pPr>
        <w:pStyle w:val="Heading1"/>
      </w:pPr>
      <w:r>
        <w:t>S2. Structural input inventory</w:t>
      </w:r>
    </w:p>
    <w:tbl>
      <w:tblPr>
        <w:tblStyle w:val="TableGrid"/>
        <w:tblW w:type="dxa" w:w="9792"/>
        <w:jc w:val="left"/>
        <w:tblLayout w:type="fixed"/>
        <w:tblLook w:firstColumn="1" w:firstRow="1" w:lastColumn="0" w:lastRow="0" w:noHBand="0" w:noVBand="1" w:val="04A0"/>
        <w:tblInd w:type="dxa" w:w="110"/>
      </w:tblPr>
      <w:tblGrid>
        <w:gridCol w:w="3133"/>
        <w:gridCol w:w="1175"/>
        <w:gridCol w:w="5484"/>
      </w:tblGrid>
      <w:tr>
        <w:trPr>
          <w:trHeight w:hRule="atLeast"/>
          <w:tblHeader w:val="true"/>
        </w:trPr>
        <w:tc>
          <w:tcPr>
            <w:tcW w:type="dxa" w:w="313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File</w:t>
            </w:r>
          </w:p>
        </w:tc>
        <w:tc>
          <w:tcPr>
            <w:tcW w:type="dxa" w:w="117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Bytes</w:t>
            </w:r>
          </w:p>
        </w:tc>
        <w:tc>
          <w:tcPr>
            <w:tcW w:type="dxa" w:w="548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SHA-256</w:t>
            </w:r>
          </w:p>
        </w:tc>
      </w:tr>
      <w:tr>
        <w:trPr>
          <w:trHeight w:hRule="atLeast"/>
        </w:trPr>
        <w:tc>
          <w:tcPr>
            <w:tcW w:type="dxa" w:w="313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1A3N.pdb</w:t>
            </w:r>
          </w:p>
        </w:tc>
        <w:tc>
          <w:tcPr>
            <w:tcW w:type="dxa" w:w="117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461619</w:t>
            </w:r>
          </w:p>
        </w:tc>
        <w:tc>
          <w:tcPr>
            <w:tcW w:type="dxa" w:w="54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1ce17adb5a0a4f986e173aaffa3c3e9910f483f9e32361615a75abb325a1aa7f</w:t>
            </w:r>
          </w:p>
        </w:tc>
      </w:tr>
      <w:tr>
        <w:trPr>
          <w:trHeight w:hRule="atLeast"/>
        </w:trPr>
        <w:tc>
          <w:tcPr>
            <w:tcW w:type="dxa" w:w="313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3RGK.pdb</w:t>
            </w:r>
          </w:p>
        </w:tc>
        <w:tc>
          <w:tcPr>
            <w:tcW w:type="dxa" w:w="117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147015</w:t>
            </w:r>
          </w:p>
        </w:tc>
        <w:tc>
          <w:tcPr>
            <w:tcW w:type="dxa" w:w="54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5fdba6be63ee6d857f3d31cf639452ade4db527c6b14289a13b6a3aa11660f2a</w:t>
            </w:r>
          </w:p>
        </w:tc>
      </w:tr>
      <w:tr>
        <w:trPr>
          <w:trHeight w:hRule="atLeast"/>
        </w:trPr>
        <w:tc>
          <w:tcPr>
            <w:tcW w:type="dxa" w:w="313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AF-P02144-F1.pdb</w:t>
            </w:r>
          </w:p>
        </w:tc>
        <w:tc>
          <w:tcPr>
            <w:tcW w:type="dxa" w:w="117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102950</w:t>
            </w:r>
          </w:p>
        </w:tc>
        <w:tc>
          <w:tcPr>
            <w:tcW w:type="dxa" w:w="54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68dd0c9976dd37bc6787b5b398ddc3ac03b6abdb7cc7025298dd503d8bb3c882</w:t>
            </w:r>
          </w:p>
        </w:tc>
      </w:tr>
      <w:tr>
        <w:trPr>
          <w:trHeight w:hRule="atLeast"/>
        </w:trPr>
        <w:tc>
          <w:tcPr>
            <w:tcW w:type="dxa" w:w="313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AF-P68871-F1.pdb</w:t>
            </w:r>
          </w:p>
        </w:tc>
        <w:tc>
          <w:tcPr>
            <w:tcW w:type="dxa" w:w="117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96551</w:t>
            </w:r>
          </w:p>
        </w:tc>
        <w:tc>
          <w:tcPr>
            <w:tcW w:type="dxa" w:w="54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37b411f5eaa2ff2e6f51774da344f1bd7b54e78c98ce67d9ffb02d8a3dbdf32a</w:t>
            </w:r>
          </w:p>
        </w:tc>
      </w:tr>
      <w:tr>
        <w:trPr>
          <w:trHeight w:hRule="atLeast"/>
        </w:trPr>
        <w:tc>
          <w:tcPr>
            <w:tcW w:type="dxa" w:w="313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AF-P69905-F1.pdb</w:t>
            </w:r>
          </w:p>
        </w:tc>
        <w:tc>
          <w:tcPr>
            <w:tcW w:type="dxa" w:w="117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92096</w:t>
            </w:r>
          </w:p>
        </w:tc>
        <w:tc>
          <w:tcPr>
            <w:tcW w:type="dxa" w:w="54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d9d7ad4607164de17b65767b467d366909d74f96df5176ee368a9a515aaa1911</w:t>
            </w:r>
          </w:p>
        </w:tc>
      </w:tr>
    </w:tbl>
    <w:p>
      <w:pPr>
        <w:spacing w:before="80" w:after="80"/>
      </w:pPr>
    </w:p>
    <w:p>
      <w:r>
        <w:rPr>
          <w:rFonts w:ascii="Times New Roman" w:hAnsi="Times New Roman"/>
          <w:b w:val="0"/>
          <w:i/>
          <w:color w:val="181B1F"/>
          <w:sz w:val="19"/>
        </w:rPr>
        <w:t>The diverse panel contains 29 cached PDB files. Their individual hashes, source URLs, experimental methods, and AlphaFold metadata are recorded in preprint/results/diverse_structure_benchmark/manifest.json.</w:t>
      </w:r>
    </w:p>
    <w:p>
      <w:pPr>
        <w:pStyle w:val="Heading1"/>
      </w:pPr>
      <w:r>
        <w:t>S3. Target-level structural results</w:t>
      </w:r>
    </w:p>
    <w:tbl>
      <w:tblPr>
        <w:tblStyle w:val="TableGrid"/>
        <w:tblW w:type="dxa" w:w="9792"/>
        <w:jc w:val="left"/>
        <w:tblLayout w:type="fixed"/>
        <w:tblLook w:firstColumn="1" w:firstRow="1" w:lastColumn="0" w:lastRow="0" w:noHBand="0" w:noVBand="1" w:val="04A0"/>
        <w:tblInd w:type="dxa" w:w="110"/>
      </w:tblPr>
      <w:tblGrid>
        <w:gridCol w:w="2410"/>
        <w:gridCol w:w="1055"/>
        <w:gridCol w:w="1205"/>
        <w:gridCol w:w="904"/>
        <w:gridCol w:w="1205"/>
        <w:gridCol w:w="904"/>
        <w:gridCol w:w="904"/>
        <w:gridCol w:w="1205"/>
      </w:tblGrid>
      <w:tr>
        <w:trPr>
          <w:trHeight w:hRule="atLeast"/>
          <w:tblHeader w:val="true"/>
        </w:trPr>
        <w:tc>
          <w:tcPr>
            <w:tcW w:type="dxa" w:w="241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Target</w:t>
            </w:r>
          </w:p>
        </w:tc>
        <w:tc>
          <w:tcPr>
            <w:tcW w:type="dxa" w:w="105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Matched</w:t>
            </w:r>
          </w:p>
        </w:tc>
        <w:tc>
          <w:tcPr>
            <w:tcW w:type="dxa" w:w="120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Identity</w:t>
            </w:r>
          </w:p>
        </w:tc>
        <w:tc>
          <w:tcPr>
            <w:tcW w:type="dxa" w:w="90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RMSD Å</w:t>
            </w:r>
          </w:p>
        </w:tc>
        <w:tc>
          <w:tcPr>
            <w:tcW w:type="dxa" w:w="120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Median Å</w:t>
            </w:r>
          </w:p>
        </w:tc>
        <w:tc>
          <w:tcPr>
            <w:tcW w:type="dxa" w:w="90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≤2 Å</w:t>
            </w:r>
          </w:p>
        </w:tc>
        <w:tc>
          <w:tcPr>
            <w:tcW w:type="dxa" w:w="90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ρ</w:t>
            </w:r>
          </w:p>
        </w:tc>
        <w:tc>
          <w:tcPr>
            <w:tcW w:type="dxa" w:w="120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P</w:t>
            </w:r>
          </w:p>
        </w:tc>
      </w:tr>
      <w:tr>
        <w:trPr>
          <w:trHeight w:hRule="atLeast"/>
        </w:trPr>
        <w:tc>
          <w:tcPr>
            <w:tcW w:type="dxa" w:w="24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hemoglobin_alpha</w:t>
            </w:r>
          </w:p>
        </w:tc>
        <w:tc>
          <w:tcPr>
            <w:tcW w:type="dxa" w:w="105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141</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1.000</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0.270</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0.220</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0.242</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0.00388</w:t>
            </w:r>
          </w:p>
        </w:tc>
      </w:tr>
      <w:tr>
        <w:trPr>
          <w:trHeight w:hRule="atLeast"/>
        </w:trPr>
        <w:tc>
          <w:tcPr>
            <w:tcW w:type="dxa" w:w="24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hemoglobin_beta</w:t>
            </w:r>
          </w:p>
        </w:tc>
        <w:tc>
          <w:tcPr>
            <w:tcW w:type="dxa" w:w="105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145</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1.000</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0.520</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0.453</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0.353</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1.34e-05</w:t>
            </w:r>
          </w:p>
        </w:tc>
      </w:tr>
      <w:tr>
        <w:trPr>
          <w:trHeight w:hRule="atLeast"/>
        </w:trPr>
        <w:tc>
          <w:tcPr>
            <w:tcW w:type="dxa" w:w="241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myoglobin</w:t>
            </w:r>
          </w:p>
        </w:tc>
        <w:tc>
          <w:tcPr>
            <w:tcW w:type="dxa" w:w="105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147</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0.987</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0.501</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0.310</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0.993</w:t>
            </w:r>
          </w:p>
        </w:tc>
        <w:tc>
          <w:tcPr>
            <w:tcW w:type="dxa" w:w="90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0.283</w:t>
            </w:r>
          </w:p>
        </w:tc>
        <w:tc>
          <w:tcPr>
            <w:tcW w:type="dxa" w:w="120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0.000515</w:t>
            </w:r>
          </w:p>
        </w:tc>
      </w:tr>
    </w:tbl>
    <w:p>
      <w:pPr>
        <w:spacing w:before="80" w:after="80"/>
      </w:pPr>
    </w:p>
    <w:p>
      <w:r>
        <w:rPr>
          <w:rFonts w:ascii="Times New Roman" w:hAnsi="Times New Roman"/>
          <w:b w:val="0"/>
          <w:i/>
          <w:color w:val="181B1F"/>
          <w:sz w:val="19"/>
        </w:rPr>
        <w:t>The residue-level file contains 433 matched positions. It is supplied as residue_metrics.csv rather than reproduced as a 433-row PDF table.</w:t>
      </w:r>
    </w:p>
    <w:p>
      <w:pPr>
        <w:pStyle w:val="Heading1"/>
      </w:pPr>
      <w:r>
        <w:t>S4. Diverse structural-screen results</w:t>
      </w:r>
    </w:p>
    <w:tbl>
      <w:tblPr>
        <w:tblStyle w:val="TableGrid"/>
        <w:tblW w:type="dxa" w:w="9792"/>
        <w:jc w:val="left"/>
        <w:tblLayout w:type="fixed"/>
        <w:tblLook w:firstColumn="1" w:firstRow="1" w:lastColumn="0" w:lastRow="0" w:noHBand="0" w:noVBand="1" w:val="04A0"/>
        <w:tblInd w:type="dxa" w:w="110"/>
      </w:tblPr>
      <w:tblGrid>
        <w:gridCol w:w="2567"/>
        <w:gridCol w:w="1616"/>
        <w:gridCol w:w="665"/>
        <w:gridCol w:w="951"/>
        <w:gridCol w:w="951"/>
        <w:gridCol w:w="570"/>
        <w:gridCol w:w="856"/>
        <w:gridCol w:w="1616"/>
      </w:tblGrid>
      <w:tr>
        <w:trPr>
          <w:trHeight w:hRule="atLeast"/>
          <w:tblHeader w:val="true"/>
        </w:trPr>
        <w:tc>
          <w:tcPr>
            <w:tcW w:type="dxa" w:w="2567"/>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Target</w:t>
            </w:r>
          </w:p>
        </w:tc>
        <w:tc>
          <w:tcPr>
            <w:tcW w:type="dxa" w:w="161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Method</w:t>
            </w:r>
          </w:p>
        </w:tc>
        <w:tc>
          <w:tcPr>
            <w:tcW w:type="dxa" w:w="66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Matched</w:t>
            </w:r>
          </w:p>
        </w:tc>
        <w:tc>
          <w:tcPr>
            <w:tcW w:type="dxa" w:w="951"/>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Pred. cov.</w:t>
            </w:r>
          </w:p>
        </w:tc>
        <w:tc>
          <w:tcPr>
            <w:tcW w:type="dxa" w:w="951"/>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Whole RMSD</w:t>
            </w:r>
          </w:p>
        </w:tc>
        <w:tc>
          <w:tcPr>
            <w:tcW w:type="dxa" w:w="57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Core n</w:t>
            </w:r>
          </w:p>
        </w:tc>
        <w:tc>
          <w:tcPr>
            <w:tcW w:type="dxa" w:w="85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Core RMSD</w:t>
            </w:r>
          </w:p>
        </w:tc>
        <w:tc>
          <w:tcPr>
            <w:tcW w:type="dxa" w:w="1616"/>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Core 95% interval</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hemoglobin_alpha</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141</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0.993</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0.270</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141</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0.270</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0.222–0.285</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hemoglobin_beta</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145</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0.986</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0.520</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145</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0.520</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0.446–0.597</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myoglobin</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147</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0.955</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0.501</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147</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0.501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0.360–0.633</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lysozyme_c</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130</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0.878</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0.420</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130</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0.420</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0.319–0.528</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carbonic_anhydrase_2</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257</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0.988</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0.377</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257</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0.377</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0.318–0.429</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kras</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166</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0.878</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3.386</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165</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2.085</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0.868–2.493</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cdk2</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294</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0.987</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1.873</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263</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0.786</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0.610–0.878</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tp53</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194</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0.494</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6.161</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190</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3.889</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1.079–5.104</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estrogen_receptor_alpha</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238</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0.400</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5.326</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221</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4.961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1.111–6.359</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mapk1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337</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0.936</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1.705</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317</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0.740</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0.488–0.989</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superoxide_dismutase_1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153</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0.994</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0.286</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153</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0.286</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0.185–0.394</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transthyretin</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116</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0.789</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0.258</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116</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0.258</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0.206–0.319</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cytochrome_c</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104</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0.990</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0.281</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104</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0.281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0.225–0.305</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sumo1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solution nmr</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101</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16.610</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74</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2.576</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1.983–3.158</w:t>
            </w:r>
          </w:p>
        </w:tc>
      </w:tr>
      <w:tr>
        <w:trPr>
          <w:trHeight w:hRule="atLeast"/>
        </w:trPr>
        <w:tc>
          <w:tcPr>
            <w:tcW w:type="dxa" w:w="2567"/>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peptidyl_prolyl_isomerase_a</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x-ray diffraction</w:t>
            </w:r>
          </w:p>
        </w:tc>
        <w:tc>
          <w:tcPr>
            <w:tcW w:type="dxa" w:w="665"/>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165</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1.000</w:t>
            </w:r>
          </w:p>
        </w:tc>
        <w:tc>
          <w:tcPr>
            <w:tcW w:type="dxa" w:w="951"/>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0.531</w:t>
            </w:r>
          </w:p>
        </w:tc>
        <w:tc>
          <w:tcPr>
            <w:tcW w:type="dxa" w:w="570"/>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164</w:t>
            </w:r>
          </w:p>
        </w:tc>
        <w:tc>
          <w:tcPr>
            <w:tcW w:type="dxa" w:w="85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0.331</w:t>
            </w:r>
          </w:p>
        </w:tc>
        <w:tc>
          <w:tcPr>
            <w:tcW w:type="dxa" w:w="1616"/>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0.232–0.384</w:t>
            </w:r>
          </w:p>
        </w:tc>
      </w:tr>
    </w:tbl>
    <w:p>
      <w:pPr>
        <w:spacing w:before="80" w:after="80"/>
      </w:pPr>
    </w:p>
    <w:p>
      <w:r>
        <w:rPr>
          <w:rFonts w:ascii="Times New Roman" w:hAnsi="Times New Roman"/>
          <w:b w:val="0"/>
          <w:i/>
          <w:color w:val="181B1F"/>
          <w:sz w:val="19"/>
        </w:rPr>
        <w:t>The predeclared pLDDT≥90 and core-aligned Cα error≥2 Å rule emitted 27 regions. Every row is labeled novelty_status=not_established and remains a hypothesis pending context review and independent validation.</w:t>
      </w:r>
    </w:p>
    <w:p>
      <w:pPr>
        <w:pStyle w:val="Heading1"/>
      </w:pPr>
      <w:r>
        <w:t>S5. Temporal rediscovery results</w:t>
      </w:r>
    </w:p>
    <w:tbl>
      <w:tblPr>
        <w:tblStyle w:val="TableGrid"/>
        <w:tblW w:type="dxa" w:w="9792"/>
        <w:jc w:val="left"/>
        <w:tblLayout w:type="fixed"/>
        <w:tblLook w:firstColumn="1" w:firstRow="1" w:lastColumn="0" w:lastRow="0" w:noHBand="0" w:noVBand="1" w:val="04A0"/>
        <w:tblInd w:type="dxa" w:w="110"/>
      </w:tblPr>
      <w:tblGrid>
        <w:gridCol w:w="1484"/>
        <w:gridCol w:w="2077"/>
        <w:gridCol w:w="890"/>
        <w:gridCol w:w="890"/>
        <w:gridCol w:w="1187"/>
        <w:gridCol w:w="1335"/>
        <w:gridCol w:w="1929"/>
      </w:tblGrid>
      <w:tr>
        <w:trPr>
          <w:trHeight w:hRule="atLeast"/>
          <w:tblHeader w:val="true"/>
        </w:trPr>
        <w:tc>
          <w:tcPr>
            <w:tcW w:type="dxa" w:w="148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color w:val="181B1F"/>
                <w:sz w:val="15"/>
              </w:rPr>
              <w:t>Fixture</w:t>
            </w:r>
          </w:p>
        </w:tc>
        <w:tc>
          <w:tcPr>
            <w:tcW w:type="dxa" w:w="2077"/>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color w:val="181B1F"/>
                <w:sz w:val="15"/>
              </w:rPr>
              <w:t>Condition</w:t>
            </w:r>
          </w:p>
        </w:tc>
        <w:tc>
          <w:tcPr>
            <w:tcW w:type="dxa" w:w="89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color w:val="181B1F"/>
                <w:sz w:val="15"/>
              </w:rPr>
              <w:t>Tasks</w:t>
            </w:r>
          </w:p>
        </w:tc>
        <w:tc>
          <w:tcPr>
            <w:tcW w:type="dxa" w:w="890"/>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color w:val="181B1F"/>
                <w:sz w:val="15"/>
              </w:rPr>
              <w:t>MRR</w:t>
            </w:r>
          </w:p>
        </w:tc>
        <w:tc>
          <w:tcPr>
            <w:tcW w:type="dxa" w:w="1187"/>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color w:val="181B1F"/>
                <w:sz w:val="15"/>
              </w:rPr>
              <w:t>Recall@1</w:t>
            </w:r>
          </w:p>
        </w:tc>
        <w:tc>
          <w:tcPr>
            <w:tcW w:type="dxa" w:w="1335"/>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color w:val="181B1F"/>
                <w:sz w:val="15"/>
              </w:rPr>
              <w:t>Recall@10</w:t>
            </w:r>
          </w:p>
        </w:tc>
        <w:tc>
          <w:tcPr>
            <w:tcW w:type="dxa" w:w="1929"/>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color w:val="181B1F"/>
                <w:sz w:val="15"/>
              </w:rPr>
              <w:t>False novelty</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Synthetic</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Frequency</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5</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0.500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Synthetic</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TF-IDF</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5</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Synthetic</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A–B/B–C bridge</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5</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Synthetic</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Evidence-aware</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5</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Historical</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Frequency</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1</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0.333</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Historical</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TF-IDF</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1</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0.500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Historical</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A–B/B–C bridge</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1</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r>
        <w:trPr>
          <w:trHeight w:hRule="atLeast"/>
        </w:trPr>
        <w:tc>
          <w:tcPr>
            <w:tcW w:type="dxa" w:w="1484"/>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Historical</w:t>
            </w:r>
          </w:p>
        </w:tc>
        <w:tc>
          <w:tcPr>
            <w:tcW w:type="dxa" w:w="207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Evidence-aware</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left"/>
            </w:pPr>
            <w:r>
              <w:rPr>
                <w:rFonts w:ascii="Arial" w:hAnsi="Arial"/>
                <w:b w:val="0"/>
                <w:color w:val="181B1F"/>
                <w:sz w:val="15"/>
              </w:rPr>
              <w:t>1</w:t>
            </w:r>
          </w:p>
        </w:tc>
        <w:tc>
          <w:tcPr>
            <w:tcW w:type="dxa" w:w="890"/>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187"/>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335"/>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1.000</w:t>
            </w:r>
          </w:p>
        </w:tc>
        <w:tc>
          <w:tcPr>
            <w:tcW w:type="dxa" w:w="1929"/>
            <w:vAlign w:val="center"/>
            <w:tcBorders>
              <w:top w:val="single" w:sz="4" w:color="B9C2CC"/>
              <w:left w:val="single" w:sz="4" w:color="B9C2CC"/>
              <w:bottom w:val="single" w:sz="4" w:color="B9C2CC"/>
              <w:right w:val="single" w:sz="4" w:color="B9C2CC"/>
              <w:insideH w:val="single" w:sz="4" w:color="B9C2CC"/>
              <w:insideV w:val="single" w:sz="4" w:color="B9C2CC"/>
            </w:tcBorders>
            <w:tcMar>
              <w:top w:w="55" w:type="dxa"/>
              <w:bottom w:w="55" w:type="dxa"/>
              <w:start w:w="110" w:type="dxa"/>
              <w:end w:w="110" w:type="dxa"/>
            </w:tcMar>
          </w:tcPr>
          <w:p>
            <w:pPr>
              <w:spacing w:before="0" w:after="0" w:line="252" w:lineRule="auto"/>
              <w:jc w:val="center"/>
            </w:pPr>
            <w:r>
              <w:rPr>
                <w:rFonts w:ascii="Arial" w:hAnsi="Arial"/>
                <w:b w:val="0"/>
                <w:color w:val="181B1F"/>
                <w:sz w:val="15"/>
              </w:rPr>
              <w:t>0.000</w:t>
            </w:r>
          </w:p>
        </w:tc>
      </w:tr>
    </w:tbl>
    <w:p>
      <w:pPr>
        <w:spacing w:before="80" w:after="80"/>
      </w:pPr>
    </w:p>
    <w:p>
      <w:r>
        <w:rPr>
          <w:rFonts w:ascii="Times New Roman" w:hAnsi="Times New Roman"/>
          <w:b w:val="0"/>
          <w:i/>
          <w:color w:val="181B1F"/>
          <w:sz w:val="19"/>
        </w:rPr>
        <w:t>Synthetic results validate engineering behavior only. The historical result is one manually curated retrospective case and cannot estimate generalization or prospective discovery performance.</w:t>
      </w:r>
    </w:p>
    <w:p>
      <w:pPr>
        <w:pStyle w:val="Heading1"/>
      </w:pPr>
      <w:r>
        <w:t>S6. Deterministic validation results</w:t>
      </w:r>
    </w:p>
    <w:tbl>
      <w:tblPr>
        <w:tblStyle w:val="TableGrid"/>
        <w:tblW w:type="dxa" w:w="9792"/>
        <w:jc w:val="left"/>
        <w:tblLayout w:type="fixed"/>
        <w:tblLook w:firstColumn="1" w:firstRow="1" w:lastColumn="0" w:lastRow="0" w:noHBand="0" w:noVBand="1" w:val="04A0"/>
        <w:tblInd w:type="dxa" w:w="110"/>
      </w:tblPr>
      <w:tblGrid>
        <w:gridCol w:w="3532"/>
        <w:gridCol w:w="963"/>
        <w:gridCol w:w="963"/>
        <w:gridCol w:w="1124"/>
        <w:gridCol w:w="1284"/>
        <w:gridCol w:w="963"/>
        <w:gridCol w:w="963"/>
      </w:tblGrid>
      <w:tr>
        <w:trPr>
          <w:trHeight w:hRule="atLeast"/>
          <w:tblHeader w:val="true"/>
        </w:trPr>
        <w:tc>
          <w:tcPr>
            <w:tcW w:type="dxa" w:w="3532"/>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Suite</w:t>
            </w:r>
          </w:p>
        </w:tc>
        <w:tc>
          <w:tcPr>
            <w:tcW w:type="dxa" w:w="96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Tests</w:t>
            </w:r>
          </w:p>
        </w:tc>
        <w:tc>
          <w:tcPr>
            <w:tcW w:type="dxa" w:w="96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color w:val="181B1F"/>
                <w:sz w:val="16"/>
              </w:rPr>
              <w:t>Passed</w:t>
            </w:r>
          </w:p>
        </w:tc>
        <w:tc>
          <w:tcPr>
            <w:tcW w:type="dxa" w:w="112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Skipped</w:t>
            </w:r>
          </w:p>
        </w:tc>
        <w:tc>
          <w:tcPr>
            <w:tcW w:type="dxa" w:w="1284"/>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Failures</w:t>
            </w:r>
          </w:p>
        </w:tc>
        <w:tc>
          <w:tcPr>
            <w:tcW w:type="dxa" w:w="96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Errors</w:t>
            </w:r>
          </w:p>
        </w:tc>
        <w:tc>
          <w:tcPr>
            <w:tcW w:type="dxa" w:w="963"/>
            <w:vAlign w:val="center"/>
            <w:shd w:fill="E8EEF5"/>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color w:val="181B1F"/>
                <w:sz w:val="16"/>
              </w:rPr>
              <w:t>Wall s</w:t>
            </w:r>
          </w:p>
        </w:tc>
      </w:tr>
      <w:tr>
        <w:trPr>
          <w:trHeight w:hRule="atLeast"/>
        </w:trPr>
        <w:tc>
          <w:tcPr>
            <w:tcW w:type="dxa" w:w="3532"/>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adversarial_safety</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57</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56</w:t>
            </w:r>
          </w:p>
        </w:tc>
        <w:tc>
          <w:tcPr>
            <w:tcW w:type="dxa" w:w="11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0.86</w:t>
            </w:r>
          </w:p>
        </w:tc>
      </w:tr>
      <w:tr>
        <w:trPr>
          <w:trHeight w:hRule="atLeast"/>
        </w:trPr>
        <w:tc>
          <w:tcPr>
            <w:tcW w:type="dxa" w:w="3532"/>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biology_domain</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12</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12</w:t>
            </w:r>
          </w:p>
        </w:tc>
        <w:tc>
          <w:tcPr>
            <w:tcW w:type="dxa" w:w="11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1.38</w:t>
            </w:r>
          </w:p>
        </w:tc>
      </w:tr>
      <w:tr>
        <w:trPr>
          <w:trHeight w:hRule="atLeast"/>
        </w:trPr>
        <w:tc>
          <w:tcPr>
            <w:tcW w:type="dxa" w:w="3532"/>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evidence_and_citations</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46</w:t>
            </w:r>
          </w:p>
        </w:tc>
        <w:tc>
          <w:tcPr>
            <w:tcW w:type="dxa" w:w="11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1.56</w:t>
            </w:r>
          </w:p>
        </w:tc>
      </w:tr>
      <w:tr>
        <w:trPr>
          <w:trHeight w:hRule="atLeast"/>
        </w:trPr>
        <w:tc>
          <w:tcPr>
            <w:tcW w:type="dxa" w:w="3532"/>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full_python</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937</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931</w:t>
            </w:r>
          </w:p>
        </w:tc>
        <w:tc>
          <w:tcPr>
            <w:tcW w:type="dxa" w:w="11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6</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79.41</w:t>
            </w:r>
          </w:p>
        </w:tc>
      </w:tr>
      <w:tr>
        <w:trPr>
          <w:trHeight w:hRule="atLeast"/>
        </w:trPr>
        <w:tc>
          <w:tcPr>
            <w:tcW w:type="dxa" w:w="3532"/>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genomics_adapters</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left"/>
            </w:pPr>
            <w:r>
              <w:rPr>
                <w:rFonts w:ascii="Arial" w:hAnsi="Arial"/>
                <w:b w:val="0"/>
                <w:color w:val="181B1F"/>
                <w:sz w:val="16"/>
              </w:rPr>
              <w:t>11</w:t>
            </w:r>
          </w:p>
        </w:tc>
        <w:tc>
          <w:tcPr>
            <w:tcW w:type="dxa" w:w="112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1284"/>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0</w:t>
            </w:r>
          </w:p>
        </w:tc>
        <w:tc>
          <w:tcPr>
            <w:tcW w:type="dxa" w:w="963"/>
            <w:vAlign w:val="center"/>
            <w:tcBorders>
              <w:top w:val="single" w:sz="4" w:color="B9C2CC"/>
              <w:left w:val="single" w:sz="4" w:color="B9C2CC"/>
              <w:bottom w:val="single" w:sz="4" w:color="B9C2CC"/>
              <w:right w:val="single" w:sz="4" w:color="B9C2CC"/>
              <w:insideH w:val="single" w:sz="4" w:color="B9C2CC"/>
              <w:insideV w:val="single" w:sz="4" w:color="B9C2CC"/>
            </w:tcBorders>
            <w:tcMar>
              <w:top w:w="90" w:type="dxa"/>
              <w:bottom w:w="90" w:type="dxa"/>
              <w:start w:w="110" w:type="dxa"/>
              <w:end w:w="110" w:type="dxa"/>
            </w:tcMar>
          </w:tcPr>
          <w:p>
            <w:pPr>
              <w:spacing w:before="0" w:after="0" w:line="252" w:lineRule="auto"/>
              <w:jc w:val="center"/>
            </w:pPr>
            <w:r>
              <w:rPr>
                <w:rFonts w:ascii="Arial" w:hAnsi="Arial"/>
                <w:b w:val="0"/>
                <w:color w:val="181B1F"/>
                <w:sz w:val="16"/>
              </w:rPr>
              <w:t>1.68</w:t>
            </w:r>
          </w:p>
        </w:tc>
      </w:tr>
    </w:tbl>
    <w:p>
      <w:pPr>
        <w:spacing w:before="80" w:after="80"/>
      </w:pPr>
    </w:p>
    <w:p>
      <w:r>
        <w:rPr>
          <w:rFonts w:ascii="Times New Roman" w:hAnsi="Times New Roman"/>
          <w:b w:val="0"/>
          <w:i/>
          <w:color w:val="181B1F"/>
          <w:sz w:val="19"/>
        </w:rPr>
        <w:t>Targeted suites overlap with the full Python suite. Counts are not additive. Skips remain unvalidated live or platform-specific paths.</w:t>
      </w:r>
    </w:p>
    <w:p>
      <w:pPr>
        <w:pStyle w:val="Heading1"/>
      </w:pPr>
      <w:r>
        <w:t>S7. Measurement-repair acceptance criteria</w:t>
      </w:r>
    </w:p>
    <w:p>
      <w:pPr>
        <w:pStyle w:val="ListBullet"/>
      </w:pPr>
      <w:r>
        <w:rPr>
          <w:rFonts w:ascii="Times New Roman" w:hAnsi="Times New Roman"/>
          <w:color w:val="181B1F"/>
          <w:sz w:val="22"/>
        </w:rPr>
        <w:t xml:space="preserve"> </w:t>
      </w:r>
      <w:r>
        <w:rPr>
          <w:rFonts w:ascii="Times New Roman" w:hAnsi="Times New Roman"/>
          <w:color w:val="181B1F"/>
          <w:sz w:val="22"/>
        </w:rPr>
        <w:t>A GoldenTask with domain=biology constructs Plato with domain=biology.</w:t>
      </w:r>
    </w:p>
    <w:p>
      <w:pPr>
        <w:pStyle w:val="ListBullet"/>
      </w:pPr>
      <w:r>
        <w:rPr>
          <w:rFonts w:ascii="Times New Roman" w:hAnsi="Times New Roman"/>
          <w:color w:val="181B1F"/>
          <w:sz w:val="22"/>
        </w:rPr>
        <w:t xml:space="preserve"> </w:t>
      </w:r>
      <w:r>
        <w:rPr>
          <w:rFonts w:ascii="Times New Roman" w:hAnsi="Times New Roman"/>
          <w:color w:val="181B1F"/>
          <w:sz w:val="22"/>
        </w:rPr>
        <w:t>Method-signal recall is computed from methods.md and appears in summary metrics.</w:t>
      </w:r>
    </w:p>
    <w:p>
      <w:pPr>
        <w:pStyle w:val="ListBullet"/>
      </w:pPr>
      <w:r>
        <w:rPr>
          <w:rFonts w:ascii="Times New Roman" w:hAnsi="Times New Roman"/>
          <w:color w:val="181B1F"/>
          <w:sz w:val="22"/>
        </w:rPr>
        <w:t xml:space="preserve"> </w:t>
      </w:r>
      <w:r>
        <w:rPr>
          <w:rFonts w:ascii="Times New Roman" w:hAnsi="Times New Roman"/>
          <w:color w:val="181B1F"/>
          <w:sz w:val="22"/>
        </w:rPr>
        <w:t>Evidence JSONL persists every drafted Claim row before emitted EvidenceLink rows.</w:t>
      </w:r>
    </w:p>
    <w:p>
      <w:pPr>
        <w:pStyle w:val="ListBullet"/>
      </w:pPr>
      <w:r>
        <w:rPr>
          <w:rFonts w:ascii="Times New Roman" w:hAnsi="Times New Roman"/>
          <w:color w:val="181B1F"/>
          <w:sz w:val="22"/>
        </w:rPr>
        <w:t xml:space="preserve"> </w:t>
      </w:r>
      <w:r>
        <w:rPr>
          <w:rFonts w:ascii="Times New Roman" w:hAnsi="Times New Roman"/>
          <w:color w:val="181B1F"/>
          <w:sz w:val="22"/>
        </w:rPr>
        <w:t>A drafted claim with no supporting source remains in the denominator and yields unsupported_claim_rate=1.0.</w:t>
      </w:r>
    </w:p>
    <w:p>
      <w:pPr>
        <w:pStyle w:val="ListBullet"/>
      </w:pPr>
      <w:r>
        <w:rPr>
          <w:rFonts w:ascii="Times New Roman" w:hAnsi="Times New Roman"/>
          <w:color w:val="181B1F"/>
          <w:sz w:val="22"/>
        </w:rPr>
        <w:t xml:space="preserve"> </w:t>
      </w:r>
      <w:r>
        <w:rPr>
          <w:rFonts w:ascii="Times New Roman" w:hAnsi="Times New Roman"/>
          <w:color w:val="181B1F"/>
          <w:sz w:val="22"/>
        </w:rPr>
        <w:t>A synthetic rigid rotation and translation is recovered by the Kabsch implementation within numerical tolerance.</w:t>
      </w:r>
    </w:p>
    <w:p>
      <w:pPr>
        <w:pStyle w:val="ListBullet"/>
      </w:pPr>
      <w:r>
        <w:rPr>
          <w:rFonts w:ascii="Times New Roman" w:hAnsi="Times New Roman"/>
          <w:color w:val="181B1F"/>
          <w:sz w:val="22"/>
        </w:rPr>
        <w:t xml:space="preserve"> </w:t>
      </w:r>
      <w:r>
        <w:rPr>
          <w:rFonts w:ascii="Times New Roman" w:hAnsi="Times New Roman"/>
          <w:color w:val="181B1F"/>
          <w:sz w:val="22"/>
        </w:rPr>
        <w:t>Temporal leakage, duplicate sources, prompt-injection quarantine, independent evidence bridges, and abstention are regression-tested.</w:t>
      </w:r>
    </w:p>
    <w:p>
      <w:pPr>
        <w:pStyle w:val="Heading1"/>
      </w:pPr>
      <w:r>
        <w:t>S8. Interpretation and unavailable live lanes</w:t>
      </w:r>
    </w:p>
    <w:p>
      <w:r>
        <w:rPr>
          <w:rFonts w:ascii="Times New Roman" w:hAnsi="Times New Roman"/>
          <w:b w:val="0"/>
          <w:i w:val="0"/>
          <w:color w:val="181B1F"/>
          <w:sz w:val="21"/>
        </w:rPr>
        <w:t>The default evaluation runner executes idea and method stages only. It does not execute results or paper generation in this release. Live LLM, E2B, Modal, hosted PostgreSQL, and authenticated Hugging Face evaluations require external credentials or services and were not inferred from deterministic tests. Same-model reviewer roles are self-critique, not peer review. The autonomous-loop adapters do not establish autonomous scientific improvement.</w:t>
      </w:r>
    </w:p>
    <w:p>
      <w:pPr>
        <w:pStyle w:val="Heading1"/>
      </w:pPr>
      <w:r>
        <w:t>S9. arXiv packaging notes</w:t>
      </w:r>
    </w:p>
    <w:p>
      <w:r>
        <w:rPr>
          <w:rFonts w:ascii="Times New Roman" w:hAnsi="Times New Roman"/>
          <w:b w:val="0"/>
          <w:i w:val="0"/>
          <w:color w:val="181B1F"/>
          <w:sz w:val="21"/>
        </w:rPr>
        <w:t>The main manuscript is supplied as LaTeX source with embedded figures and tables; supplemental data are separate. The work is an English-language computational methods and validation article with Results and Discussion. No clinical, human-subject, animal, or identifiable-person data are included. Generative AI assistance is disclosed, the human author remains accountable, and the AI is not an author. The related Denario arXiv preprint is cited as prior work and is not duplicated by this study.</w:t>
      </w:r>
    </w:p>
    <w:sectPr w:rsidR="00FC693F" w:rsidRPr="0006063C" w:rsidSect="00034616">
      <w:headerReference w:type="default" r:id="rId9"/>
      <w:footerReference w:type="default" r:id="rId10"/>
      <w:pgSz w:w="12240" w:h="15840"/>
      <w:pgMar w:top="1152" w:right="1224" w:bottom="1152" w:left="1224"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55F69"/>
        <w:sz w:val="17"/>
      </w:rPr>
      <w:t>Plato-Bio | 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93" w:lineRule="auto"/>
      <w:jc w:val="both"/>
    </w:pPr>
    <w:rPr>
      <w:rFonts w:ascii="Times New Roman" w:hAnsi="Times New Roman"/>
      <w:color w:val="181B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left"/>
    </w:pPr>
    <w:rPr>
      <w:rFonts w:ascii="Arial" w:hAnsi="Arial"/>
      <w:b/>
      <w:bCs/>
      <w:i/>
      <w:color w:val="555F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Plato-Bio</dc:title>
  <dc:subject>Reproducibility inventory</dc:subject>
  <dc:creator>Stefan G. Creadore</dc:creator>
  <cp:keywords/>
  <dc:description>generated by python-docx</dc:description>
  <cp:lastModifiedBy/>
  <cp:revision>1</cp:revision>
  <dcterms:created xsi:type="dcterms:W3CDTF">2013-12-23T23:15:00Z</dcterms:created>
  <dcterms:modified xsi:type="dcterms:W3CDTF">2013-12-23T23:15:00Z</dcterms:modified>
  <cp:category/>
</cp:coreProperties>
</file>