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20 december 2017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22</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76</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69,5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20,5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70,5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Deze week zijn er library’s gemaakt voor de USART communicatie, battery measurement, afstandsensor +begin gemaakt van de logica voor de sensor module, ook is er begonnen met de bluetooth library.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USART library, battery measure library werken volledig. Ook zijn er grote stappen gemaakt met de ble library en de afstandssensor library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Vrijdag konden we weer onze code herschrijven omdat donderdag pas de nieuwe microcontrollers binnenkwamen, dit is de STM32F1, terwijl we eerst begonnen waren op de STM32F0. We dachten dat dat niet veel uitmaakte, maar we moesten toch onderzoeken hoe bepaalde registers geprogrammeerd moeten worden, omdat deze een andere notatie hebben.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Ble library verder afmaken, beginnen met opzetten van de MongoDB, verdergaan met de logica van de afstandssensor, begin maken met de wifi communicatie</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Deze week is er aardig wat werk geleverd, onder andere zijn er een aantal library’s geprogrammeerd. </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