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wa_learning_platform"/>
    <w:p>
      <w:pPr>
        <w:pStyle w:val="Heading1"/>
      </w:pPr>
      <w:r>
        <w:t xml:space="preserve">rwa_learning_platform</w:t>
      </w:r>
    </w:p>
    <w:bookmarkEnd w:id="20"/>
    <w:bookmarkStart w:id="33" w:name="rwa学习平台网站开发完成报告"/>
    <w:p>
      <w:pPr>
        <w:pStyle w:val="Heading1"/>
      </w:pPr>
      <w:r>
        <w:t xml:space="preserve">RWA学习平台网站开发完成报告</w:t>
      </w:r>
    </w:p>
    <w:bookmarkStart w:id="21" w:name="项目概述"/>
    <w:p>
      <w:pPr>
        <w:pStyle w:val="Heading2"/>
      </w:pPr>
      <w:r>
        <w:t xml:space="preserve">项目概述</w:t>
      </w:r>
    </w:p>
    <w:p>
      <w:pPr>
        <w:pStyle w:val="FirstParagraph"/>
      </w:pPr>
      <w:r>
        <w:t xml:space="preserve">成功创建了一个专业的RWA（现实世界资产）学习平台网站，基于React + TypeScript + TailwindCSS技术栈构建，为用户提供从基础概念到实践应用的完整RWA学习体系。</w:t>
      </w:r>
    </w:p>
    <w:bookmarkEnd w:id="21"/>
    <w:bookmarkStart w:id="22" w:name="执行过程"/>
    <w:p>
      <w:pPr>
        <w:pStyle w:val="Heading2"/>
      </w:pPr>
      <w:r>
        <w:t xml:space="preserve">执行过程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项目初始化</w:t>
      </w:r>
      <w:r>
        <w:t xml:space="preserve">: 使用React+Vite模板，集成TypeScript、TailwindCSS、Mermaid.js等技术栈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内容分析</w:t>
      </w:r>
      <w:r>
        <w:t xml:space="preserve">: 深入研究workspace/docs/目录下的RWA研究报告和案例分析文件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架构设计</w:t>
      </w:r>
      <w:r>
        <w:t xml:space="preserve">: 设计5个主要功能模块的单页应用架构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组件开发</w:t>
      </w:r>
      <w:r>
        <w:t xml:space="preserve">: 创建Header、Navigation、各页面组件及FlowChart可视化组件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问题修复</w:t>
      </w:r>
      <w:r>
        <w:t xml:space="preserve">: 解决Mermaid.js渲染问题，开发替代的FlowChart组件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测试优化</w:t>
      </w:r>
      <w:r>
        <w:t xml:space="preserve">: 通过browser_use工具进行全面功能测试和用户体验验证</w:t>
      </w:r>
    </w:p>
    <w:bookmarkEnd w:id="22"/>
    <w:bookmarkStart w:id="28" w:name="核心功能实现"/>
    <w:p>
      <w:pPr>
        <w:pStyle w:val="Heading2"/>
      </w:pPr>
      <w:r>
        <w:t xml:space="preserve">核心功能实现</w:t>
      </w:r>
    </w:p>
    <w:bookmarkStart w:id="23" w:name="首页概览"/>
    <w:p>
      <w:pPr>
        <w:pStyle w:val="Heading3"/>
      </w:pPr>
      <w:r>
        <w:t xml:space="preserve">1. 首页概览 ✅</w:t>
      </w:r>
    </w:p>
    <w:p>
      <w:pPr>
        <w:numPr>
          <w:ilvl w:val="0"/>
          <w:numId w:val="1002"/>
        </w:numPr>
        <w:pStyle w:val="Compact"/>
      </w:pPr>
      <w:r>
        <w:t xml:space="preserve">专业的紫色渐变设计，清晰的价值主张展示</w:t>
      </w:r>
    </w:p>
    <w:p>
      <w:pPr>
        <w:numPr>
          <w:ilvl w:val="0"/>
          <w:numId w:val="1002"/>
        </w:numPr>
        <w:pStyle w:val="Compact"/>
      </w:pPr>
      <w:r>
        <w:t xml:space="preserve">RWA核心价值4大模块：连接TradFi与DeFi、可持续收益、资本效率、投资组合丰富</w:t>
      </w:r>
    </w:p>
    <w:p>
      <w:pPr>
        <w:numPr>
          <w:ilvl w:val="0"/>
          <w:numId w:val="1002"/>
        </w:numPr>
        <w:pStyle w:val="Compact"/>
      </w:pPr>
      <w:r>
        <w:t xml:space="preserve">直观的学习模块导航和统计展示</w:t>
      </w:r>
    </w:p>
    <w:bookmarkEnd w:id="23"/>
    <w:bookmarkStart w:id="24" w:name="基础知识模块"/>
    <w:p>
      <w:pPr>
        <w:pStyle w:val="Heading3"/>
      </w:pPr>
      <w:r>
        <w:t xml:space="preserve">2. 基础知识模块 ✅</w:t>
      </w:r>
    </w:p>
    <w:p>
      <w:pPr>
        <w:numPr>
          <w:ilvl w:val="0"/>
          <w:numId w:val="1003"/>
        </w:numPr>
        <w:pStyle w:val="Compact"/>
      </w:pPr>
      <w:r>
        <w:t xml:space="preserve">RWA定义与核心概念详细阐述</w:t>
      </w:r>
    </w:p>
    <w:p>
      <w:pPr>
        <w:numPr>
          <w:ilvl w:val="0"/>
          <w:numId w:val="1003"/>
        </w:numPr>
        <w:pStyle w:val="Compact"/>
      </w:pPr>
      <w:r>
        <w:t xml:space="preserve">6大资产类型分类（房地产、私人信贷、固定收益等）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FlowChart组件</w:t>
      </w:r>
      <w:r>
        <w:t xml:space="preserve">: 9步资产代币化流程可视化</w:t>
      </w:r>
    </w:p>
    <w:p>
      <w:pPr>
        <w:numPr>
          <w:ilvl w:val="0"/>
          <w:numId w:val="1003"/>
        </w:numPr>
        <w:pStyle w:val="Compact"/>
      </w:pPr>
      <w:r>
        <w:t xml:space="preserve">技术架构深度分析和核心组件解析</w:t>
      </w:r>
    </w:p>
    <w:bookmarkEnd w:id="24"/>
    <w:bookmarkStart w:id="25" w:name="中国案例研究"/>
    <w:p>
      <w:pPr>
        <w:pStyle w:val="Heading3"/>
      </w:pPr>
      <w:r>
        <w:t xml:space="preserve">3. 中国案例研究 ✅</w:t>
      </w:r>
    </w:p>
    <w:p>
      <w:pPr>
        <w:numPr>
          <w:ilvl w:val="0"/>
          <w:numId w:val="1004"/>
        </w:numPr>
        <w:pStyle w:val="Compact"/>
      </w:pPr>
      <w:r>
        <w:t xml:space="preserve">5个真实RWA项目深度分析：</w:t>
      </w:r>
    </w:p>
    <w:p>
      <w:pPr>
        <w:numPr>
          <w:ilvl w:val="1"/>
          <w:numId w:val="1005"/>
        </w:numPr>
        <w:pStyle w:val="Compact"/>
      </w:pPr>
      <w:r>
        <w:t xml:space="preserve">马陆葡萄RWA项目（农业资产，1000万元融资）</w:t>
      </w:r>
    </w:p>
    <w:p>
      <w:pPr>
        <w:numPr>
          <w:ilvl w:val="1"/>
          <w:numId w:val="1005"/>
        </w:numPr>
        <w:pStyle w:val="Compact"/>
      </w:pPr>
      <w:r>
        <w:t xml:space="preserve">新能源充电桩RWA（9000+充电桩资产）</w:t>
      </w:r>
    </w:p>
    <w:p>
      <w:pPr>
        <w:numPr>
          <w:ilvl w:val="1"/>
          <w:numId w:val="1005"/>
        </w:numPr>
        <w:pStyle w:val="Compact"/>
      </w:pPr>
      <w:r>
        <w:t xml:space="preserve">光伏实体资产RWA（2亿+人民币融资）</w:t>
      </w:r>
    </w:p>
    <w:p>
      <w:pPr>
        <w:numPr>
          <w:ilvl w:val="1"/>
          <w:numId w:val="1005"/>
        </w:numPr>
        <w:pStyle w:val="Compact"/>
      </w:pPr>
      <w:r>
        <w:t xml:space="preserve">Beyond Gaming（跨链游戏生态）</w:t>
      </w:r>
    </w:p>
    <w:p>
      <w:pPr>
        <w:numPr>
          <w:ilvl w:val="1"/>
          <w:numId w:val="1005"/>
        </w:numPr>
        <w:pStyle w:val="Compact"/>
      </w:pPr>
      <w:r>
        <w:t xml:space="preserve">RootPhone（智能终端硬件）</w:t>
      </w:r>
    </w:p>
    <w:p>
      <w:pPr>
        <w:numPr>
          <w:ilvl w:val="0"/>
          <w:numId w:val="1004"/>
        </w:numPr>
        <w:pStyle w:val="Compact"/>
      </w:pPr>
      <w:r>
        <w:t xml:space="preserve">每案例包含：技术架构、业务模式、合规方案、项目亮点</w:t>
      </w:r>
    </w:p>
    <w:bookmarkEnd w:id="25"/>
    <w:bookmarkStart w:id="26" w:name="实践指南"/>
    <w:p>
      <w:pPr>
        <w:pStyle w:val="Heading3"/>
      </w:pPr>
      <w:r>
        <w:t xml:space="preserve">4. 实践指南 ✅</w:t>
      </w:r>
    </w:p>
    <w:p>
      <w:pPr>
        <w:numPr>
          <w:ilvl w:val="0"/>
          <w:numId w:val="1006"/>
        </w:numPr>
        <w:pStyle w:val="Compact"/>
      </w:pPr>
      <w:r>
        <w:t xml:space="preserve">4阶段完整实施流程：资产端准备→资产上链→发行流通→存续期管理</w:t>
      </w:r>
    </w:p>
    <w:p>
      <w:pPr>
        <w:numPr>
          <w:ilvl w:val="0"/>
          <w:numId w:val="1006"/>
        </w:numPr>
        <w:pStyle w:val="Compact"/>
      </w:pPr>
      <w:r>
        <w:t xml:space="preserve">交互式步骤勾选功能，详细实施要点</w:t>
      </w:r>
    </w:p>
    <w:p>
      <w:pPr>
        <w:numPr>
          <w:ilvl w:val="0"/>
          <w:numId w:val="1006"/>
        </w:numPr>
        <w:pStyle w:val="Compact"/>
      </w:pPr>
      <w:r>
        <w:t xml:space="preserve">智能合约代码示例（Solidity）</w:t>
      </w:r>
    </w:p>
    <w:p>
      <w:pPr>
        <w:numPr>
          <w:ilvl w:val="0"/>
          <w:numId w:val="1006"/>
        </w:numPr>
        <w:pStyle w:val="Compact"/>
      </w:pPr>
      <w:r>
        <w:t xml:space="preserve">开发环境搭建指南和最佳实践</w:t>
      </w:r>
    </w:p>
    <w:bookmarkEnd w:id="26"/>
    <w:bookmarkStart w:id="27" w:name="学习路径"/>
    <w:p>
      <w:pPr>
        <w:pStyle w:val="Heading3"/>
      </w:pPr>
      <w:r>
        <w:t xml:space="preserve">5. 学习路径 ✅</w:t>
      </w:r>
    </w:p>
    <w:p>
      <w:pPr>
        <w:numPr>
          <w:ilvl w:val="0"/>
          <w:numId w:val="1007"/>
        </w:numPr>
        <w:pStyle w:val="Compact"/>
      </w:pPr>
      <w:r>
        <w:t xml:space="preserve">三级学习体系：</w:t>
      </w:r>
    </w:p>
    <w:p>
      <w:pPr>
        <w:numPr>
          <w:ilvl w:val="1"/>
          <w:numId w:val="1008"/>
        </w:numPr>
        <w:pStyle w:val="Compact"/>
      </w:pPr>
      <w:r>
        <w:t xml:space="preserve">初级入门（4-6周）：区块链基础和RWA概念</w:t>
      </w:r>
    </w:p>
    <w:p>
      <w:pPr>
        <w:numPr>
          <w:ilvl w:val="1"/>
          <w:numId w:val="1008"/>
        </w:numPr>
        <w:pStyle w:val="Compact"/>
      </w:pPr>
      <w:r>
        <w:t xml:space="preserve">中级进阶（8-12周）：智能合约开发和DeFi协议</w:t>
      </w:r>
    </w:p>
    <w:p>
      <w:pPr>
        <w:numPr>
          <w:ilvl w:val="1"/>
          <w:numId w:val="1008"/>
        </w:numPr>
        <w:pStyle w:val="Compact"/>
      </w:pPr>
      <w:r>
        <w:t xml:space="preserve">高级实战（12-16周）：完整RWA项目开发</w:t>
      </w:r>
    </w:p>
    <w:p>
      <w:pPr>
        <w:numPr>
          <w:ilvl w:val="0"/>
          <w:numId w:val="1007"/>
        </w:numPr>
        <w:pStyle w:val="Compact"/>
      </w:pPr>
      <w:r>
        <w:t xml:space="preserve">技能管理功能，优先级标识，推荐资源和实践项目</w:t>
      </w:r>
    </w:p>
    <w:p>
      <w:pPr>
        <w:numPr>
          <w:ilvl w:val="0"/>
          <w:numId w:val="1007"/>
        </w:numPr>
        <w:pStyle w:val="Compact"/>
      </w:pPr>
      <w:r>
        <w:t xml:space="preserve">3个综合实践项目：房地产RWA、供应链金融、农业资产代币化</w:t>
      </w:r>
    </w:p>
    <w:bookmarkEnd w:id="27"/>
    <w:bookmarkEnd w:id="28"/>
    <w:bookmarkStart w:id="29" w:name="技术亮点"/>
    <w:p>
      <w:pPr>
        <w:pStyle w:val="Heading2"/>
      </w:pPr>
      <w:r>
        <w:t xml:space="preserve">技术亮点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响应式设计</w:t>
      </w:r>
      <w:r>
        <w:t xml:space="preserve">: 移动端友好的界面适配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组件化架构</w:t>
      </w:r>
      <w:r>
        <w:t xml:space="preserve">: 高度可复用的React组件设计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交互体验</w:t>
      </w:r>
      <w:r>
        <w:t xml:space="preserve">: 案例切换、步骤勾选、技能管理等丰富交互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FlowChart可视化</w:t>
      </w:r>
      <w:r>
        <w:t xml:space="preserve">: 自主开发的流程图组件，替代Mermaid.js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代码高亮</w:t>
      </w:r>
      <w:r>
        <w:t xml:space="preserve">: 集成Prism.js实现Solidity代码语法高亮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性能优化</w:t>
      </w:r>
      <w:r>
        <w:t xml:space="preserve">: 无控制台错误，快速加载响应</w:t>
      </w:r>
    </w:p>
    <w:bookmarkEnd w:id="29"/>
    <w:bookmarkStart w:id="30" w:name="最终部署结果"/>
    <w:p>
      <w:pPr>
        <w:pStyle w:val="Heading2"/>
      </w:pPr>
      <w:r>
        <w:t xml:space="preserve">最终部署结果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部署地址</w:t>
      </w:r>
      <w:r>
        <w:t xml:space="preserve">: https://lqwsw4y262.space.minimax.io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测试评级</w:t>
      </w:r>
      <w:r>
        <w:t xml:space="preserve">: A+优秀（浏览器测试验证）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功能完整性</w:t>
      </w:r>
      <w:r>
        <w:t xml:space="preserve">: 5/5主要功能模块全部正常运行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用户体验</w:t>
      </w:r>
      <w:r>
        <w:t xml:space="preserve">: 专业界面设计，直观导航，优秀交互体验</w:t>
      </w:r>
    </w:p>
    <w:bookmarkEnd w:id="30"/>
    <w:bookmarkStart w:id="31" w:name="关键成就"/>
    <w:p>
      <w:pPr>
        <w:pStyle w:val="Heading2"/>
      </w:pPr>
      <w:r>
        <w:t xml:space="preserve">关键成就</w:t>
      </w:r>
    </w:p>
    <w:p>
      <w:pPr>
        <w:numPr>
          <w:ilvl w:val="0"/>
          <w:numId w:val="1011"/>
        </w:numPr>
        <w:pStyle w:val="Compact"/>
      </w:pPr>
      <w:r>
        <w:t xml:space="preserve">✅ 基于真实研究资料构建完整RWA知识体系</w:t>
      </w:r>
    </w:p>
    <w:p>
      <w:pPr>
        <w:numPr>
          <w:ilvl w:val="0"/>
          <w:numId w:val="1011"/>
        </w:numPr>
        <w:pStyle w:val="Compact"/>
      </w:pPr>
      <w:r>
        <w:t xml:space="preserve">✅ 融合中国本土化案例，具有高度实用性</w:t>
      </w:r>
    </w:p>
    <w:p>
      <w:pPr>
        <w:numPr>
          <w:ilvl w:val="0"/>
          <w:numId w:val="1011"/>
        </w:numPr>
        <w:pStyle w:val="Compact"/>
      </w:pPr>
      <w:r>
        <w:t xml:space="preserve">✅ 解决技术难题（Mermaid渲染），开发创新替代方案</w:t>
      </w:r>
    </w:p>
    <w:p>
      <w:pPr>
        <w:numPr>
          <w:ilvl w:val="0"/>
          <w:numId w:val="1011"/>
        </w:numPr>
        <w:pStyle w:val="Compact"/>
      </w:pPr>
      <w:r>
        <w:t xml:space="preserve">✅ 实现专业级用户界面和交互体验</w:t>
      </w:r>
    </w:p>
    <w:p>
      <w:pPr>
        <w:numPr>
          <w:ilvl w:val="0"/>
          <w:numId w:val="1011"/>
        </w:numPr>
        <w:pStyle w:val="Compact"/>
      </w:pPr>
      <w:r>
        <w:t xml:space="preserve">✅ 提供从理论到实践的完整学习路径</w:t>
      </w:r>
    </w:p>
    <w:p>
      <w:pPr>
        <w:pStyle w:val="FirstParagraph"/>
      </w:pPr>
      <w:r>
        <w:t xml:space="preserve">网站已成功部署并通过全面测试验证，具备投入正式使用的完整功能和专业品质。</w:t>
      </w:r>
    </w:p>
    <w:bookmarkEnd w:id="31"/>
    <w:bookmarkStart w:id="3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/workspace/rwa-learning-platform/src/App.tsx: 主应用组件，实现路由配置和整体布局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/workspace/rwa-learning-platform/src/components/Header.tsx: 网站头部导航组件，包含logo和主导航菜单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/workspace/rwa-learning-platform/src/components/pages/HomePage.tsx: 首页组件，展示RWA概览和核心价值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/workspace/rwa-learning-platform/src/components/pages/ConceptsPage.tsx: 基础知识页面，包含RWA核心概念和技术架构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/workspace/rwa-learning-platform/src/components/pages/CaseStudiesPage.tsx: 案例研究页面，展示5个中国RWA项目案例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/workspace/rwa-learning-platform/src/components/pages/ImplementationPage.tsx: 实践指南页面，提供RWA项目实施全流程指导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/workspace/rwa-learning-platform/src/components/pages/LearningPathPage.tsx: 学习路径页面，提供分层次的技能学习规划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/workspace/rwa-learning-platform/src/components/FlowChart.tsx: 自主开发的流程图组件，用于可视化RWA流程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/workspace/rwa-learning-platform/public/data/RWA_research_report.md: RWA研究报告，网站内容的核心数据源</w:t>
      </w:r>
    </w:p>
    <w:p>
      <w:pPr>
        <w:numPr>
          <w:ilvl w:val="0"/>
          <w:numId w:val="1012"/>
        </w:numPr>
        <w:pStyle w:val="Compact"/>
      </w:pPr>
      <w:r>
        <w:t xml:space="preserve">/workspace/rwa-learning-platform/public/data/china_rwa_case_studies.md: 中国RWA案例研究数据，案例页面的内容来源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2025-06-24T16:09:39Z</dcterms:created>
  <dcterms:modified xsi:type="dcterms:W3CDTF">2025-06-24T16:09:39Z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