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4bac5dc408e93363adaad73a6b04c5803f8a45"/>
    <w:p>
      <w:pPr>
        <w:pStyle w:val="Heading1"/>
      </w:pPr>
      <w:r>
        <w:t xml:space="preserve">Данные заказа и протокол проверки — датчик давления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检测报告，压力变送器.pdf. Страниц в оригинале: 1.</w:t>
      </w:r>
    </w:p>
    <w:bookmarkStart w:id="22" w:name="Xe5fe1c4216a99481b6e9ab61bc3bc32f74c0f68"/>
    <w:p>
      <w:pPr>
        <w:pStyle w:val="Heading2"/>
      </w:pPr>
      <w:r>
        <w:t xml:space="preserve">Стр. 1 — Данные заказа и протокол проверки преобразователя (датчика) давления</w:t>
      </w:r>
    </w:p>
    <w:bookmarkStart w:id="20" w:name="данные-заказа"/>
    <w:p>
      <w:pPr>
        <w:pStyle w:val="Heading3"/>
      </w:pPr>
      <w:r>
        <w:t xml:space="preserve">Данные заказа</w:t>
      </w:r>
    </w:p>
    <w:p>
      <w:pPr>
        <w:pStyle w:val="FirstParagraph"/>
      </w:pPr>
      <w:r>
        <w:t xml:space="preserve">Изготовитель: Shanghai Zhongchuang Huiyi Chuangan Jishu (Шанхай Чжунчуан Хуэйи, сенсорные технологии) Co., Ltd.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Преобразователь (датчик) давления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ZCD302KaKFJ1A1S1E1D3T1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Диапазон: 0.01 Па ~ 500 Па, разрешение: 0.01 Па, присоединение: G1/2 (316L), выход: 4-20 мА + HART, питание: 24 VDC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2026.7.2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Преобразователь (датчик) давления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ZCD302KaKFJ1A1S1E1D3T1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Диапазон: 0.01 Па ~ 500 Па, разрешение: 0.01 Па, присоединение: G1/2 (316L), выход: 4-20 мА + HART, питание: 24 VDC</w:t>
            </w:r>
          </w:p>
        </w:tc>
      </w:tr>
    </w:tbl>
    <w:bookmarkEnd w:id="20"/>
    <w:bookmarkStart w:id="21" w:name="протокол-проверки"/>
    <w:p>
      <w:pPr>
        <w:pStyle w:val="Heading3"/>
      </w:pPr>
      <w:r>
        <w:t xml:space="preserve">Протокол проверки</w:t>
      </w:r>
    </w:p>
    <w:p>
      <w:pPr>
        <w:pStyle w:val="FirstParagraph"/>
      </w:pPr>
      <w:r>
        <w:t xml:space="preserve">Дата проверки: 2026.7.23</w:t>
      </w:r>
    </w:p>
    <w:p>
      <w:pPr>
        <w:pStyle w:val="BodyText"/>
      </w:pPr>
      <w:r>
        <w:t xml:space="preserve">Проверку провёл: Ding Wenbing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Проверяемый 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 / норматив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Значимость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Средство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проверки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Маркировка: модель, товарный знак, номер партии. Надписи должны быть чёткими, точными, без ошибок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 Поверхность чистая, без заметных царапин, недостатка материала, коррозии и иных дефектов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 Уплотнительные поверхности чистые, без царапин, заусенцев и иных отклонений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Датчик должен иметь специальный упаковочный ящик. Внутри упаковки должны быть обёртка, прокладки или наполнитель для защиты от вибрации. На упаковочном ящике должна быть этикетка с указанием: a) наименования, товарного знака; b) модели изделия; c) даты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≧100 МОм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Измерение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Функциональная проверка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в нулевой точке: 3.92 мА ~ 4.08 мА; выход при полной шкале: 19.98 мА ~ 20.02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Измерение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(√) Соответствует ( ) Не соответствует</w:t>
            </w:r>
          </w:p>
        </w:tc>
      </w:tr>
    </w:tbl>
    <w:p>
      <w:pPr>
        <w:pStyle w:val="BodyText"/>
      </w:pPr>
      <w:r>
        <w:t xml:space="preserve">[Примечание переводчика: △ / ▲ — обозначения степени значимости проверяемого параметра, перенесены как в оригинале. Нумерация пунктов «1» и «3» в разделе «Внешний вид» — как в оригинале.]</w:t>
      </w:r>
    </w:p>
    <w:p>
      <w:pPr>
        <w:pStyle w:val="BodyText"/>
      </w:pPr>
      <w:r>
        <w:t xml:space="preserve">[Печать: Shanghai Zhongchuang Huiyi Chuangan Jishu (Шанхай Чжунчуан Хуэйи, сенсорные технологии) Co., Ltd. — печать для договоров]</w:t>
      </w:r>
    </w:p>
    <w:bookmarkEnd w:id="21"/>
    <w:bookmarkEnd w:id="22"/>
    <w:bookmarkEnd w:id="23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2026-10-16T02:28:36Z</dcterms:created>
  <dcterms:modified xsi:type="dcterms:W3CDTF">2026-10-16T02:28:36Z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