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078f0fda279edcda8e92f0d5914ce60f0b734a5"/>
    <w:p>
      <w:pPr>
        <w:pStyle w:val="Heading1"/>
      </w:pPr>
      <w:r>
        <w:t xml:space="preserve">Руководство по эксплуатации высоковакуумного металлического паромасляного диффузионного насоса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Диффузионный_насос_Руководство.pdf (исходное имя: 扩散泵说明书（中英文）.pdf). Страниц в оригинале: 17.</w:t>
      </w:r>
    </w:p>
    <w:p>
      <w:pPr>
        <w:pStyle w:val="BodyText"/>
      </w:pPr>
      <w:r>
        <w:t xml:space="preserve">[Примечание переводчика: оригинал составлен на китайском и английском языках; текст переведён один раз по смыслу с учётом обеих версий. Колонтитулы оригинала имеют нумерацию «Page 2 of 19» … «Page 18 of 19»; в настоящем переводе указаны номера страниц PDF-файла (1–17).]</w:t>
      </w:r>
    </w:p>
    <w:bookmarkStart w:id="22" w:name="предупреждение"/>
    <w:p>
      <w:pPr>
        <w:pStyle w:val="Heading2"/>
      </w:pPr>
      <w:r>
        <w:t xml:space="preserve">Предупреждение</w:t>
      </w:r>
    </w:p>
    <w:p>
      <w:pPr>
        <w:pStyle w:val="FirstParagraph"/>
      </w:pPr>
      <w:r>
        <w:rPr>
          <w:iCs/>
          <w:i/>
        </w:rPr>
        <w:t xml:space="preserve">(стр. 1)</w:t>
      </w:r>
    </w:p>
    <w:bookmarkStart w:id="20" w:name="внимание-warning"/>
    <w:p>
      <w:pPr>
        <w:pStyle w:val="Heading3"/>
      </w:pPr>
      <w:r>
        <w:t xml:space="preserve">Внимание! (Warning)</w:t>
      </w:r>
    </w:p>
    <w:p>
      <w:pPr>
        <w:numPr>
          <w:ilvl w:val="0"/>
          <w:numId w:val="1001"/>
        </w:numPr>
        <w:pStyle w:val="Compact"/>
      </w:pPr>
      <w:r>
        <w:t xml:space="preserve">После подачи напряжения на нагреватель не прикасайтесь к нему во избежание поражения электрическим током.</w:t>
      </w:r>
    </w:p>
    <w:p>
      <w:pPr>
        <w:numPr>
          <w:ilvl w:val="0"/>
          <w:numId w:val="1001"/>
        </w:numPr>
        <w:pStyle w:val="Compact"/>
      </w:pPr>
      <w:r>
        <w:t xml:space="preserve">При осмотре и техническом обслуживании оборудования отключайте электропитание.</w:t>
      </w:r>
    </w:p>
    <w:bookmarkEnd w:id="20"/>
    <w:bookmarkStart w:id="21" w:name="примечание-note"/>
    <w:p>
      <w:pPr>
        <w:pStyle w:val="Heading3"/>
      </w:pPr>
      <w:r>
        <w:t xml:space="preserve">Примечание (Note)</w:t>
      </w:r>
    </w:p>
    <w:p>
      <w:pPr>
        <w:numPr>
          <w:ilvl w:val="0"/>
          <w:numId w:val="1002"/>
        </w:numPr>
        <w:pStyle w:val="Compact"/>
      </w:pPr>
      <w:r>
        <w:t xml:space="preserve">Подключайте оборудование только к сети с указанным напряжением.</w:t>
      </w:r>
    </w:p>
    <w:p>
      <w:pPr>
        <w:numPr>
          <w:ilvl w:val="0"/>
          <w:numId w:val="1002"/>
        </w:numPr>
        <w:pStyle w:val="Compact"/>
      </w:pPr>
      <w:r>
        <w:t xml:space="preserve">Во время работы оборудование не должно касаться горючих предметов или находиться вблизи них — во избежание пожара.</w:t>
      </w:r>
    </w:p>
    <w:p>
      <w:pPr>
        <w:numPr>
          <w:ilvl w:val="0"/>
          <w:numId w:val="1002"/>
        </w:numPr>
        <w:pStyle w:val="Compact"/>
      </w:pPr>
      <w:r>
        <w:t xml:space="preserve">При появлении во время работы оборудования посторонних звуков, перегрева и т. п. немедленно остановите оборудование.</w:t>
      </w:r>
    </w:p>
    <w:p>
      <w:pPr>
        <w:numPr>
          <w:ilvl w:val="0"/>
          <w:numId w:val="1002"/>
        </w:numPr>
        <w:pStyle w:val="Compact"/>
      </w:pPr>
      <w:r>
        <w:t xml:space="preserve">Во время работы оборудования внутренняя полость насоса ни в коем случае не должна сообщаться с атмосферой.</w:t>
      </w:r>
    </w:p>
    <w:p>
      <w:pPr>
        <w:numPr>
          <w:ilvl w:val="0"/>
          <w:numId w:val="1002"/>
        </w:numPr>
        <w:pStyle w:val="Compact"/>
      </w:pPr>
      <w:r>
        <w:t xml:space="preserve">Оборудование необходимо регулярно проверять.</w:t>
      </w:r>
    </w:p>
    <w:p>
      <w:pPr>
        <w:numPr>
          <w:ilvl w:val="0"/>
          <w:numId w:val="1002"/>
        </w:numPr>
        <w:pStyle w:val="Compact"/>
      </w:pPr>
      <w:r>
        <w:t xml:space="preserve">Эксплуатируйте оборудование под руководством персонала, имеющего опыт работы с ним.</w:t>
      </w:r>
    </w:p>
    <w:bookmarkEnd w:id="21"/>
    <w:bookmarkEnd w:id="22"/>
    <w:bookmarkStart w:id="23" w:name="гарантийные-обязательства"/>
    <w:p>
      <w:pPr>
        <w:pStyle w:val="Heading2"/>
      </w:pPr>
      <w:r>
        <w:t xml:space="preserve">Гарантийные обязательства</w:t>
      </w:r>
    </w:p>
    <w:p>
      <w:pPr>
        <w:pStyle w:val="FirstParagraph"/>
      </w:pPr>
      <w:r>
        <w:rPr>
          <w:iCs/>
          <w:i/>
        </w:rPr>
        <w:t xml:space="preserve">(стр. 2)</w:t>
      </w:r>
    </w:p>
    <w:p>
      <w:pPr>
        <w:pStyle w:val="BodyText"/>
      </w:pPr>
      <w:r>
        <w:t xml:space="preserve">Перед отгрузкой продукция нашей компании проходит тщательные испытания. Если в процессе эксплуатации возникла неисправность или оборудование было повреждено при транспортировке, свяжитесь с нашей компанией.</w:t>
      </w:r>
    </w:p>
    <w:p>
      <w:pPr>
        <w:pStyle w:val="BodyText"/>
      </w:pPr>
      <w:r>
        <w:t xml:space="preserve">Со дня приобретения изделия наша компания в течение одного года предоставляет на приобретённое оборудование гарантийное обслуживание по принципу «трёх гарантий» (ремонт, замена, возврат).</w:t>
      </w:r>
    </w:p>
    <w:p>
      <w:pPr>
        <w:pStyle w:val="BodyText"/>
      </w:pPr>
      <w:r>
        <w:t xml:space="preserve">На следующие случаи гарантия «трёх гарантий» не распространяется:</w:t>
      </w:r>
    </w:p>
    <w:p>
      <w:pPr>
        <w:numPr>
          <w:ilvl w:val="0"/>
          <w:numId w:val="1003"/>
        </w:numPr>
        <w:pStyle w:val="Compact"/>
      </w:pPr>
      <w:r>
        <w:t xml:space="preserve">несанкционированная модификация оборудования;</w:t>
      </w:r>
    </w:p>
    <w:p>
      <w:pPr>
        <w:numPr>
          <w:ilvl w:val="0"/>
          <w:numId w:val="1003"/>
        </w:numPr>
        <w:pStyle w:val="Compact"/>
      </w:pPr>
      <w:r>
        <w:t xml:space="preserve">ненадлежащее хранение или эксплуатация оборудования пользователем;</w:t>
      </w:r>
    </w:p>
    <w:p>
      <w:pPr>
        <w:numPr>
          <w:ilvl w:val="0"/>
          <w:numId w:val="1003"/>
        </w:numPr>
        <w:pStyle w:val="Compact"/>
      </w:pPr>
      <w:r>
        <w:t xml:space="preserve">повреждения, возникшие по иным причинам, зависящим от пользователя;</w:t>
      </w:r>
    </w:p>
    <w:p>
      <w:pPr>
        <w:numPr>
          <w:ilvl w:val="0"/>
          <w:numId w:val="1003"/>
        </w:numPr>
        <w:pStyle w:val="Compact"/>
      </w:pPr>
      <w:r>
        <w:t xml:space="preserve">повреждения, вызванные обстоятельствами непреодолимой силы.</w:t>
      </w:r>
    </w:p>
    <w:bookmarkEnd w:id="23"/>
    <w:bookmarkStart w:id="24" w:name="отказ-от-ответственности"/>
    <w:p>
      <w:pPr>
        <w:pStyle w:val="Heading2"/>
      </w:pPr>
      <w:r>
        <w:t xml:space="preserve">Отказ от ответственности</w:t>
      </w:r>
    </w:p>
    <w:p>
      <w:pPr>
        <w:pStyle w:val="FirstParagraph"/>
      </w:pPr>
      <w:r>
        <w:rPr>
          <w:iCs/>
          <w:i/>
        </w:rPr>
        <w:t xml:space="preserve">(стр. 3)</w:t>
      </w:r>
    </w:p>
    <w:p>
      <w:pPr>
        <w:pStyle w:val="BodyText"/>
      </w:pPr>
      <w:r>
        <w:t xml:space="preserve">При монтаже и эксплуатации в строгом соответствии с требованиями настоящего руководства оборудование нашей компании является безопасным, удобным и эффективным.</w:t>
      </w:r>
    </w:p>
    <w:p>
      <w:pPr>
        <w:pStyle w:val="BodyText"/>
      </w:pPr>
      <w:r>
        <w:t xml:space="preserve">Наша компания не несёт никакой ответственности за любой вред и ущерб, причинённые вследствие того, что пользователь не ознакомился внимательно с руководством или не выполнял требования руководства по эксплуатации.</w:t>
      </w:r>
    </w:p>
    <w:p>
      <w:pPr>
        <w:pStyle w:val="BodyText"/>
      </w:pPr>
      <w:r>
        <w:t xml:space="preserve">Настоящее руководство носит исключительно информационный характер; при выпуске новой редакции дополнительное уведомление не производится. В случае расхождений между настоящим руководством и фактическим изделием право окончательного толкования принадлежит нашей компании.</w:t>
      </w:r>
    </w:p>
    <w:bookmarkEnd w:id="24"/>
    <w:bookmarkStart w:id="28" w:name="общие-сведения"/>
    <w:p>
      <w:pPr>
        <w:pStyle w:val="Heading2"/>
      </w:pPr>
      <w:r>
        <w:t xml:space="preserve">Общие сведения</w:t>
      </w:r>
    </w:p>
    <w:p>
      <w:pPr>
        <w:pStyle w:val="FirstParagraph"/>
      </w:pPr>
      <w:r>
        <w:rPr>
          <w:iCs/>
          <w:i/>
        </w:rPr>
        <w:t xml:space="preserve">(стр. 4)</w:t>
      </w:r>
    </w:p>
    <w:bookmarkStart w:id="25" w:name="основное-назначение-и-область-применения"/>
    <w:p>
      <w:pPr>
        <w:pStyle w:val="Heading3"/>
      </w:pPr>
      <w:r>
        <w:t xml:space="preserve">Основное назначение и область применения</w:t>
      </w:r>
    </w:p>
    <w:p>
      <w:pPr>
        <w:pStyle w:val="FirstParagraph"/>
      </w:pPr>
      <w:r>
        <w:t xml:space="preserve">Высоковакуумный металлический паромасляный диффузионный насос (далее — диффузионный насос) применяется в электронной и химической промышленности, вакуумной металлургии, атомной промышленности и других областях для откачки газа из откачиваемого сосуда с целью получения высокого вакуума (до 10^-5 Па).</w:t>
      </w:r>
    </w:p>
    <w:p>
      <w:pPr>
        <w:pStyle w:val="BodyText"/>
      </w:pPr>
      <w:r>
        <w:t xml:space="preserve">Диффузионный насос предназначен для откачки из высоковакуумных систем газов, не оказывающих серьёзного вредного воздействия на рабочее масло насоса.</w:t>
      </w:r>
    </w:p>
    <w:bookmarkEnd w:id="25"/>
    <w:bookmarkStart w:id="26" w:name="X95f275a33be82ebfb24ff8e272b79bd575e5f36"/>
    <w:p>
      <w:pPr>
        <w:pStyle w:val="Heading3"/>
      </w:pPr>
      <w:r>
        <w:t xml:space="preserve">Структура обозначения типа и её расшифровка</w:t>
      </w:r>
    </w:p>
    <w:p>
      <w:pPr>
        <w:pStyle w:val="FirstParagraph"/>
      </w:pPr>
      <w:r>
        <w:t xml:space="preserve">Диффузионные насосы выпускаются двух типов: K и KT.</w:t>
      </w:r>
    </w:p>
    <w:p>
      <w:pPr>
        <w:pStyle w:val="BodyText"/>
      </w:pPr>
      <w:r>
        <w:t xml:space="preserve">Корпус диффузионного насоса типа K имеет прямую (цилиндрическую) полость, корпус насоса типа KT — полость с выпуклостью (расширением).</w:t>
      </w:r>
    </w:p>
    <w:p>
      <w:pPr>
        <w:numPr>
          <w:ilvl w:val="0"/>
          <w:numId w:val="1004"/>
        </w:numPr>
        <w:pStyle w:val="Compact"/>
      </w:pPr>
      <w:r>
        <w:t xml:space="preserve">K (паромасляный диффузионный насос) — 100 (диаметр входного патрубка, мм)</w:t>
      </w:r>
    </w:p>
    <w:p>
      <w:pPr>
        <w:numPr>
          <w:ilvl w:val="0"/>
          <w:numId w:val="1004"/>
        </w:numPr>
        <w:pStyle w:val="Compact"/>
      </w:pPr>
      <w:r>
        <w:t xml:space="preserve">K (паромасляный диффузионный насос) T (корпус насоса с выпуклой полостью) — 200 (диаметр входного патрубка, мм)</w:t>
      </w:r>
    </w:p>
    <w:bookmarkEnd w:id="26"/>
    <w:bookmarkStart w:id="27" w:name="рекомендуемые-условия-эксплуатации"/>
    <w:p>
      <w:pPr>
        <w:pStyle w:val="Heading3"/>
      </w:pPr>
      <w:r>
        <w:t xml:space="preserve">Рекомендуемые условия эксплуатации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10～35 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Влажность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≤85 %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питания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 В ±5 %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Давление охлаждающей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0,2～0,4 МПа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Качество охлаждающей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промышленная водопроводная 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воды на входе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4～20 ℃</w:t>
            </w:r>
          </w:p>
        </w:tc>
      </w:tr>
    </w:tbl>
    <w:bookmarkEnd w:id="27"/>
    <w:bookmarkEnd w:id="28"/>
    <w:bookmarkStart w:id="34" w:name="X941c67e36745d21aa1fa58a0230c085541dbb15"/>
    <w:p>
      <w:pPr>
        <w:pStyle w:val="Heading2"/>
      </w:pPr>
      <w:r>
        <w:t xml:space="preserve">Принцип действия и конструктивные особенности</w:t>
      </w:r>
    </w:p>
    <w:bookmarkStart w:id="29" w:name="принцип-действия"/>
    <w:p>
      <w:pPr>
        <w:pStyle w:val="Heading3"/>
      </w:pPr>
      <w:r>
        <w:t xml:space="preserve">Принцип действия</w:t>
      </w:r>
    </w:p>
    <w:p>
      <w:pPr>
        <w:pStyle w:val="FirstParagraph"/>
      </w:pPr>
      <w:r>
        <w:rPr>
          <w:iCs/>
          <w:i/>
        </w:rPr>
        <w:t xml:space="preserve">(стр. 5)</w:t>
      </w:r>
    </w:p>
    <w:p>
      <w:pPr>
        <w:pStyle w:val="BodyText"/>
      </w:pPr>
      <w:r>
        <w:t xml:space="preserve">Рабочее масло в кипятильнике диффузионного насоса нагревается в вакууме (&lt; 10 Па) до температуры кипения; при этом образуется большое количество паров масла, которые по паропроводу поступают к соплам ступеней и направленно истекают из них с высокой скоростью.</w:t>
      </w:r>
    </w:p>
    <w:p>
      <w:pPr>
        <w:pStyle w:val="BodyText"/>
      </w:pPr>
      <w:r>
        <w:t xml:space="preserve">Поскольку парциальное давление откачиваемого газа вблизи входного патрубка диффузионного насоса выше парциального давления этого газа в паровой струе, молекулы откачиваемого газа непрерывно диффундируют в паровую струю. Пары масла соударяются с молекулами откачиваемого газа и сообщают им высокую скорость в направлении движения паровой струи. Молекулы газа, ударяясь о стенку насоса, отражаются от неё, вновь соударяются с паровой струёй и снова движутся в направлении струи к стенке насоса.</w:t>
      </w:r>
    </w:p>
    <w:p>
      <w:pPr>
        <w:pStyle w:val="BodyText"/>
      </w:pPr>
      <w:r>
        <w:t xml:space="preserve">После нескольких соударений молекулы газа сжимаются в сторону низкого вакуума (выходной стороны), затем дополнительно сжимаются паровыми струями из нижних ступеней сопел и, наконец, удаляются форвакуумным насосом. Пары масла конденсируются на охлаждаемой стенке насоса и стекают обратно в кипятильник, где снова нагреваются; так осуществляется непрерывный цикл работы.</w:t>
      </w:r>
    </w:p>
    <w:bookmarkEnd w:id="29"/>
    <w:bookmarkStart w:id="33" w:name="конструктивные-особенности"/>
    <w:p>
      <w:pPr>
        <w:pStyle w:val="Heading3"/>
      </w:pPr>
      <w:r>
        <w:t xml:space="preserve">Конструктивные особенности</w:t>
      </w:r>
    </w:p>
    <w:p>
      <w:pPr>
        <w:pStyle w:val="FirstParagraph"/>
      </w:pPr>
      <w:r>
        <w:rPr>
          <w:iCs/>
          <w:i/>
        </w:rPr>
        <w:t xml:space="preserve">(стр. 6–7)</w:t>
      </w:r>
    </w:p>
    <w:p>
      <w:pPr>
        <w:pStyle w:val="CaptionedFigure"/>
      </w:pPr>
      <w:r>
        <w:drawing>
          <wp:inline>
            <wp:extent cx="4319999" cy="4852173"/>
            <wp:effectExtent b="0" l="0" r="0" t="0"/>
            <wp:docPr descr="Рис. 1. Конструкция диффузионного насоса" title="" id="31" name="Picture"/>
            <a:graphic>
              <a:graphicData uri="http://schemas.openxmlformats.org/drawingml/2006/picture">
                <pic:pic>
                  <pic:nvPicPr>
                    <pic:cNvPr descr="img/fig1_structur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852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 Конструкция диффузионного насоса</w:t>
      </w:r>
    </w:p>
    <w:p>
      <w:pPr>
        <w:pStyle w:val="BodyText"/>
      </w:pPr>
      <w:r>
        <w:t xml:space="preserve">Позиции на рисунке:</w:t>
      </w:r>
    </w:p>
    <w:p>
      <w:pPr>
        <w:numPr>
          <w:ilvl w:val="0"/>
          <w:numId w:val="1005"/>
        </w:numPr>
        <w:pStyle w:val="Compact"/>
      </w:pPr>
      <w:r>
        <w:t xml:space="preserve">Нагреватель</w:t>
      </w:r>
    </w:p>
    <w:p>
      <w:pPr>
        <w:numPr>
          <w:ilvl w:val="0"/>
          <w:numId w:val="1005"/>
        </w:numPr>
        <w:pStyle w:val="Compact"/>
      </w:pPr>
      <w:r>
        <w:t xml:space="preserve">Фланец выходного (выхлопного) патрубка</w:t>
      </w:r>
    </w:p>
    <w:p>
      <w:pPr>
        <w:numPr>
          <w:ilvl w:val="0"/>
          <w:numId w:val="1005"/>
        </w:numPr>
        <w:pStyle w:val="Compact"/>
      </w:pPr>
      <w:r>
        <w:t xml:space="preserve">Уплотнительное кольцо выходного патрубка</w:t>
      </w:r>
    </w:p>
    <w:p>
      <w:pPr>
        <w:numPr>
          <w:ilvl w:val="0"/>
          <w:numId w:val="1005"/>
        </w:numPr>
        <w:pStyle w:val="Compact"/>
      </w:pPr>
      <w:r>
        <w:t xml:space="preserve">Маслоотражатель</w:t>
      </w:r>
    </w:p>
    <w:p>
      <w:pPr>
        <w:numPr>
          <w:ilvl w:val="0"/>
          <w:numId w:val="1005"/>
        </w:numPr>
        <w:pStyle w:val="Compact"/>
      </w:pPr>
      <w:r>
        <w:t xml:space="preserve">Паропровод с соплами (сопловой блок, «сердечник» насоса)</w:t>
      </w:r>
    </w:p>
    <w:p>
      <w:pPr>
        <w:numPr>
          <w:ilvl w:val="0"/>
          <w:numId w:val="1005"/>
        </w:numPr>
        <w:pStyle w:val="Compact"/>
      </w:pPr>
      <w:r>
        <w:t xml:space="preserve">Корпус насоса</w:t>
      </w:r>
    </w:p>
    <w:p>
      <w:pPr>
        <w:numPr>
          <w:ilvl w:val="0"/>
          <w:numId w:val="1005"/>
        </w:numPr>
        <w:pStyle w:val="Compact"/>
      </w:pPr>
      <w:r>
        <w:t xml:space="preserve">Трубка охлаждающей воды (змеевик)</w:t>
      </w:r>
    </w:p>
    <w:p>
      <w:pPr>
        <w:numPr>
          <w:ilvl w:val="0"/>
          <w:numId w:val="1005"/>
        </w:numPr>
        <w:pStyle w:val="Compact"/>
      </w:pPr>
      <w:r>
        <w:t xml:space="preserve">Фланец входного патрубка</w:t>
      </w:r>
    </w:p>
    <w:p>
      <w:pPr>
        <w:numPr>
          <w:ilvl w:val="0"/>
          <w:numId w:val="1005"/>
        </w:numPr>
        <w:pStyle w:val="Compact"/>
      </w:pPr>
      <w:r>
        <w:t xml:space="preserve">Уплотнительное кольцо входного патрубка</w:t>
      </w:r>
    </w:p>
    <w:p>
      <w:pPr>
        <w:pStyle w:val="FirstParagraph"/>
      </w:pPr>
      <w:r>
        <w:t xml:space="preserve">[На чертеже на корпусе изображена фирменная табличка, частично закрытая; читаемые надписи: «K-[неразборчиво]», «Металлический паромасляный диффузионный насос», «Предельное давление 5×10^-5 Pa», «Наибольшее выпускное давление 40 Pa», «Заводской №», наименование изготовителя «Chengdu Nanguang (Чэнду Наньгуан) Machinery Factory» — частично неразборчиво.]</w:t>
      </w:r>
    </w:p>
    <w:p>
      <w:pPr>
        <w:pStyle w:val="BodyText"/>
      </w:pPr>
      <w:r>
        <w:t xml:space="preserve">Диффузионный насос состоит в основном из корпуса, паропровода с соплами (соплового блока), кипятильника, нагревателя, трубок охлаждающей воды и т. д. У насоса типа KT корпус на участке между соплом первой ступени и соплом второй ступени выполнен с выпуклой полостью (расширением) для увеличения быстроты откачки.</w:t>
      </w:r>
    </w:p>
    <w:p>
      <w:pPr>
        <w:pStyle w:val="BodyText"/>
      </w:pPr>
      <w:r>
        <w:t xml:space="preserve">Корпус насоса служит для размещения соплового блока, изоляции от атмосферы и конденсации паров масла. Внутренняя поверхность корпуса полирована. Сопловой блок состоит из многоступенчатых сопел и паропровода и закреплён внутри корпуса насоса.</w:t>
      </w:r>
    </w:p>
    <w:bookmarkEnd w:id="33"/>
    <w:bookmarkEnd w:id="34"/>
    <w:bookmarkStart w:id="48" w:name="X5dab4bde8f1a2f1b3d7652ceb68f8e2d23caa46"/>
    <w:p>
      <w:pPr>
        <w:pStyle w:val="Heading2"/>
      </w:pPr>
      <w:r>
        <w:t xml:space="preserve">Технические характеристики, габаритные и присоединительные размеры</w:t>
      </w:r>
    </w:p>
    <w:bookmarkStart w:id="35" w:name="основные-параметры"/>
    <w:p>
      <w:pPr>
        <w:pStyle w:val="Heading3"/>
      </w:pPr>
      <w:r>
        <w:t xml:space="preserve">Основные параметры</w:t>
      </w:r>
    </w:p>
    <w:p>
      <w:pPr>
        <w:pStyle w:val="FirstParagraph"/>
      </w:pPr>
      <w:r>
        <w:rPr>
          <w:iCs/>
          <w:i/>
        </w:rPr>
        <w:t xml:space="preserve">(стр. 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входного патрубка,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Быстрота откачки, л/с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Предельное давление, 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Наибольшее выпускное давление, 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Заливаемое количество масла, 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Мощность нагрева, кВт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Расход охлаждающей воды, л/ч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Рекомендуемая быстрота откачки форвакуумного насоса, л/с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питания, 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K-630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K-630A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TK-150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TK-300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0,55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3,5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4,8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KT-500C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5×10^-5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</w:tr>
    </w:tbl>
    <w:p>
      <w:pPr>
        <w:pStyle w:val="BodyText"/>
      </w:pPr>
      <w:r>
        <w:t xml:space="preserve">[Примечание переводчика: в оригинале единицы указаны как «L×S-1» (л·с⁻¹) и «L×h-1» (л·ч⁻¹).]</w:t>
      </w:r>
    </w:p>
    <w:bookmarkEnd w:id="35"/>
    <w:bookmarkStart w:id="36" w:name="примечания"/>
    <w:p>
      <w:pPr>
        <w:pStyle w:val="Heading3"/>
      </w:pPr>
      <w:r>
        <w:t xml:space="preserve">Примечания</w:t>
      </w:r>
    </w:p>
    <w:p>
      <w:pPr>
        <w:numPr>
          <w:ilvl w:val="0"/>
          <w:numId w:val="1006"/>
        </w:numPr>
        <w:pStyle w:val="Compact"/>
      </w:pPr>
      <w:r>
        <w:t xml:space="preserve">Насосы K-630A, K-800 и K-1000 оснащены нагревом при помощи нагревательных стержней (ТЭНов); рабочее напряжение каждого нагревательного стержня — 220 В.</w:t>
      </w:r>
    </w:p>
    <w:p>
      <w:pPr>
        <w:numPr>
          <w:ilvl w:val="0"/>
          <w:numId w:val="1006"/>
        </w:numPr>
        <w:pStyle w:val="Compact"/>
      </w:pPr>
      <w:r>
        <w:t xml:space="preserve">Насосы K-100 и K-100B оснащены нагревом при помощи нагревательного диска.</w:t>
      </w:r>
    </w:p>
    <w:p>
      <w:pPr>
        <w:numPr>
          <w:ilvl w:val="0"/>
          <w:numId w:val="1006"/>
        </w:numPr>
        <w:pStyle w:val="Compact"/>
      </w:pPr>
      <w:r>
        <w:t xml:space="preserve">Остальные типы насосов оснащены нагревом при помощи электроплиты (электропечи).</w:t>
      </w:r>
    </w:p>
    <w:bookmarkEnd w:id="36"/>
    <w:bookmarkStart w:id="40" w:name="габаритные-и-присоединительные-размеры"/>
    <w:p>
      <w:pPr>
        <w:pStyle w:val="Heading3"/>
      </w:pPr>
      <w:r>
        <w:t xml:space="preserve">Габаритные и присоединительные размеры</w:t>
      </w:r>
    </w:p>
    <w:p>
      <w:pPr>
        <w:pStyle w:val="FirstParagraph"/>
      </w:pPr>
      <w:r>
        <w:rPr>
          <w:iCs/>
          <w:i/>
        </w:rPr>
        <w:t xml:space="preserve">(стр. 8–9)</w:t>
      </w:r>
    </w:p>
    <w:p>
      <w:pPr>
        <w:pStyle w:val="BodyText"/>
      </w:pPr>
      <w:r>
        <w:t xml:space="preserve">Габаритные и присоединительные размеры приведены на рис. 2 и в таблице ниже.</w:t>
      </w:r>
    </w:p>
    <w:p>
      <w:pPr>
        <w:pStyle w:val="CaptionedFigure"/>
      </w:pPr>
      <w:r>
        <w:drawing>
          <wp:inline>
            <wp:extent cx="5334000" cy="3175000"/>
            <wp:effectExtent b="0" l="0" r="0" t="0"/>
            <wp:docPr descr="Рис. 2. Габаритные и присоединительные размеры" title="" id="38" name="Picture"/>
            <a:graphic>
              <a:graphicData uri="http://schemas.openxmlformats.org/drawingml/2006/picture">
                <pic:pic>
                  <pic:nvPicPr>
                    <pic:cNvPr descr="img/fig2_dimension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 Габаритные и присоединительные размеры</w:t>
      </w:r>
    </w:p>
    <w:p>
      <w:pPr>
        <w:pStyle w:val="BodyText"/>
      </w:pPr>
      <w:r>
        <w:t xml:space="preserve">Надписи на рисунке: «D» и «Вид D» — направление взгляда и вид на фланцы; L — горизонтальный размер от оси входного патрубка до оси выходного патрубка; A — вертикальный размер от входного фланца до выходного фланца; H — общая высота насоса; ØD, Ød — наружный диаметр и диаметр окружности расположения отверстий входного фланца; ØD1, Ød1 — то же для выходного фланца; n-M — количество и размер крепёжных отверстий входного фланца; n1-M1 — количество и размер крепёжных отверстий выходного фланца.</w:t>
      </w:r>
    </w:p>
    <w:p>
      <w:pPr>
        <w:pStyle w:val="BodyText"/>
      </w:pPr>
      <w:r>
        <w:t xml:space="preserve">[Примечание переводчика: назначение размеров A, L, H определено по рисунку.]</w:t>
      </w:r>
    </w:p>
    <w:p>
      <w:pPr>
        <w:pStyle w:val="BodyText"/>
      </w:pPr>
      <w:r>
        <w:rPr>
          <w:bCs/>
          <w:b/>
        </w:rPr>
        <w:t xml:space="preserve">Габаритные и присоединительные размеры, мм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n-M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n1-M1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K-630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K-630A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K-800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K-1000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TK-150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TK-300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KT-400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KT-500C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16-M12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8-M10</w:t>
            </w:r>
          </w:p>
        </w:tc>
      </w:tr>
    </w:tbl>
    <w:bookmarkEnd w:id="40"/>
    <w:bookmarkStart w:id="47" w:name="X40cbd98fa1abafd475a624650c7b668ce3d0660"/>
    <w:p>
      <w:pPr>
        <w:pStyle w:val="Heading3"/>
      </w:pPr>
      <w:r>
        <w:t xml:space="preserve">Принципиальная схема подключения нагревателя</w:t>
      </w:r>
    </w:p>
    <w:p>
      <w:pPr>
        <w:pStyle w:val="FirstParagraph"/>
      </w:pPr>
      <w:r>
        <w:rPr>
          <w:iCs/>
          <w:i/>
        </w:rPr>
        <w:t xml:space="preserve">(стр. 9–10)</w:t>
      </w:r>
    </w:p>
    <w:p>
      <w:pPr>
        <w:pStyle w:val="CaptionedFigure"/>
      </w:pPr>
      <w:r>
        <w:drawing>
          <wp:inline>
            <wp:extent cx="5334000" cy="6815666"/>
            <wp:effectExtent b="0" l="0" r="0" t="0"/>
            <wp:docPr descr="Рис. 3. Принципиальные схемы подключения нагревателя (K-100 … K-800)" title="" id="42" name="Picture"/>
            <a:graphic>
              <a:graphicData uri="http://schemas.openxmlformats.org/drawingml/2006/picture">
                <pic:pic>
                  <pic:nvPicPr>
                    <pic:cNvPr descr="img/fig3_wiring_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 Принципиальные схемы подключения нагревателя (K-100 … K-800)</w:t>
      </w:r>
    </w:p>
    <w:p>
      <w:pPr>
        <w:pStyle w:val="CaptionedFigure"/>
      </w:pPr>
      <w:r>
        <w:drawing>
          <wp:inline>
            <wp:extent cx="5334000" cy="1554480"/>
            <wp:effectExtent b="0" l="0" r="0" t="0"/>
            <wp:docPr descr="Рис. 3 (продолжение). Принципиальная схема подключения нагревателя (K-1000)" title="" id="45" name="Picture"/>
            <a:graphic>
              <a:graphicData uri="http://schemas.openxmlformats.org/drawingml/2006/picture">
                <pic:pic>
                  <pic:nvPicPr>
                    <pic:cNvPr descr="img/fig3_wiring_b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 (продолжение). Принципиальная схема подключения нагревателя (K-1000)</w:t>
      </w:r>
    </w:p>
    <w:p>
      <w:pPr>
        <w:pStyle w:val="BodyText"/>
      </w:pPr>
      <w:r>
        <w:t xml:space="preserve">Надписи на схемах:</w:t>
      </w:r>
    </w:p>
    <w:p>
      <w:pPr>
        <w:numPr>
          <w:ilvl w:val="0"/>
          <w:numId w:val="1007"/>
        </w:numPr>
        <w:pStyle w:val="Compact"/>
      </w:pPr>
      <w:r>
        <w:t xml:space="preserve">Схема 1 (однофазное подключение, выводы L, K): «Применяется для диффузионных насосов K-100, K-100B, K-150, K-200, K-300, TK-150, KT-200, TK-300».</w:t>
      </w:r>
    </w:p>
    <w:p>
      <w:pPr>
        <w:numPr>
          <w:ilvl w:val="0"/>
          <w:numId w:val="1007"/>
        </w:numPr>
        <w:pStyle w:val="Compact"/>
      </w:pPr>
      <w:r>
        <w:t xml:space="preserve">Схема 2 (три нагревательных элемента, выводы L1, L2, L3, K): «Применяется для диффузионных насосов K-400, KT-400, KT-500C, K-630».</w:t>
      </w:r>
    </w:p>
    <w:p>
      <w:pPr>
        <w:numPr>
          <w:ilvl w:val="0"/>
          <w:numId w:val="1007"/>
        </w:numPr>
        <w:pStyle w:val="Compact"/>
      </w:pPr>
      <w:r>
        <w:t xml:space="preserve">Схема 3 (три группы по три элемента, каждая группа — выводы L1, L2, L3, K): «9 нагревательных стержней 1,6 кВт 220 В, P = 14,4 кВт»; «Применяется для диффузионного насоса K-630A».</w:t>
      </w:r>
    </w:p>
    <w:p>
      <w:pPr>
        <w:numPr>
          <w:ilvl w:val="0"/>
          <w:numId w:val="1007"/>
        </w:numPr>
        <w:pStyle w:val="Compact"/>
      </w:pPr>
      <w:r>
        <w:t xml:space="preserve">Схема 4 (шесть групп по три элемента, каждая группа — выводы L1, L2, L3, K): «18 нагревательных стержней 1,1 кВт 220 В, P = 19,8 кВт»; «Применяется для диффузионного насоса K-800».</w:t>
      </w:r>
    </w:p>
    <w:p>
      <w:pPr>
        <w:numPr>
          <w:ilvl w:val="0"/>
          <w:numId w:val="1007"/>
        </w:numPr>
        <w:pStyle w:val="Compact"/>
      </w:pPr>
      <w:r>
        <w:t xml:space="preserve">Схема 5 (восемь групп по три элемента, каждая группа — выводы L1, L2, L3, K): «24 нагревательных стержня 1,1 кВт 220 В, P = 26,4 кВт»; «Применяется для диффузионного насоса K-1000».</w:t>
      </w:r>
    </w:p>
    <w:p>
      <w:pPr>
        <w:numPr>
          <w:ilvl w:val="0"/>
          <w:numId w:val="1007"/>
        </w:numPr>
        <w:pStyle w:val="Compact"/>
      </w:pPr>
      <w:r>
        <w:t xml:space="preserve">Символ ⏚ внутри штрихового контура — заземление корпуса нагревателя.</w:t>
      </w:r>
    </w:p>
    <w:p>
      <w:pPr>
        <w:pStyle w:val="FirstParagraph"/>
      </w:pPr>
      <w:r>
        <w:t xml:space="preserve">[Примечание переводчика: L, L1, L2, L3 — фазные выводы; K — общий (нулевой) вывод схемы соединения «звезда»; обозначения перенесены без изменений. Значения мощности на схемах соответствуют таблице основных параметров (14,4; 19,8; 26,4 кВт).]</w:t>
      </w:r>
    </w:p>
    <w:bookmarkEnd w:id="47"/>
    <w:bookmarkEnd w:id="48"/>
    <w:bookmarkStart w:id="49" w:name="проверка-при-распаковке"/>
    <w:p>
      <w:pPr>
        <w:pStyle w:val="Heading2"/>
      </w:pPr>
      <w:r>
        <w:t xml:space="preserve">Проверка при распаковке</w:t>
      </w:r>
    </w:p>
    <w:p>
      <w:pPr>
        <w:pStyle w:val="FirstParagraph"/>
      </w:pPr>
      <w:r>
        <w:rPr>
          <w:iCs/>
          <w:i/>
        </w:rPr>
        <w:t xml:space="preserve">(стр. 10)</w:t>
      </w:r>
    </w:p>
    <w:p>
      <w:pPr>
        <w:pStyle w:val="BodyText"/>
      </w:pPr>
      <w:r>
        <w:t xml:space="preserve">Вскрыв упаковочный ящик, прежде всего проверьте следующее:</w:t>
      </w:r>
    </w:p>
    <w:p>
      <w:pPr>
        <w:numPr>
          <w:ilvl w:val="0"/>
          <w:numId w:val="1008"/>
        </w:numPr>
        <w:pStyle w:val="Compact"/>
      </w:pPr>
      <w:r>
        <w:t xml:space="preserve">соответствует ли тип (модель) изделия указанному в заказе;</w:t>
      </w:r>
    </w:p>
    <w:p>
      <w:pPr>
        <w:numPr>
          <w:ilvl w:val="0"/>
          <w:numId w:val="1008"/>
        </w:numPr>
        <w:pStyle w:val="Compact"/>
      </w:pPr>
      <w:r>
        <w:t xml:space="preserve">нет ли повреждений, полученных при транспортировке;</w:t>
      </w:r>
    </w:p>
    <w:p>
      <w:pPr>
        <w:numPr>
          <w:ilvl w:val="0"/>
          <w:numId w:val="1008"/>
        </w:numPr>
        <w:pStyle w:val="Compact"/>
      </w:pPr>
      <w:r>
        <w:t xml:space="preserve">имеются ли в комплекте согласно упаковочному листу сертификат соответствия (свидетельство о приёмке ОТК), уплотнительные кольца и другие принадлежности.</w:t>
      </w:r>
    </w:p>
    <w:p>
      <w:pPr>
        <w:pStyle w:val="FirstParagraph"/>
      </w:pPr>
      <w:r>
        <w:t xml:space="preserve">При обнаружении повреждений внешнего вида изделия, отсутствия деталей и т. п. немедленно свяжитесь с нашей компанией.</w:t>
      </w:r>
    </w:p>
    <w:bookmarkEnd w:id="49"/>
    <w:bookmarkStart w:id="50" w:name="подготовка-к-монтажу"/>
    <w:p>
      <w:pPr>
        <w:pStyle w:val="Heading2"/>
      </w:pPr>
      <w:r>
        <w:t xml:space="preserve">Подготовка к монтажу</w:t>
      </w:r>
    </w:p>
    <w:p>
      <w:pPr>
        <w:pStyle w:val="FirstParagraph"/>
      </w:pPr>
      <w:r>
        <w:rPr>
          <w:iCs/>
          <w:i/>
        </w:rPr>
        <w:t xml:space="preserve">(стр. 10–11)</w:t>
      </w:r>
    </w:p>
    <w:p>
      <w:pPr>
        <w:numPr>
          <w:ilvl w:val="0"/>
          <w:numId w:val="1009"/>
        </w:numPr>
        <w:pStyle w:val="Compact"/>
      </w:pPr>
      <w:r>
        <w:t xml:space="preserve">Прежде всего снимите защитные крышки, установленные на входном и выходном патрубках и в других местах.</w:t>
      </w:r>
    </w:p>
    <w:p>
      <w:pPr>
        <w:numPr>
          <w:ilvl w:val="0"/>
          <w:numId w:val="1009"/>
        </w:numPr>
        <w:pStyle w:val="Compact"/>
      </w:pPr>
      <w:r>
        <w:t xml:space="preserve">Убедитесь, что сопловой блок, охлаждаемый колпак (маслоотражатель) и корпус насоса не повреждены и имеют нормальный внешний вид.</w:t>
      </w:r>
    </w:p>
    <w:p>
      <w:pPr>
        <w:pStyle w:val="FirstParagraph"/>
      </w:pPr>
      <w:r>
        <w:t xml:space="preserve">Все диффузионные насосы нашей компании перед отгрузкой проходят испытания рабочих характеристик и заправляются достаточным количеством рабочего масла. Если обнаружится, что по каким-либо причинам масла в диффузионном насосе недостаточно или оно отсутствует, залейте масло для диффузионных насосов в соответствии с требованиями для данного оборудования.</w:t>
      </w:r>
    </w:p>
    <w:p>
      <w:pPr>
        <w:pStyle w:val="BodyText"/>
      </w:pPr>
      <w:r>
        <w:rPr>
          <w:bCs/>
          <w:b/>
        </w:rPr>
        <w:t xml:space="preserve">Совет:</w:t>
      </w:r>
      <w:r>
        <w:t xml:space="preserve"> </w:t>
      </w:r>
      <w:r>
        <w:t xml:space="preserve">если срок хранения диффузионного насоса превышает 12 месяцев, необходимо проверить, не испортились ли уплотнительные кольца, детали внутри насоса и рабочее масло. Рекомендуется заменить уплотнительные кольца и рабочее масло.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Внимание!</w:t>
      </w:r>
      <w:r>
        <w:t xml:space="preserve"> </w:t>
      </w:r>
      <w:r>
        <w:t xml:space="preserve">Нагрев насоса без залитого масла для диффузионных насосов может привести к выходу из строя нагревателя, деформации и даже разрушению соплового блока.</w:t>
      </w:r>
    </w:p>
    <w:p>
      <w:pPr>
        <w:numPr>
          <w:ilvl w:val="0"/>
          <w:numId w:val="1010"/>
        </w:numPr>
        <w:pStyle w:val="Compact"/>
      </w:pPr>
      <w:r>
        <w:t xml:space="preserve">Тщательно проверьте нагреватель. Выводы, электроды и т. п. нагревателя не должны касаться корпуса во избежание короткого замыкания или утечки тока.</w:t>
      </w:r>
    </w:p>
    <w:p>
      <w:pPr>
        <w:numPr>
          <w:ilvl w:val="0"/>
          <w:numId w:val="1010"/>
        </w:numPr>
        <w:pStyle w:val="Compact"/>
      </w:pPr>
      <w:r>
        <w:t xml:space="preserve">Подключите электрическую цепь (см. схему подключения нагревателя) и проведите пробное включение.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Предупреждение:</w:t>
      </w:r>
      <w:r>
        <w:t xml:space="preserve"> </w:t>
      </w:r>
      <w:r>
        <w:t xml:space="preserve">нагреватель должен иметь защитное заземление.</w:t>
      </w:r>
    </w:p>
    <w:p>
      <w:pPr>
        <w:numPr>
          <w:ilvl w:val="0"/>
          <w:numId w:val="1011"/>
        </w:numPr>
        <w:pStyle w:val="Compact"/>
      </w:pPr>
      <w:r>
        <w:t xml:space="preserve">Очистите фланцы, уплотнительные кольца и другие детали спиртом или иным летучим растворителем и просушите поверхности.</w:t>
      </w:r>
    </w:p>
    <w:p>
      <w:pPr>
        <w:numPr>
          <w:ilvl w:val="0"/>
          <w:numId w:val="1011"/>
        </w:numPr>
        <w:pStyle w:val="Compact"/>
      </w:pPr>
      <w:r>
        <w:t xml:space="preserve">Равномерно нанесите на поверхность уплотнительных колец необходимое количество вакуумной смазки.</w:t>
      </w:r>
    </w:p>
    <w:bookmarkEnd w:id="50"/>
    <w:bookmarkStart w:id="55" w:name="монтаж"/>
    <w:p>
      <w:pPr>
        <w:pStyle w:val="Heading2"/>
      </w:pPr>
      <w:r>
        <w:t xml:space="preserve">Монтаж</w:t>
      </w:r>
    </w:p>
    <w:p>
      <w:pPr>
        <w:pStyle w:val="FirstParagraph"/>
      </w:pPr>
      <w:r>
        <w:rPr>
          <w:iCs/>
          <w:i/>
        </w:rPr>
        <w:t xml:space="preserve">(стр. 12–13)</w:t>
      </w:r>
    </w:p>
    <w:bookmarkStart w:id="51" w:name="подсоединение-трубопроводов"/>
    <w:p>
      <w:pPr>
        <w:pStyle w:val="Heading3"/>
      </w:pPr>
      <w:r>
        <w:t xml:space="preserve">Подсоединение трубопроводов</w:t>
      </w:r>
    </w:p>
    <w:p>
      <w:pPr>
        <w:pStyle w:val="FirstParagraph"/>
      </w:pPr>
      <w:r>
        <w:t xml:space="preserve">При установке фланцев обеспечьте параллельность обоих фланцев и убедитесь, что уплотнительное кольцо не вышло из канавки.</w:t>
      </w:r>
    </w:p>
    <w:bookmarkEnd w:id="51"/>
    <w:bookmarkStart w:id="52" w:name="подключение-охлаждающей-воды"/>
    <w:p>
      <w:pPr>
        <w:pStyle w:val="Heading3"/>
      </w:pPr>
      <w:r>
        <w:t xml:space="preserve">Подключение охлаждающей воды</w:t>
      </w:r>
    </w:p>
    <w:p>
      <w:pPr>
        <w:numPr>
          <w:ilvl w:val="0"/>
          <w:numId w:val="1012"/>
        </w:numPr>
        <w:pStyle w:val="Compact"/>
      </w:pPr>
      <w:r>
        <w:t xml:space="preserve">Диффузионный насос обязательно должен охлаждаться проточной водой. Подвод и отвод охлаждающей воды должны осуществляться по схеме «вход сверху — выход снизу»; обратное подключение ухудшит характеристики насоса.</w:t>
      </w:r>
    </w:p>
    <w:p>
      <w:pPr>
        <w:numPr>
          <w:ilvl w:val="0"/>
          <w:numId w:val="1012"/>
        </w:numPr>
        <w:pStyle w:val="Compact"/>
      </w:pPr>
      <w:r>
        <w:t xml:space="preserve">Если корпус насоса требует подвода охлаждающей воды по секциям, для каждой секции должен быть предусмотрен независимый контур водяного охлаждения; последовательное питание водой ухудшает эффективность охлаждения насоса и, как следствие, его характеристики.</w:t>
      </w:r>
    </w:p>
    <w:p>
      <w:pPr>
        <w:numPr>
          <w:ilvl w:val="0"/>
          <w:numId w:val="1012"/>
        </w:numPr>
        <w:pStyle w:val="Compact"/>
      </w:pPr>
      <w:r>
        <w:t xml:space="preserve">Для водоохлаждаемого колпака (маслоотражателя) предусмотрите независимый контур водяного охлаждения; недостаточное охлаждение приводит к увеличению обратного потока масла.</w:t>
      </w:r>
    </w:p>
    <w:bookmarkEnd w:id="52"/>
    <w:bookmarkStart w:id="53" w:name="электрическое-подключение"/>
    <w:p>
      <w:pPr>
        <w:pStyle w:val="Heading3"/>
      </w:pPr>
      <w:r>
        <w:t xml:space="preserve">Электрическое подключение</w:t>
      </w:r>
    </w:p>
    <w:p>
      <w:pPr>
        <w:pStyle w:val="FirstParagraph"/>
      </w:pPr>
      <w:r>
        <w:t xml:space="preserve">Подключайте электропитание с предписанным напряжением; перед окончательной подачей напряжения ещё раз убедитесь, что напряжение соответствует указанному нами значению.</w:t>
      </w:r>
    </w:p>
    <w:bookmarkEnd w:id="53"/>
    <w:bookmarkStart w:id="54" w:name="контроль-герметичности"/>
    <w:p>
      <w:pPr>
        <w:pStyle w:val="Heading3"/>
      </w:pPr>
      <w:r>
        <w:t xml:space="preserve">Контроль герметичности</w:t>
      </w:r>
    </w:p>
    <w:p>
      <w:pPr>
        <w:pStyle w:val="FirstParagraph"/>
      </w:pPr>
      <w:r>
        <w:t xml:space="preserve">После завершения монтажа диффузионного насоса, перед включением нагрева, проведите вакуумный контроль герметичности всей системы. При наличии возможности проведите контроль герметичности всей вакуумной системы с помощью гелиевого масс-спектрометрического течеискателя.</w:t>
      </w:r>
    </w:p>
    <w:bookmarkEnd w:id="54"/>
    <w:bookmarkEnd w:id="55"/>
    <w:bookmarkStart w:id="59" w:name="эксплуатация"/>
    <w:p>
      <w:pPr>
        <w:pStyle w:val="Heading2"/>
      </w:pPr>
      <w:r>
        <w:t xml:space="preserve">Эксплуатация</w:t>
      </w:r>
    </w:p>
    <w:p>
      <w:pPr>
        <w:pStyle w:val="FirstParagraph"/>
      </w:pPr>
      <w:r>
        <w:rPr>
          <w:iCs/>
          <w:i/>
        </w:rPr>
        <w:t xml:space="preserve">(стр. 13–14)</w:t>
      </w:r>
    </w:p>
    <w:bookmarkStart w:id="56" w:name="пуск"/>
    <w:p>
      <w:pPr>
        <w:pStyle w:val="Heading3"/>
      </w:pPr>
      <w:r>
        <w:t xml:space="preserve">Пуск</w:t>
      </w:r>
    </w:p>
    <w:p>
      <w:pPr>
        <w:numPr>
          <w:ilvl w:val="0"/>
          <w:numId w:val="1013"/>
        </w:numPr>
        <w:pStyle w:val="Compact"/>
      </w:pPr>
      <w:r>
        <w:t xml:space="preserve">Подайте охлаждающую воду и убедитесь, что расход охлаждающей воды соответствует установленным требованиям.</w:t>
      </w:r>
    </w:p>
    <w:p>
      <w:pPr>
        <w:numPr>
          <w:ilvl w:val="0"/>
          <w:numId w:val="1013"/>
        </w:numPr>
        <w:pStyle w:val="Compact"/>
      </w:pPr>
      <w:r>
        <w:t xml:space="preserve">Запустите форвакуумный насос. Только после того, как давление на патрубке диффузионного насоса станет ≤10 Па, можно включать питание нагревателя диффузионного насоса.</w:t>
      </w:r>
    </w:p>
    <w:p>
      <w:pPr>
        <w:numPr>
          <w:ilvl w:val="0"/>
          <w:numId w:val="1013"/>
        </w:numPr>
        <w:pStyle w:val="Compact"/>
      </w:pPr>
      <w:r>
        <w:t xml:space="preserve">Через 40～80 минут после начала нагрева насос выходит на нормальный рабочий режим.</w:t>
      </w:r>
    </w:p>
    <w:bookmarkEnd w:id="56"/>
    <w:bookmarkStart w:id="57" w:name="остановка"/>
    <w:p>
      <w:pPr>
        <w:pStyle w:val="Heading3"/>
      </w:pPr>
      <w:r>
        <w:t xml:space="preserve">Остановка</w:t>
      </w:r>
    </w:p>
    <w:p>
      <w:pPr>
        <w:numPr>
          <w:ilvl w:val="0"/>
          <w:numId w:val="1014"/>
        </w:numPr>
        <w:pStyle w:val="Compact"/>
      </w:pPr>
      <w:r>
        <w:t xml:space="preserve">Сначала закройте высоковакуумный затвор, затем отключите питание нагревателя диффузионного насоса; форвакуумный насос продолжает работать.</w:t>
      </w:r>
    </w:p>
    <w:p>
      <w:pPr>
        <w:numPr>
          <w:ilvl w:val="0"/>
          <w:numId w:val="1014"/>
        </w:numPr>
        <w:pStyle w:val="Compact"/>
      </w:pPr>
      <w:r>
        <w:t xml:space="preserve">Когда температура внутри корпуса насоса снизится до ≤60 ℃ (состояние, при котором к насосу можно прикоснуться рукой), можно остановить форвакуумный насос.</w:t>
      </w:r>
    </w:p>
    <w:p>
      <w:pPr>
        <w:numPr>
          <w:ilvl w:val="0"/>
          <w:numId w:val="1014"/>
        </w:numPr>
        <w:pStyle w:val="Compact"/>
      </w:pPr>
      <w:r>
        <w:t xml:space="preserve">Перекройте охлаждающую воду.</w:t>
      </w:r>
    </w:p>
    <w:bookmarkEnd w:id="57"/>
    <w:bookmarkStart w:id="58" w:name="меры-предосторожности"/>
    <w:p>
      <w:pPr>
        <w:pStyle w:val="Heading3"/>
      </w:pPr>
      <w:r>
        <w:t xml:space="preserve">Меры предосторожности</w:t>
      </w:r>
    </w:p>
    <w:p>
      <w:pPr>
        <w:numPr>
          <w:ilvl w:val="0"/>
          <w:numId w:val="1015"/>
        </w:numPr>
        <w:pStyle w:val="Compact"/>
      </w:pPr>
      <w:r>
        <w:t xml:space="preserve">Напуск воздуха в насос допускается только при температуре рабочего масла ≤60 ℃. Слишком высокая температура масла приводит к его окислению и, как следствие, к ухудшению характеристик насоса.</w:t>
      </w:r>
    </w:p>
    <w:p>
      <w:pPr>
        <w:numPr>
          <w:ilvl w:val="0"/>
          <w:numId w:val="1015"/>
        </w:numPr>
        <w:pStyle w:val="Compact"/>
      </w:pPr>
      <w:r>
        <w:t xml:space="preserve">Напуск воздуха производите со стороны высокого вакуума, чтобы не повредить сопловой блок. Если напуск со стороны высокого вакуума невозможен, обеспечьте медленный напуск малым потоком.</w:t>
      </w:r>
    </w:p>
    <w:p>
      <w:pPr>
        <w:pStyle w:val="FirstParagraph"/>
      </w:pPr>
      <w:r>
        <w:rPr>
          <w:iCs/>
          <w:i/>
        </w:rPr>
        <w:t xml:space="preserve">(стр. 14)</w:t>
      </w:r>
    </w:p>
    <w:p>
      <w:pPr>
        <w:pStyle w:val="BodyText"/>
      </w:pPr>
      <w:r>
        <w:t xml:space="preserve">При внезапном отключении электроэнергии или подачи воды во время нормальной работы диффузионного насоса действуйте в следующем порядке:</w:t>
      </w:r>
    </w:p>
    <w:p>
      <w:pPr>
        <w:numPr>
          <w:ilvl w:val="0"/>
          <w:numId w:val="1016"/>
        </w:numPr>
        <w:pStyle w:val="Compact"/>
      </w:pPr>
      <w:r>
        <w:t xml:space="preserve">Отключите электропитание.</w:t>
      </w:r>
    </w:p>
    <w:p>
      <w:pPr>
        <w:numPr>
          <w:ilvl w:val="0"/>
          <w:numId w:val="1016"/>
        </w:numPr>
        <w:pStyle w:val="Compact"/>
      </w:pPr>
      <w:r>
        <w:t xml:space="preserve">Немедленно закройте высоковакуумный затвор и форвакуумный клапан.</w:t>
      </w:r>
    </w:p>
    <w:p>
      <w:pPr>
        <w:numPr>
          <w:ilvl w:val="0"/>
          <w:numId w:val="1016"/>
        </w:numPr>
        <w:pStyle w:val="Compact"/>
      </w:pPr>
      <w:r>
        <w:t xml:space="preserve">Снимите электроплиту с днища насоса и отодвиньте её. (Соблюдайте осторожность — опасность ожога!!!)</w:t>
      </w:r>
    </w:p>
    <w:p>
      <w:pPr>
        <w:numPr>
          <w:ilvl w:val="0"/>
          <w:numId w:val="1016"/>
        </w:numPr>
        <w:pStyle w:val="Compact"/>
      </w:pPr>
      <w:r>
        <w:t xml:space="preserve">Поливайте водой днище насоса (зону кипятильника) — для этого должен быть предусмотрен расположенный выше водяной бак. Внимание: водяной пар может вызвать ожоги!</w:t>
      </w:r>
    </w:p>
    <w:p>
      <w:pPr>
        <w:numPr>
          <w:ilvl w:val="0"/>
          <w:numId w:val="1017"/>
        </w:numPr>
        <w:pStyle w:val="Compact"/>
      </w:pPr>
      <w:r>
        <w:t xml:space="preserve">Если после окончания работы диффузионный насос не будет использоваться в течение короткого периода, слейте воду из каналов водяного охлаждения насоса и продуйте их сжатым воздухом для удаления остаточной влаги во избежание коррозии каналов водяного охлаждения.</w:t>
      </w:r>
    </w:p>
    <w:p>
      <w:pPr>
        <w:numPr>
          <w:ilvl w:val="0"/>
          <w:numId w:val="1017"/>
        </w:numPr>
        <w:pStyle w:val="Compact"/>
      </w:pPr>
      <w:r>
        <w:t xml:space="preserve">Если после некоторого периода работы диффузионного насоса обнаружится ухудшение вакуума, снижение быстроты откачки или чрезмерно долгое время восстановления вакуума в системе, необходимо промыть насос и заменить рабочее масло.</w:t>
      </w:r>
    </w:p>
    <w:p>
      <w:pPr>
        <w:numPr>
          <w:ilvl w:val="0"/>
          <w:numId w:val="1017"/>
        </w:numPr>
        <w:pStyle w:val="Compact"/>
      </w:pPr>
      <w:r>
        <w:t xml:space="preserve">Диффузионный насос следует хранить в хорошо проветриваемом помещении при температуре 10 ℃～35 ℃ и относительной влажности не более 85 %.</w:t>
      </w:r>
    </w:p>
    <w:bookmarkEnd w:id="58"/>
    <w:bookmarkEnd w:id="59"/>
    <w:bookmarkStart w:id="60" w:name="X47c8d3200ef67f0d7aa1ad77a73cbf64e1bbc0b"/>
    <w:p>
      <w:pPr>
        <w:pStyle w:val="Heading2"/>
      </w:pPr>
      <w:r>
        <w:t xml:space="preserve">Анализ и устранение типичных неисправностей</w:t>
      </w:r>
    </w:p>
    <w:p>
      <w:pPr>
        <w:pStyle w:val="FirstParagraph"/>
      </w:pPr>
      <w:r>
        <w:rPr>
          <w:iCs/>
          <w:i/>
        </w:rPr>
        <w:t xml:space="preserve">(стр. 15–16)</w:t>
      </w:r>
    </w:p>
    <w:p>
      <w:pPr>
        <w:pStyle w:val="BodyText"/>
      </w:pPr>
      <w:r>
        <w:rPr>
          <w:bCs/>
          <w:b/>
        </w:rPr>
        <w:t xml:space="preserve">Типичные неисправности диффузионного насоса, их причины и способы устранения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Неисправность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Причина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устранения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Натекание в системе, превышение допустимой скорости натекания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Провести контроль герметичности, найти и устранить течь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Нагреватель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 наличие напряжения питания и нет ли обрыва цепи нагревателя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Недостаточный нагрев масла, низкая температура масла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 соответствие напряжения питания установленному значению, не перегорела ли нагревательная спираль, правильно ли выставлено расстояние от электроплиты до днища кипятильника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высокое форвакуумное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 отсутствие натекания на стороне форвакуума и правильность подбора форвакуумного насоса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Диффузионный насос не работает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Ослабление крепления сопел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Повторно затянуть крепление сопел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низкая быстрота откачки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низкая температура масла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 соответствие напряжения питания и нагревателя установленным требованиям, не перегорел ли нагреватель; устранить неисправность или заменить нагреватель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низкая быстрота откачки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мало масла в насосе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Залить новое масло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Слишком низкая быстрота откачки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Неправильная установка соплового блока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Проверить, нет ли ослабления крепления или перекоса соплового блока, правильны ли зазоры сопел; выполнить повторную регулировку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достигается требуемое предельное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Натекание в вакуумной системе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Провести контроль герметичности системы, найти и устранить течь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достигается требуемое предельное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Загрязнение вакуумной системы или внутренней полости насоса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Обеспечить вакуумную чистоту; разобрать и тщательно очистить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достигается требуемое предельное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Окисление, крекинг рабочего масла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Заменить масло на новое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достигается требуемое предельное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Недостаточное охлаждение диффузионного насоса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Проверить температуру воды, проходимость водяных каналов и достаточность расхода воды; устранить неисправность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достигается требуемое предельное давление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Избыточное или недостаточное количество масла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Добавить или уменьшить количество рабочего масла</w:t>
            </w:r>
          </w:p>
        </w:tc>
      </w:tr>
    </w:tbl>
    <w:bookmarkEnd w:id="60"/>
    <w:bookmarkStart w:id="61" w:name="контактные-данные-изготовителя"/>
    <w:p>
      <w:pPr>
        <w:pStyle w:val="Heading2"/>
      </w:pPr>
      <w:r>
        <w:t xml:space="preserve">Контактные данные изготовителя</w:t>
      </w:r>
    </w:p>
    <w:p>
      <w:pPr>
        <w:pStyle w:val="FirstParagraph"/>
      </w:pPr>
      <w:r>
        <w:rPr>
          <w:iCs/>
          <w:i/>
        </w:rPr>
        <w:t xml:space="preserve">(стр. 16–17)</w:t>
      </w:r>
    </w:p>
    <w:p>
      <w:pPr>
        <w:pStyle w:val="BodyText"/>
      </w:pPr>
      <w:r>
        <w:rPr>
          <w:bCs/>
          <w:b/>
        </w:rPr>
        <w:t xml:space="preserve">YanCheng Boshuo Vacuum Equipment Co., Ltd</w:t>
      </w:r>
      <w:r>
        <w:t xml:space="preserve"> </w:t>
      </w:r>
      <w:r>
        <w:t xml:space="preserve">(Яньчэн Бошо, предприятие вакуумного оборудования)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Реквизит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No.15, Industrial Park, XinXing Town, Tinghu District, Yancheng, Jiangsu Province, P.R. China (КНР, провинция Цзянсу, г. Яньчэн, район Тинху, пос. Синьсин, Промышленный парк, № 15)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Почтовый индекс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224653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+86 0515-88515551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+86 0515-88515551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Веб-сайт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www.ycbszk.com</w:t>
            </w:r>
          </w:p>
        </w:tc>
      </w:tr>
    </w:tbl>
    <w:bookmarkEnd w:id="61"/>
    <w:bookmarkEnd w:id="62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2026-10-16T02:40:54Z</dcterms:created>
  <dcterms:modified xsi:type="dcterms:W3CDTF">2026-10-16T02:40:54Z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