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477eaeae8ed8b76507ef8d5dece53005306804"/>
    <w:p>
      <w:pPr>
        <w:pStyle w:val="Heading1"/>
      </w:pPr>
      <w:r>
        <w:t xml:space="preserve">Кривая быстроты откачки винтового вакуумного насоса с постоянным шагом винта (LG50)</w:t>
      </w:r>
    </w:p>
    <w:p>
      <w:pPr>
        <w:pStyle w:val="FirstParagraph"/>
      </w:pPr>
      <w:r>
        <w:rPr>
          <w:iCs/>
          <w:i/>
        </w:rPr>
        <w:t xml:space="preserve">Перевод с китайского языка. Исходный файл: График_быстроты_откачки_насоса.jpg (исходное имя: 真空泵曲线.jpg). Страниц в оригинале: 1.</w:t>
      </w:r>
    </w:p>
    <w:bookmarkStart w:id="23" w:name="стр.-1-график-быстроты-откачки"/>
    <w:p>
      <w:pPr>
        <w:pStyle w:val="Heading2"/>
      </w:pPr>
      <w:r>
        <w:t xml:space="preserve">Стр. 1 — График быстроты откачки</w:t>
      </w:r>
    </w:p>
    <w:p>
      <w:pPr>
        <w:pStyle w:val="FirstParagraph"/>
      </w:pPr>
      <w:r>
        <w:t xml:space="preserve">[Примечание переводчика: в оригинале лист отсканирован с поворотом на 90°; ниже изображение приведено в нормальной (альбомной) ориентации.]</w:t>
      </w:r>
    </w:p>
    <w:p>
      <w:pPr>
        <w:pStyle w:val="CaptionedFigure"/>
      </w:pPr>
      <w:r>
        <w:drawing>
          <wp:inline>
            <wp:extent cx="5334000" cy="3797141"/>
            <wp:effectExtent b="0" l="0" r="0" t="0"/>
            <wp:docPr descr="Кривая быстроты откачки винтового вакуумного насоса LG50" title="" id="21" name="Picture"/>
            <a:graphic>
              <a:graphicData uri="http://schemas.openxmlformats.org/drawingml/2006/picture">
                <pic:pic>
                  <pic:nvPicPr>
                    <pic:cNvPr descr="img/graph_pum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7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Кривая быстроты откачки винтового вакуумного насоса LG50</w:t>
      </w:r>
    </w:p>
    <w:p>
      <w:pPr>
        <w:pStyle w:val="BodyText"/>
      </w:pPr>
      <w:r>
        <w:rPr>
          <w:bCs/>
          <w:b/>
        </w:rPr>
        <w:t xml:space="preserve">Перевод надписей на графике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Надпись в оригинале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Перевод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等螺距螺杆真空泵抽气性能曲线图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Кривая характеристики откачки (быстроты откачки) винтового вакуумного насоса с постоянным шагом винта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抽气率 [L/s] / pumping speed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Ось Y: быстрота откачки, л/с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入口压力 P (Pa) / inlet pressure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Ось X: давление на входе P, Па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LG50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Обозначение кривой: насос LG50</w:t>
            </w:r>
          </w:p>
        </w:tc>
      </w:tr>
    </w:tbl>
    <w:p>
      <w:pPr>
        <w:pStyle w:val="BodyText"/>
      </w:pPr>
      <w:r>
        <w:rPr>
          <w:bCs/>
          <w:b/>
        </w:rPr>
        <w:t xml:space="preserve">Шкалы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Ось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 шкалы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Диапазон / деления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X — давление на входе, Па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логарифмическая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10⁰; 10¹; 10²; 10³; 10⁴; 10⁵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Y — быстрота откачки, л/с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линейная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0; 50; 100; 150; 200</w:t>
            </w:r>
          </w:p>
        </w:tc>
      </w:tr>
    </w:tbl>
    <w:p>
      <w:pPr>
        <w:pStyle w:val="BodyText"/>
      </w:pPr>
      <w:r>
        <w:rPr>
          <w:bCs/>
          <w:b/>
        </w:rPr>
        <w:t xml:space="preserve">Ход кривой LG50 (снято с графика ориентировочно):</w:t>
      </w:r>
      <w:r>
        <w:t xml:space="preserve"> </w:t>
      </w:r>
      <w:r>
        <w:t xml:space="preserve">быстрота откачки равна нулю при давлении на входе около 6–7 Па (предельное остаточное давление); при росте давления быстро увеличивается и примерно с 50–100 Па выходит на уровень около 40 л/с; сохраняется на уровне около 40 л/с в диапазоне примерно 10² … 3·10⁴ Па; при приближении к атмосферному давлению (10⁵ Па) снижается приблизительно до 35 л/с.</w:t>
      </w:r>
    </w:p>
    <w:p>
      <w:pPr>
        <w:pStyle w:val="BodyText"/>
      </w:pPr>
      <w:r>
        <w:t xml:space="preserve">[Примечание переводчика: значения в последнем абзаце определены визуально по графику и не являются надписями оригинала.]</w:t>
      </w:r>
    </w:p>
    <w:bookmarkEnd w:id="23"/>
    <w:bookmarkEnd w:id="24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2026-10-16T02:40:58Z</dcterms:created>
  <dcterms:modified xsi:type="dcterms:W3CDTF">2026-10-16T02:40:58Z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