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fc56fb9b1cc5234c097193881cb8355cf87faa0"/>
    <w:p>
      <w:pPr>
        <w:pStyle w:val="Heading1"/>
      </w:pPr>
      <w:r>
        <w:t xml:space="preserve">Характеристики винтовых вакуумных насосов с переменным шагом винта серии LGB</w:t>
      </w:r>
    </w:p>
    <w:p>
      <w:pPr>
        <w:pStyle w:val="FirstParagraph"/>
      </w:pPr>
      <w:r>
        <w:rPr>
          <w:iCs/>
          <w:i/>
        </w:rPr>
        <w:t xml:space="preserve">Перевод с китайского языка. Исходный файл: График_характеристик_насосов_LGB.png (исходное имя: 真空机组曲线.png). Страниц в оригинале: 1.</w:t>
      </w:r>
    </w:p>
    <w:bookmarkStart w:id="23" w:name="X6076e9693f66375ced189e654dd855131d522ab"/>
    <w:p>
      <w:pPr>
        <w:pStyle w:val="Heading2"/>
      </w:pPr>
      <w:r>
        <w:t xml:space="preserve">Стр. 1 — Рабочие характеристики (кривые быстроты откачки)</w:t>
      </w:r>
    </w:p>
    <w:p>
      <w:pPr>
        <w:pStyle w:val="CaptionedFigure"/>
      </w:pPr>
      <w:r>
        <w:drawing>
          <wp:inline>
            <wp:extent cx="5334000" cy="3478695"/>
            <wp:effectExtent b="0" l="0" r="0" t="0"/>
            <wp:docPr descr="Кривые быстроты откачки винтовых вакуумных насосов LGB50…LGB400" title="" id="21" name="Picture"/>
            <a:graphic>
              <a:graphicData uri="http://schemas.openxmlformats.org/drawingml/2006/picture">
                <pic:pic>
                  <pic:nvPicPr>
                    <pic:cNvPr descr="img/graph_uni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8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Кривые быстроты откачки винтовых вакуумных насосов LGB50…LGB400</w:t>
      </w:r>
    </w:p>
    <w:p>
      <w:pPr>
        <w:pStyle w:val="BodyText"/>
      </w:pPr>
      <w:r>
        <w:rPr>
          <w:bCs/>
          <w:b/>
        </w:rPr>
        <w:t xml:space="preserve">Перевод надписей на графике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Надпись в оригинале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Перевод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变螺距螺杆真空泵性能参数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Рабочие характеристики винтовых вакуумных насосов с переменным шагом винта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Operating Principle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Принцип работы [Примечание переводчика: английская подпись в оригинале не соответствует китайскому заголовку; по смыслу — «Рабочие характеристики»]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变螺距性能曲线表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Кривые характеристик (насосы с переменным шагом винта)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抽气速率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Ось Y: быстрота откачки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LGB400, LGB360, LGB300, LGB220, LGB180, LGB110, LGB70, LGB50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Обозначения кривых — модели насосов серии LGB (сверху вниз)</w:t>
            </w:r>
          </w:p>
        </w:tc>
      </w:tr>
    </w:tbl>
    <w:p>
      <w:pPr>
        <w:pStyle w:val="BodyText"/>
      </w:pPr>
      <w:r>
        <w:rPr>
          <w:bCs/>
          <w:b/>
        </w:rPr>
        <w:t xml:space="preserve">Шкалы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Ось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шкалы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Диапазон / деления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X — без подписи (по смыслу: давление на входе)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логарифмическая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10⁰; 10¹; 10²; 10³; 10⁴; 10⁵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 — быстрота откачки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линейная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50; 100; 150; 200; 250; 300; 350; 400; 500</w:t>
            </w:r>
          </w:p>
        </w:tc>
      </w:tr>
    </w:tbl>
    <w:p>
      <w:pPr>
        <w:pStyle w:val="BodyText"/>
      </w:pPr>
      <w:r>
        <w:t xml:space="preserve">[Примечание переводчика: в оригинале единицы измерения по осям не указаны. Ось X по аналогии с графиком насоса LG50 — давление на входе, Па.]</w:t>
      </w:r>
    </w:p>
    <w:p>
      <w:pPr>
        <w:pStyle w:val="BodyText"/>
      </w:pPr>
      <w:r>
        <w:rPr>
          <w:bCs/>
          <w:b/>
        </w:rPr>
        <w:t xml:space="preserve">Ход кривых (снято с графика ориентировочно):</w:t>
      </w:r>
      <w:r>
        <w:t xml:space="preserve"> </w:t>
      </w:r>
      <w:r>
        <w:t xml:space="preserve">все кривые начинаются от нулевой быстроты откачки при давлении около 5 Па (предельное остаточное давление), резко возрастают и в области 10²…10³ выходят на максимальное значение, далее плавно снижаются к 10⁵.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Модель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Максимум быстроты откачки (ориентировочно)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 при 10⁵ (ориентировочно)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LGB400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≈ 400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≈ 370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LGB360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≈ 360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≈ 335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LGB300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≈ 300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≈ 265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LGB220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≈ 220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≈ 190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LGB180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≈ 180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≈ 140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LGB110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≈ 110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≈ 80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LGB70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≈ 73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≈ 55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LGB50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≈ 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≈ 33</w:t>
            </w:r>
          </w:p>
        </w:tc>
      </w:tr>
    </w:tbl>
    <w:p>
      <w:pPr>
        <w:pStyle w:val="BodyText"/>
      </w:pPr>
      <w:r>
        <w:t xml:space="preserve">[Примечание переводчика: численные значения в последней таблице определены визуально по графику и не являются надписями оригинала.]</w:t>
      </w:r>
    </w:p>
    <w:bookmarkEnd w:id="23"/>
    <w:bookmarkEnd w:id="24"/>
    <w:sectPr>
      <w:pgSz w:h="16838" w:w="11906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2026-10-16T02:40:58Z</dcterms:created>
  <dcterms:modified xsi:type="dcterms:W3CDTF">2026-10-16T02:40:58Z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